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208280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233680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6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96520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113665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9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23" w:lineRule="exact"/>
        <w:rPr>
          <w:sz w:val="24"/>
          <w:szCs w:val="24"/>
          <w:color w:val="auto"/>
        </w:rPr>
      </w:pPr>
    </w:p>
    <w:p>
      <w:pPr>
        <w:ind w:left="4060" w:right="2400" w:hanging="4052"/>
        <w:spacing w:after="0" w:line="289" w:lineRule="auto"/>
        <w:tabs>
          <w:tab w:leader="none" w:pos="456"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ANNUAL REPORT PURSUANT TO SECTION 13 OR 15(d) OF THE SECURITIES EXCHANGE ACT OF 1934 For the fiscal year ended December 31, 2012</w:t>
      </w: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63"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50" w:lineRule="exact"/>
        <w:rPr>
          <w:sz w:val="24"/>
          <w:szCs w:val="24"/>
          <w:color w:val="auto"/>
        </w:rPr>
      </w:pPr>
    </w:p>
    <w:p>
      <w:pPr>
        <w:ind w:left="3960"/>
        <w:spacing w:after="0"/>
        <w:tabs>
          <w:tab w:leader="none" w:pos="678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5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001-33225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102235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4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Great Lakes Dredge &amp; Dock Corporation</w:t>
      </w:r>
    </w:p>
    <w:p>
      <w:pPr>
        <w:spacing w:after="0" w:line="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96520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0" w:lineRule="exact"/>
        <w:rPr>
          <w:sz w:val="24"/>
          <w:szCs w:val="24"/>
          <w:color w:val="auto"/>
        </w:rPr>
      </w:pPr>
    </w:p>
    <w:tbl>
      <w:tblPr>
        <w:tblLayout w:type="fixed"/>
        <w:tblInd w:w="360" w:type="dxa"/>
        <w:tblCellMar>
          <w:top w:w="0" w:type="dxa"/>
          <w:left w:w="0" w:type="dxa"/>
          <w:bottom w:w="0" w:type="dxa"/>
          <w:right w:w="0" w:type="dxa"/>
        </w:tblCellMar>
      </w:tblPr>
      <w:tr>
        <w:trPr>
          <w:trHeight w:val="216"/>
        </w:trPr>
        <w:tc>
          <w:tcPr>
            <w:tcW w:w="2100" w:type="dxa"/>
            <w:vAlign w:val="bottom"/>
          </w:tcPr>
          <w:p>
            <w:pPr>
              <w:spacing w:after="0"/>
              <w:rPr>
                <w:sz w:val="18"/>
                <w:szCs w:val="18"/>
                <w:color w:val="auto"/>
              </w:rPr>
            </w:pPr>
          </w:p>
        </w:tc>
        <w:tc>
          <w:tcPr>
            <w:tcW w:w="2060" w:type="dxa"/>
            <w:vAlign w:val="bottom"/>
            <w:gridSpan w:val="2"/>
          </w:tcPr>
          <w:p>
            <w:pPr>
              <w:jc w:val="center"/>
              <w:ind w:right="1152"/>
              <w:spacing w:after="0"/>
              <w:rPr>
                <w:sz w:val="20"/>
                <w:szCs w:val="20"/>
                <w:color w:val="auto"/>
              </w:rPr>
            </w:pPr>
            <w:r>
              <w:rPr>
                <w:rFonts w:ascii="Times New Roman" w:cs="Times New Roman" w:eastAsia="Times New Roman" w:hAnsi="Times New Roman"/>
                <w:sz w:val="18"/>
                <w:szCs w:val="18"/>
                <w:b w:val="1"/>
                <w:bCs w:val="1"/>
                <w:color w:val="auto"/>
                <w:w w:val="95"/>
              </w:rPr>
              <w:t>Delaware</w:t>
            </w:r>
          </w:p>
        </w:tc>
        <w:tc>
          <w:tcPr>
            <w:tcW w:w="4900" w:type="dxa"/>
            <w:vAlign w:val="bottom"/>
            <w:gridSpan w:val="4"/>
          </w:tcPr>
          <w:p>
            <w:pPr>
              <w:jc w:val="right"/>
              <w:ind w:right="232"/>
              <w:spacing w:after="0"/>
              <w:rPr>
                <w:sz w:val="20"/>
                <w:szCs w:val="20"/>
                <w:color w:val="auto"/>
              </w:rPr>
            </w:pPr>
            <w:r>
              <w:rPr>
                <w:rFonts w:ascii="Times New Roman" w:cs="Times New Roman" w:eastAsia="Times New Roman" w:hAnsi="Times New Roman"/>
                <w:sz w:val="18"/>
                <w:szCs w:val="18"/>
                <w:b w:val="1"/>
                <w:bCs w:val="1"/>
                <w:color w:val="auto"/>
              </w:rPr>
              <w:t>20-5336063</w:t>
            </w: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4160" w:type="dxa"/>
            <w:vAlign w:val="bottom"/>
            <w:gridSpan w:val="3"/>
          </w:tcPr>
          <w:p>
            <w:pPr>
              <w:jc w:val="center"/>
              <w:ind w:left="761"/>
              <w:spacing w:after="0" w:line="149" w:lineRule="exact"/>
              <w:rPr>
                <w:sz w:val="20"/>
                <w:szCs w:val="20"/>
                <w:color w:val="auto"/>
              </w:rPr>
            </w:pPr>
            <w:r>
              <w:rPr>
                <w:rFonts w:ascii="Times New Roman" w:cs="Times New Roman" w:eastAsia="Times New Roman" w:hAnsi="Times New Roman"/>
                <w:sz w:val="14"/>
                <w:szCs w:val="14"/>
                <w:b w:val="1"/>
                <w:bCs w:val="1"/>
                <w:color w:val="auto"/>
                <w:w w:val="95"/>
              </w:rPr>
              <w:t>(State or other jurisdiction of</w:t>
            </w:r>
          </w:p>
        </w:tc>
        <w:tc>
          <w:tcPr>
            <w:tcW w:w="23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80" w:type="dxa"/>
            <w:vAlign w:val="bottom"/>
            <w:gridSpan w:val="2"/>
          </w:tcPr>
          <w:p>
            <w:pPr>
              <w:jc w:val="center"/>
              <w:ind w:left="528"/>
              <w:spacing w:after="0" w:line="149" w:lineRule="exact"/>
              <w:rPr>
                <w:sz w:val="20"/>
                <w:szCs w:val="20"/>
                <w:color w:val="auto"/>
              </w:rPr>
            </w:pPr>
            <w:r>
              <w:rPr>
                <w:rFonts w:ascii="Times New Roman" w:cs="Times New Roman" w:eastAsia="Times New Roman" w:hAnsi="Times New Roman"/>
                <w:sz w:val="14"/>
                <w:szCs w:val="14"/>
                <w:b w:val="1"/>
                <w:bCs w:val="1"/>
                <w:color w:val="auto"/>
                <w:w w:val="94"/>
              </w:rPr>
              <w:t>(I.R.S. Employer</w:t>
            </w: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4160" w:type="dxa"/>
            <w:vAlign w:val="bottom"/>
            <w:gridSpan w:val="3"/>
          </w:tcPr>
          <w:p>
            <w:pPr>
              <w:jc w:val="center"/>
              <w:ind w:left="761"/>
              <w:spacing w:after="0"/>
              <w:rPr>
                <w:sz w:val="20"/>
                <w:szCs w:val="20"/>
                <w:color w:val="auto"/>
              </w:rPr>
            </w:pPr>
            <w:r>
              <w:rPr>
                <w:rFonts w:ascii="Times New Roman" w:cs="Times New Roman" w:eastAsia="Times New Roman" w:hAnsi="Times New Roman"/>
                <w:sz w:val="14"/>
                <w:szCs w:val="14"/>
                <w:b w:val="1"/>
                <w:bCs w:val="1"/>
                <w:color w:val="auto"/>
                <w:w w:val="96"/>
              </w:rPr>
              <w:t>incorporation or organization)</w:t>
            </w:r>
          </w:p>
        </w:tc>
        <w:tc>
          <w:tcPr>
            <w:tcW w:w="2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80" w:type="dxa"/>
            <w:vAlign w:val="bottom"/>
            <w:gridSpan w:val="2"/>
          </w:tcPr>
          <w:p>
            <w:pPr>
              <w:jc w:val="center"/>
              <w:ind w:left="508"/>
              <w:spacing w:after="0"/>
              <w:rPr>
                <w:sz w:val="20"/>
                <w:szCs w:val="20"/>
                <w:color w:val="auto"/>
              </w:rPr>
            </w:pPr>
            <w:r>
              <w:rPr>
                <w:rFonts w:ascii="Times New Roman" w:cs="Times New Roman" w:eastAsia="Times New Roman" w:hAnsi="Times New Roman"/>
                <w:sz w:val="14"/>
                <w:szCs w:val="14"/>
                <w:b w:val="1"/>
                <w:bCs w:val="1"/>
                <w:color w:val="auto"/>
                <w:w w:val="96"/>
              </w:rPr>
              <w:t>Identification No.)</w:t>
            </w: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2"/>
        </w:trPr>
        <w:tc>
          <w:tcPr>
            <w:tcW w:w="4160" w:type="dxa"/>
            <w:vAlign w:val="bottom"/>
            <w:gridSpan w:val="3"/>
          </w:tcPr>
          <w:p>
            <w:pPr>
              <w:jc w:val="center"/>
              <w:ind w:left="761"/>
              <w:spacing w:after="0"/>
              <w:rPr>
                <w:sz w:val="20"/>
                <w:szCs w:val="20"/>
                <w:color w:val="auto"/>
              </w:rPr>
            </w:pPr>
            <w:r>
              <w:rPr>
                <w:rFonts w:ascii="Times New Roman" w:cs="Times New Roman" w:eastAsia="Times New Roman" w:hAnsi="Times New Roman"/>
                <w:sz w:val="18"/>
                <w:szCs w:val="18"/>
                <w:b w:val="1"/>
                <w:bCs w:val="1"/>
                <w:color w:val="auto"/>
                <w:w w:val="96"/>
              </w:rPr>
              <w:t>2122 York Road, Oak Brook, IL</w:t>
            </w:r>
          </w:p>
        </w:tc>
        <w:tc>
          <w:tcPr>
            <w:tcW w:w="4900" w:type="dxa"/>
            <w:vAlign w:val="bottom"/>
            <w:gridSpan w:val="4"/>
          </w:tcPr>
          <w:p>
            <w:pPr>
              <w:jc w:val="right"/>
              <w:ind w:right="432"/>
              <w:spacing w:after="0"/>
              <w:rPr>
                <w:sz w:val="20"/>
                <w:szCs w:val="20"/>
                <w:color w:val="auto"/>
              </w:rPr>
            </w:pPr>
            <w:r>
              <w:rPr>
                <w:rFonts w:ascii="Times New Roman" w:cs="Times New Roman" w:eastAsia="Times New Roman" w:hAnsi="Times New Roman"/>
                <w:sz w:val="18"/>
                <w:szCs w:val="18"/>
                <w:b w:val="1"/>
                <w:bCs w:val="1"/>
                <w:color w:val="auto"/>
              </w:rPr>
              <w:t>60523</w:t>
            </w: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8"/>
        </w:trPr>
        <w:tc>
          <w:tcPr>
            <w:tcW w:w="4160" w:type="dxa"/>
            <w:vAlign w:val="bottom"/>
            <w:gridSpan w:val="3"/>
          </w:tcPr>
          <w:p>
            <w:pPr>
              <w:jc w:val="center"/>
              <w:ind w:left="761"/>
              <w:spacing w:after="0"/>
              <w:rPr>
                <w:sz w:val="20"/>
                <w:szCs w:val="20"/>
                <w:color w:val="auto"/>
              </w:rPr>
            </w:pPr>
            <w:r>
              <w:rPr>
                <w:rFonts w:ascii="Times New Roman" w:cs="Times New Roman" w:eastAsia="Times New Roman" w:hAnsi="Times New Roman"/>
                <w:sz w:val="14"/>
                <w:szCs w:val="14"/>
                <w:b w:val="1"/>
                <w:bCs w:val="1"/>
                <w:color w:val="auto"/>
                <w:w w:val="96"/>
              </w:rPr>
              <w:t>(Address of principal executive offices)</w:t>
            </w:r>
          </w:p>
        </w:tc>
        <w:tc>
          <w:tcPr>
            <w:tcW w:w="2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80" w:type="dxa"/>
            <w:vAlign w:val="bottom"/>
            <w:gridSpan w:val="2"/>
          </w:tcPr>
          <w:p>
            <w:pPr>
              <w:jc w:val="center"/>
              <w:ind w:left="528"/>
              <w:spacing w:after="0"/>
              <w:rPr>
                <w:sz w:val="20"/>
                <w:szCs w:val="20"/>
                <w:color w:val="auto"/>
              </w:rPr>
            </w:pPr>
            <w:r>
              <w:rPr>
                <w:rFonts w:ascii="Times New Roman" w:cs="Times New Roman" w:eastAsia="Times New Roman" w:hAnsi="Times New Roman"/>
                <w:sz w:val="14"/>
                <w:szCs w:val="14"/>
                <w:b w:val="1"/>
                <w:bCs w:val="1"/>
                <w:color w:val="auto"/>
                <w:w w:val="98"/>
              </w:rPr>
              <w:t>(Zip Code)</w:t>
            </w: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7"/>
        </w:trPr>
        <w:tc>
          <w:tcPr>
            <w:tcW w:w="2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3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(630) 574-3000</w:t>
            </w:r>
          </w:p>
        </w:tc>
        <w:tc>
          <w:tcPr>
            <w:tcW w:w="4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5480" w:type="dxa"/>
            <w:vAlign w:val="bottom"/>
            <w:gridSpan w:val="4"/>
          </w:tcPr>
          <w:p>
            <w:pPr>
              <w:jc w:val="center"/>
              <w:ind w:right="488"/>
              <w:spacing w:after="0"/>
              <w:rPr>
                <w:sz w:val="20"/>
                <w:szCs w:val="20"/>
                <w:color w:val="auto"/>
              </w:rPr>
            </w:pPr>
            <w:r>
              <w:rPr>
                <w:rFonts w:ascii="Times New Roman" w:cs="Times New Roman" w:eastAsia="Times New Roman" w:hAnsi="Times New Roman"/>
                <w:sz w:val="18"/>
                <w:szCs w:val="18"/>
                <w:b w:val="1"/>
                <w:bCs w:val="1"/>
                <w:color w:val="auto"/>
                <w:w w:val="96"/>
              </w:rPr>
              <w:t>(Registrant’s telephone number, including area code)</w:t>
            </w:r>
          </w:p>
        </w:tc>
        <w:tc>
          <w:tcPr>
            <w:tcW w:w="6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21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5480" w:type="dxa"/>
            <w:vAlign w:val="bottom"/>
            <w:gridSpan w:val="4"/>
          </w:tcPr>
          <w:p>
            <w:pPr>
              <w:jc w:val="center"/>
              <w:ind w:right="508"/>
              <w:spacing w:after="0"/>
              <w:rPr>
                <w:sz w:val="20"/>
                <w:szCs w:val="20"/>
                <w:color w:val="auto"/>
              </w:rPr>
            </w:pPr>
            <w:r>
              <w:rPr>
                <w:rFonts w:ascii="Times New Roman" w:cs="Times New Roman" w:eastAsia="Times New Roman" w:hAnsi="Times New Roman"/>
                <w:sz w:val="18"/>
                <w:szCs w:val="18"/>
                <w:b w:val="1"/>
                <w:bCs w:val="1"/>
                <w:color w:val="auto"/>
                <w:w w:val="97"/>
              </w:rPr>
              <w:t>Securities registered pursuant to Section 12(b) of the Act:</w:t>
            </w:r>
          </w:p>
        </w:tc>
        <w:tc>
          <w:tcPr>
            <w:tcW w:w="6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3"/>
        </w:trPr>
        <w:tc>
          <w:tcPr>
            <w:tcW w:w="2100" w:type="dxa"/>
            <w:vAlign w:val="bottom"/>
          </w:tcPr>
          <w:p>
            <w:pPr>
              <w:spacing w:after="0"/>
              <w:rPr>
                <w:sz w:val="24"/>
                <w:szCs w:val="24"/>
                <w:color w:val="auto"/>
              </w:rPr>
            </w:pPr>
          </w:p>
        </w:tc>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Title of Class</w:t>
            </w:r>
          </w:p>
        </w:tc>
        <w:tc>
          <w:tcPr>
            <w:tcW w:w="126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8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Name of each exchange on which registered</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160" w:type="dxa"/>
            <w:vAlign w:val="bottom"/>
            <w:gridSpan w:val="3"/>
          </w:tcPr>
          <w:p>
            <w:pPr>
              <w:jc w:val="center"/>
              <w:ind w:left="761"/>
              <w:spacing w:after="0"/>
              <w:rPr>
                <w:sz w:val="20"/>
                <w:szCs w:val="20"/>
                <w:color w:val="auto"/>
              </w:rPr>
            </w:pPr>
            <w:r>
              <w:rPr>
                <w:rFonts w:ascii="Times New Roman" w:cs="Times New Roman" w:eastAsia="Times New Roman" w:hAnsi="Times New Roman"/>
                <w:sz w:val="18"/>
                <w:szCs w:val="18"/>
                <w:b w:val="1"/>
                <w:bCs w:val="1"/>
                <w:color w:val="auto"/>
                <w:w w:val="97"/>
              </w:rPr>
              <w:t>Common Stock, (Par Value $0.0001)</w:t>
            </w:r>
          </w:p>
        </w:tc>
        <w:tc>
          <w:tcPr>
            <w:tcW w:w="23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720" w:type="dxa"/>
            <w:vAlign w:val="bottom"/>
            <w:gridSpan w:val="4"/>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7"/>
              </w:rPr>
              <w:t>Nasdaq Stock Market LLC</w:t>
            </w:r>
          </w:p>
        </w:tc>
        <w:tc>
          <w:tcPr>
            <w:tcW w:w="0" w:type="dxa"/>
            <w:vAlign w:val="bottom"/>
          </w:tcPr>
          <w:p>
            <w:pPr>
              <w:spacing w:after="0"/>
              <w:rPr>
                <w:sz w:val="1"/>
                <w:szCs w:val="1"/>
                <w:color w:val="auto"/>
              </w:rPr>
            </w:pPr>
          </w:p>
        </w:tc>
      </w:tr>
      <w:tr>
        <w:trPr>
          <w:trHeight w:val="240"/>
        </w:trPr>
        <w:tc>
          <w:tcPr>
            <w:tcW w:w="2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5480" w:type="dxa"/>
            <w:vAlign w:val="bottom"/>
            <w:gridSpan w:val="4"/>
          </w:tcPr>
          <w:p>
            <w:pPr>
              <w:jc w:val="center"/>
              <w:ind w:right="508"/>
              <w:spacing w:after="0"/>
              <w:rPr>
                <w:sz w:val="20"/>
                <w:szCs w:val="20"/>
                <w:color w:val="auto"/>
              </w:rPr>
            </w:pPr>
            <w:r>
              <w:rPr>
                <w:rFonts w:ascii="Times New Roman" w:cs="Times New Roman" w:eastAsia="Times New Roman" w:hAnsi="Times New Roman"/>
                <w:sz w:val="18"/>
                <w:szCs w:val="18"/>
                <w:b w:val="1"/>
                <w:bCs w:val="1"/>
                <w:color w:val="auto"/>
                <w:w w:val="97"/>
              </w:rPr>
              <w:t>Securities registered pursuant to section 12(g) of the Act: None</w:t>
            </w:r>
          </w:p>
        </w:tc>
        <w:tc>
          <w:tcPr>
            <w:tcW w:w="6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7"/>
        </w:trPr>
        <w:tc>
          <w:tcPr>
            <w:tcW w:w="4160" w:type="dxa"/>
            <w:vAlign w:val="bottom"/>
            <w:gridSpan w:val="3"/>
          </w:tcPr>
          <w:p>
            <w:pPr>
              <w:spacing w:after="0"/>
              <w:rPr>
                <w:sz w:val="11"/>
                <w:szCs w:val="11"/>
                <w:color w:val="auto"/>
              </w:rPr>
            </w:pPr>
          </w:p>
        </w:tc>
        <w:tc>
          <w:tcPr>
            <w:tcW w:w="2380" w:type="dxa"/>
            <w:vAlign w:val="bottom"/>
            <w:tcBorders>
              <w:bottom w:val="single" w:sz="8" w:color="auto"/>
            </w:tcBorders>
          </w:tcPr>
          <w:p>
            <w:pPr>
              <w:spacing w:after="0"/>
              <w:rPr>
                <w:sz w:val="11"/>
                <w:szCs w:val="11"/>
                <w:color w:val="auto"/>
              </w:rPr>
            </w:pPr>
          </w:p>
        </w:tc>
        <w:tc>
          <w:tcPr>
            <w:tcW w:w="1840" w:type="dxa"/>
            <w:vAlign w:val="bottom"/>
            <w:gridSpan w:val="2"/>
          </w:tcPr>
          <w:p>
            <w:pPr>
              <w:spacing w:after="0"/>
              <w:rPr>
                <w:sz w:val="11"/>
                <w:szCs w:val="11"/>
                <w:color w:val="auto"/>
              </w:rPr>
            </w:pPr>
          </w:p>
        </w:tc>
        <w:tc>
          <w:tcPr>
            <w:tcW w:w="680" w:type="dxa"/>
            <w:vAlign w:val="bottom"/>
            <w:vMerge w:val="restart"/>
          </w:tcPr>
          <w:p>
            <w:pPr>
              <w:ind w:left="20"/>
              <w:spacing w:after="0" w:line="207" w:lineRule="exact"/>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p>
        </w:tc>
        <w:tc>
          <w:tcPr>
            <w:tcW w:w="640" w:type="dxa"/>
            <w:vAlign w:val="bottom"/>
            <w:gridSpan w:val="2"/>
            <w:vMerge w:val="restart"/>
          </w:tcPr>
          <w:p>
            <w:pPr>
              <w:ind w:left="20"/>
              <w:spacing w:after="0" w:line="207" w:lineRule="exact"/>
              <w:rPr>
                <w:sz w:val="20"/>
                <w:szCs w:val="20"/>
                <w:color w:val="auto"/>
              </w:rPr>
            </w:pPr>
            <w:r>
              <w:rPr>
                <w:rFonts w:ascii="Times New Roman" w:cs="Times New Roman" w:eastAsia="Times New Roman" w:hAnsi="Times New Roman"/>
                <w:sz w:val="18"/>
                <w:szCs w:val="18"/>
                <w:color w:val="auto"/>
              </w:rPr>
              <w:t xml:space="preserve">No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50"/>
        </w:trPr>
        <w:tc>
          <w:tcPr>
            <w:tcW w:w="8380" w:type="dxa"/>
            <w:vAlign w:val="bottom"/>
            <w:gridSpan w:val="6"/>
          </w:tcPr>
          <w:p>
            <w:pPr>
              <w:spacing w:after="0"/>
              <w:rPr>
                <w:sz w:val="20"/>
                <w:szCs w:val="20"/>
                <w:color w:val="auto"/>
              </w:rPr>
            </w:pPr>
            <w:r>
              <w:rPr>
                <w:rFonts w:ascii="Times New Roman" w:cs="Times New Roman" w:eastAsia="Times New Roman" w:hAnsi="Times New Roman"/>
                <w:sz w:val="18"/>
                <w:szCs w:val="18"/>
                <w:color w:val="auto"/>
                <w:w w:val="98"/>
              </w:rPr>
              <w:t>Indicate by check mark if the registrant is a well-known seasoned issuer, as defined in Rule 405 of the Securities Act.</w:t>
            </w:r>
          </w:p>
        </w:tc>
        <w:tc>
          <w:tcPr>
            <w:tcW w:w="680" w:type="dxa"/>
            <w:vAlign w:val="bottom"/>
            <w:vMerge w:val="continue"/>
          </w:tcPr>
          <w:p>
            <w:pPr>
              <w:spacing w:after="0"/>
              <w:rPr>
                <w:sz w:val="21"/>
                <w:szCs w:val="21"/>
                <w:color w:val="auto"/>
              </w:rPr>
            </w:pPr>
          </w:p>
        </w:tc>
        <w:tc>
          <w:tcPr>
            <w:tcW w:w="640" w:type="dxa"/>
            <w:vAlign w:val="bottom"/>
            <w:gridSpan w:val="2"/>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5"/>
        </w:trPr>
        <w:tc>
          <w:tcPr>
            <w:tcW w:w="8380" w:type="dxa"/>
            <w:vAlign w:val="bottom"/>
            <w:gridSpan w:val="6"/>
          </w:tcPr>
          <w:p>
            <w:pPr>
              <w:spacing w:after="0"/>
              <w:rPr>
                <w:sz w:val="20"/>
                <w:szCs w:val="20"/>
                <w:color w:val="auto"/>
              </w:rPr>
            </w:pPr>
            <w:r>
              <w:rPr>
                <w:rFonts w:ascii="Times New Roman" w:cs="Times New Roman" w:eastAsia="Times New Roman" w:hAnsi="Times New Roman"/>
                <w:sz w:val="18"/>
                <w:szCs w:val="18"/>
                <w:color w:val="auto"/>
                <w:w w:val="97"/>
              </w:rPr>
              <w:t>Indicate by check mark if the registrant is not required to file reports pursuant to Section 13 or Section 15(d) of the Act.</w:t>
            </w:r>
          </w:p>
        </w:tc>
        <w:tc>
          <w:tcPr>
            <w:tcW w:w="680" w:type="dxa"/>
            <w:vAlign w:val="bottom"/>
          </w:tcPr>
          <w:p>
            <w:pPr>
              <w:ind w:left="180"/>
              <w:spacing w:after="0" w:line="207" w:lineRule="exact"/>
              <w:rPr>
                <w:sz w:val="20"/>
                <w:szCs w:val="20"/>
                <w:color w:val="auto"/>
              </w:rPr>
            </w:pPr>
            <w:r>
              <w:rPr>
                <w:rFonts w:ascii="Times New Roman" w:cs="Times New Roman" w:eastAsia="Times New Roman" w:hAnsi="Times New Roman"/>
                <w:sz w:val="18"/>
                <w:szCs w:val="18"/>
                <w:color w:val="auto"/>
                <w:w w:val="94"/>
              </w:rPr>
              <w:t xml:space="preserve">Yes </w:t>
            </w:r>
            <w:r>
              <w:rPr>
                <w:rFonts w:ascii="MS PGothic" w:cs="MS PGothic" w:eastAsia="MS PGothic" w:hAnsi="MS PGothic"/>
                <w:sz w:val="18"/>
                <w:szCs w:val="18"/>
                <w:color w:val="auto"/>
                <w:w w:val="94"/>
              </w:rPr>
              <w:t>☐</w:t>
            </w:r>
          </w:p>
        </w:tc>
        <w:tc>
          <w:tcPr>
            <w:tcW w:w="640" w:type="dxa"/>
            <w:vAlign w:val="bottom"/>
            <w:gridSpan w:val="2"/>
          </w:tcPr>
          <w:p>
            <w:pPr>
              <w:ind w:left="180"/>
              <w:spacing w:after="0" w:line="207" w:lineRule="exact"/>
              <w:rPr>
                <w:sz w:val="20"/>
                <w:szCs w:val="20"/>
                <w:color w:val="auto"/>
              </w:rPr>
            </w:pPr>
            <w:r>
              <w:rPr>
                <w:rFonts w:ascii="Times New Roman" w:cs="Times New Roman" w:eastAsia="Times New Roman" w:hAnsi="Times New Roman"/>
                <w:sz w:val="18"/>
                <w:szCs w:val="18"/>
                <w:color w:val="auto"/>
                <w:w w:val="98"/>
              </w:rPr>
              <w:t xml:space="preserve">No </w:t>
            </w:r>
            <w:r>
              <w:rPr>
                <w:rFonts w:ascii="MS PGothic" w:cs="MS PGothic" w:eastAsia="MS PGothic" w:hAnsi="MS PGothic"/>
                <w:sz w:val="18"/>
                <w:szCs w:val="18"/>
                <w:color w:val="auto"/>
                <w:w w:val="98"/>
              </w:rPr>
              <w:t>☒</w:t>
            </w:r>
          </w:p>
        </w:tc>
        <w:tc>
          <w:tcPr>
            <w:tcW w:w="0" w:type="dxa"/>
            <w:vAlign w:val="bottom"/>
          </w:tcPr>
          <w:p>
            <w:pPr>
              <w:spacing w:after="0"/>
              <w:rPr>
                <w:sz w:val="1"/>
                <w:szCs w:val="1"/>
                <w:color w:val="auto"/>
              </w:rPr>
            </w:pPr>
          </w:p>
        </w:tc>
      </w:tr>
    </w:tbl>
    <w:p>
      <w:pPr>
        <w:spacing w:after="0" w:line="8" w:lineRule="exact"/>
        <w:rPr>
          <w:sz w:val="24"/>
          <w:szCs w:val="24"/>
          <w:color w:val="auto"/>
        </w:rPr>
      </w:pPr>
    </w:p>
    <w:p>
      <w:pPr>
        <w:ind w:right="340" w:firstLine="342"/>
        <w:spacing w:after="0" w:line="22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8" w:lineRule="exact"/>
        <w:rPr>
          <w:sz w:val="24"/>
          <w:szCs w:val="24"/>
          <w:color w:val="auto"/>
        </w:rPr>
      </w:pPr>
    </w:p>
    <w:p>
      <w:pPr>
        <w:jc w:val="both"/>
        <w:ind w:right="140" w:firstLine="342"/>
        <w:spacing w:after="0" w:line="22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8" w:lineRule="exact"/>
        <w:rPr>
          <w:sz w:val="24"/>
          <w:szCs w:val="24"/>
          <w:color w:val="auto"/>
        </w:rPr>
      </w:pPr>
    </w:p>
    <w:p>
      <w:pPr>
        <w:ind w:right="100" w:firstLine="342"/>
        <w:spacing w:after="0" w:line="227" w:lineRule="exact"/>
        <w:rPr>
          <w:sz w:val="20"/>
          <w:szCs w:val="20"/>
          <w:color w:val="auto"/>
        </w:rPr>
      </w:pPr>
      <w:r>
        <w:rPr>
          <w:rFonts w:ascii="Times New Roman" w:cs="Times New Roman" w:eastAsia="Times New Roman" w:hAnsi="Times New Roman"/>
          <w:sz w:val="18"/>
          <w:szCs w:val="18"/>
          <w:color w:val="auto"/>
        </w:rPr>
        <w:t xml:space="preserve">Indicate by check mark if disclosure of delinquent filers pursuant to Item 405 of Regulation S-K (§ 229.405 of this chapter)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8"/>
          <w:szCs w:val="18"/>
          <w:color w:val="auto"/>
        </w:rPr>
        <w:t>☐</w:t>
      </w:r>
    </w:p>
    <w:p>
      <w:pPr>
        <w:spacing w:after="0" w:line="8" w:lineRule="exact"/>
        <w:rPr>
          <w:sz w:val="24"/>
          <w:szCs w:val="24"/>
          <w:color w:val="auto"/>
        </w:rPr>
      </w:pPr>
    </w:p>
    <w:p>
      <w:pPr>
        <w:ind w:right="320" w:firstLine="342"/>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or a smaller reporting company. See definitions of “large accelerated filer,” “accelerated filer,” and “smaller reporting company” in Rule 12b-2 of the Exchange Act. (Check one):</w:t>
      </w:r>
    </w:p>
    <w:p>
      <w:pPr>
        <w:sectPr>
          <w:pgSz w:w="11900" w:h="16838" w:orient="portrait"/>
          <w:cols w:equalWidth="0" w:num="1">
            <w:col w:w="11420"/>
          </w:cols>
          <w:pgMar w:left="240" w:top="226" w:right="239" w:bottom="1440" w:gutter="0" w:footer="0" w:header="0"/>
        </w:sectPr>
      </w:pPr>
    </w:p>
    <w:p>
      <w:pPr>
        <w:spacing w:after="0" w:line="27" w:lineRule="exact"/>
        <w:rPr>
          <w:sz w:val="24"/>
          <w:szCs w:val="24"/>
          <w:color w:val="auto"/>
        </w:rPr>
      </w:pPr>
    </w:p>
    <w:p>
      <w:pPr>
        <w:spacing w:after="0" w:line="302" w:lineRule="auto"/>
        <w:rPr>
          <w:sz w:val="20"/>
          <w:szCs w:val="20"/>
          <w:color w:val="auto"/>
        </w:rPr>
      </w:pPr>
      <w:r>
        <w:rPr>
          <w:rFonts w:ascii="Times New Roman" w:cs="Times New Roman" w:eastAsia="Times New Roman" w:hAnsi="Times New Roman"/>
          <w:sz w:val="16"/>
          <w:szCs w:val="16"/>
          <w:color w:val="auto"/>
        </w:rPr>
        <w:t>Large accelerated filer Non-accelerated filer</w:t>
      </w:r>
    </w:p>
    <w:p>
      <w:pPr>
        <w:spacing w:after="0" w:line="20" w:lineRule="exact"/>
        <w:rPr>
          <w:sz w:val="24"/>
          <w:szCs w:val="24"/>
          <w:color w:val="auto"/>
        </w:rPr>
      </w:pPr>
      <w:r>
        <w:rPr>
          <w:sz w:val="24"/>
          <w:szCs w:val="24"/>
          <w:color w:val="auto"/>
        </w:rPr>
        <w:br w:type="column"/>
      </w:r>
    </w:p>
    <w:p>
      <w:pPr>
        <w:spacing w:after="0" w:line="162" w:lineRule="exact"/>
        <w:rPr>
          <w:sz w:val="20"/>
          <w:szCs w:val="20"/>
          <w:color w:val="auto"/>
        </w:rPr>
      </w:pPr>
      <w:r>
        <w:rPr>
          <w:rFonts w:ascii="MS PGothic" w:cs="MS PGothic" w:eastAsia="MS PGothic" w:hAnsi="MS PGothic"/>
          <w:sz w:val="18"/>
          <w:szCs w:val="18"/>
          <w:color w:val="auto"/>
        </w:rPr>
        <w:t>☐</w:t>
      </w:r>
    </w:p>
    <w:p>
      <w:pPr>
        <w:spacing w:after="0" w:line="83" w:lineRule="exact"/>
        <w:rPr>
          <w:sz w:val="24"/>
          <w:szCs w:val="24"/>
          <w:color w:val="auto"/>
        </w:rPr>
      </w:pPr>
    </w:p>
    <w:p>
      <w:pPr>
        <w:spacing w:after="0" w:line="184" w:lineRule="exact"/>
        <w:rPr>
          <w:sz w:val="20"/>
          <w:szCs w:val="20"/>
          <w:color w:val="auto"/>
        </w:rPr>
      </w:pP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(Do not check if a smaller reporting company)</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Accelerated filer</w:t>
      </w:r>
    </w:p>
    <w:p>
      <w:pPr>
        <w:spacing w:after="0" w:line="21"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42" w:lineRule="exact"/>
        <w:rPr>
          <w:sz w:val="20"/>
          <w:szCs w:val="20"/>
          <w:color w:val="auto"/>
        </w:rPr>
      </w:pPr>
      <w:r>
        <w:rPr>
          <w:rFonts w:ascii="MS PGothic" w:cs="MS PGothic" w:eastAsia="MS PGothic" w:hAnsi="MS PGothic"/>
          <w:sz w:val="16"/>
          <w:szCs w:val="16"/>
          <w:color w:val="auto"/>
        </w:rPr>
        <w:t>☒</w:t>
      </w:r>
    </w:p>
    <w:p>
      <w:pPr>
        <w:spacing w:after="0" w:line="96"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74" w:lineRule="exact"/>
        <w:rPr>
          <w:sz w:val="24"/>
          <w:szCs w:val="24"/>
          <w:color w:val="auto"/>
        </w:rPr>
      </w:pPr>
    </w:p>
    <w:p>
      <w:pPr>
        <w:sectPr>
          <w:pgSz w:w="11900" w:h="16838" w:orient="portrait"/>
          <w:cols w:equalWidth="0" w:num="4">
            <w:col w:w="1580" w:space="340"/>
            <w:col w:w="6220" w:space="720"/>
            <w:col w:w="1920" w:space="480"/>
            <w:col w:w="160"/>
          </w:cols>
          <w:pgMar w:left="240" w:top="226" w:right="239" w:bottom="1440" w:gutter="0" w:footer="0" w:header="0"/>
          <w:type w:val="continuous"/>
        </w:sectPr>
      </w:pPr>
    </w:p>
    <w:p>
      <w:pPr>
        <w:spacing w:after="0" w:line="9" w:lineRule="exact"/>
        <w:rPr>
          <w:sz w:val="24"/>
          <w:szCs w:val="24"/>
          <w:color w:val="auto"/>
        </w:rPr>
      </w:pPr>
    </w:p>
    <w:p>
      <w:pPr>
        <w:ind w:left="360"/>
        <w:spacing w:after="0"/>
        <w:rPr>
          <w:sz w:val="20"/>
          <w:szCs w:val="20"/>
          <w:color w:val="auto"/>
        </w:rPr>
      </w:pPr>
      <w:r>
        <w:rPr>
          <w:rFonts w:ascii="Times New Roman" w:cs="Times New Roman" w:eastAsia="Times New Roman" w:hAnsi="Times New Roman"/>
          <w:sz w:val="16"/>
          <w:szCs w:val="16"/>
          <w:color w:val="auto"/>
        </w:rPr>
        <w:t>Indicate by check mark whether the registrant is a shell company (as defined in Rule 12b-2 of the Exchange Act).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6"/>
          <w:szCs w:val="16"/>
          <w:color w:val="auto"/>
        </w:rPr>
        <w:t>Yes</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8"/>
          <w:szCs w:val="18"/>
          <w:color w:val="auto"/>
        </w:rPr>
        <w:t>No</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105" w:lineRule="exact"/>
        <w:rPr>
          <w:sz w:val="24"/>
          <w:szCs w:val="24"/>
          <w:color w:val="auto"/>
        </w:rPr>
      </w:pPr>
    </w:p>
    <w:p>
      <w:pPr>
        <w:sectPr>
          <w:pgSz w:w="11900" w:h="16838" w:orient="portrait"/>
          <w:cols w:equalWidth="0" w:num="5">
            <w:col w:w="8320" w:space="180"/>
            <w:col w:w="260" w:space="80"/>
            <w:col w:w="160" w:space="180"/>
            <w:col w:w="220" w:space="80"/>
            <w:col w:w="1940"/>
          </w:cols>
          <w:pgMar w:left="240" w:top="226" w:right="239" w:bottom="1440" w:gutter="0" w:footer="0" w:header="0"/>
          <w:type w:val="continuous"/>
        </w:sectPr>
      </w:pPr>
    </w:p>
    <w:p>
      <w:pPr>
        <w:ind w:right="180" w:firstLine="342"/>
        <w:spacing w:after="0" w:line="262" w:lineRule="auto"/>
        <w:rPr>
          <w:sz w:val="20"/>
          <w:szCs w:val="20"/>
          <w:color w:val="auto"/>
        </w:rPr>
      </w:pPr>
      <w:r>
        <w:rPr>
          <w:rFonts w:ascii="Times New Roman" w:cs="Times New Roman" w:eastAsia="Times New Roman" w:hAnsi="Times New Roman"/>
          <w:sz w:val="18"/>
          <w:szCs w:val="18"/>
          <w:color w:val="auto"/>
        </w:rPr>
        <w:t>The aggregate market value of voting stock held by non-affiliates of the Registrant was $403,307,145 at June 30, 2012. The aggregate market value was computed using the closing price of the common stock as of that date on the Nasdaq Stock Market. (For purposes of a calculating this amount only, all directors and executive officers of the registrant have been treated as affiliates.)</w:t>
      </w:r>
    </w:p>
    <w:p>
      <w:pPr>
        <w:spacing w:after="0" w:line="11" w:lineRule="exact"/>
        <w:rPr>
          <w:sz w:val="24"/>
          <w:szCs w:val="24"/>
          <w:color w:val="auto"/>
        </w:rPr>
      </w:pPr>
    </w:p>
    <w:p>
      <w:pPr>
        <w:ind w:left="360"/>
        <w:spacing w:after="0"/>
        <w:rPr>
          <w:sz w:val="20"/>
          <w:szCs w:val="20"/>
          <w:color w:val="auto"/>
        </w:rPr>
      </w:pPr>
      <w:r>
        <w:rPr>
          <w:rFonts w:ascii="Times New Roman" w:cs="Times New Roman" w:eastAsia="Times New Roman" w:hAnsi="Times New Roman"/>
          <w:sz w:val="18"/>
          <w:szCs w:val="18"/>
          <w:color w:val="auto"/>
        </w:rPr>
        <w:t>As of March 22, 2013, 59,366,430 shares of Registrant’s Common Stock, par value $.0001 per share,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100965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76"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24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80" w:type="dxa"/>
            <w:vAlign w:val="bottom"/>
            <w:gridSpan w:val="3"/>
          </w:tcPr>
          <w:p>
            <w:pPr>
              <w:jc w:val="right"/>
              <w:ind w:right="3612"/>
              <w:spacing w:after="0"/>
              <w:rPr>
                <w:sz w:val="20"/>
                <w:szCs w:val="20"/>
                <w:color w:val="auto"/>
              </w:rPr>
            </w:pPr>
            <w:r>
              <w:rPr>
                <w:rFonts w:ascii="Times New Roman" w:cs="Times New Roman" w:eastAsia="Times New Roman" w:hAnsi="Times New Roman"/>
                <w:sz w:val="18"/>
                <w:szCs w:val="18"/>
                <w:b w:val="1"/>
                <w:bCs w:val="1"/>
                <w:color w:val="auto"/>
              </w:rPr>
              <w:t>DOCUMENTS INCORPORATED BY REFERENCE</w:t>
            </w:r>
          </w:p>
        </w:tc>
        <w:tc>
          <w:tcPr>
            <w:tcW w:w="0" w:type="dxa"/>
            <w:vAlign w:val="bottom"/>
          </w:tcPr>
          <w:p>
            <w:pPr>
              <w:spacing w:after="0"/>
              <w:rPr>
                <w:sz w:val="1"/>
                <w:szCs w:val="1"/>
                <w:color w:val="auto"/>
              </w:rPr>
            </w:pPr>
          </w:p>
        </w:tc>
      </w:tr>
      <w:tr>
        <w:trPr>
          <w:trHeight w:val="270"/>
        </w:trPr>
        <w:tc>
          <w:tcPr>
            <w:tcW w:w="3540" w:type="dxa"/>
            <w:vAlign w:val="bottom"/>
            <w:gridSpan w:val="3"/>
          </w:tcPr>
          <w:p>
            <w:pPr>
              <w:ind w:left="2440"/>
              <w:spacing w:after="0"/>
              <w:rPr>
                <w:sz w:val="20"/>
                <w:szCs w:val="20"/>
                <w:color w:val="auto"/>
              </w:rPr>
            </w:pPr>
            <w:r>
              <w:rPr>
                <w:rFonts w:ascii="Times New Roman" w:cs="Times New Roman" w:eastAsia="Times New Roman" w:hAnsi="Times New Roman"/>
                <w:sz w:val="18"/>
                <w:szCs w:val="18"/>
                <w:b w:val="1"/>
                <w:bCs w:val="1"/>
                <w:color w:val="auto"/>
              </w:rPr>
              <w:t>Part of 10-K</w:t>
            </w:r>
          </w:p>
        </w:tc>
        <w:tc>
          <w:tcPr>
            <w:tcW w:w="3800" w:type="dxa"/>
            <w:vAlign w:val="bottom"/>
          </w:tcPr>
          <w:p>
            <w:pPr>
              <w:spacing w:after="0"/>
              <w:rPr>
                <w:sz w:val="23"/>
                <w:szCs w:val="23"/>
                <w:color w:val="auto"/>
              </w:rPr>
            </w:pPr>
          </w:p>
        </w:tc>
        <w:tc>
          <w:tcPr>
            <w:tcW w:w="4080" w:type="dxa"/>
            <w:vAlign w:val="bottom"/>
            <w:gridSpan w:val="2"/>
          </w:tcPr>
          <w:p>
            <w:pPr>
              <w:jc w:val="right"/>
              <w:ind w:right="1092"/>
              <w:spacing w:after="0"/>
              <w:rPr>
                <w:sz w:val="20"/>
                <w:szCs w:val="20"/>
                <w:color w:val="auto"/>
              </w:rPr>
            </w:pPr>
            <w:r>
              <w:rPr>
                <w:rFonts w:ascii="Times New Roman" w:cs="Times New Roman" w:eastAsia="Times New Roman" w:hAnsi="Times New Roman"/>
                <w:sz w:val="18"/>
                <w:szCs w:val="18"/>
                <w:b w:val="1"/>
                <w:bCs w:val="1"/>
                <w:color w:val="auto"/>
                <w:w w:val="96"/>
              </w:rPr>
              <w:t>Documents Incorporated by Reference</w:t>
            </w:r>
          </w:p>
        </w:tc>
        <w:tc>
          <w:tcPr>
            <w:tcW w:w="0" w:type="dxa"/>
            <w:vAlign w:val="bottom"/>
          </w:tcPr>
          <w:p>
            <w:pPr>
              <w:spacing w:after="0"/>
              <w:rPr>
                <w:sz w:val="1"/>
                <w:szCs w:val="1"/>
                <w:color w:val="auto"/>
              </w:rPr>
            </w:pPr>
          </w:p>
        </w:tc>
      </w:tr>
      <w:tr>
        <w:trPr>
          <w:trHeight w:val="20"/>
        </w:trPr>
        <w:tc>
          <w:tcPr>
            <w:tcW w:w="244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2680" w:type="dxa"/>
            <w:vAlign w:val="bottom"/>
            <w:shd w:val="clear" w:color="auto" w:fill="000000"/>
          </w:tcPr>
          <w:p>
            <w:pPr>
              <w:spacing w:after="0" w:line="20" w:lineRule="exact"/>
              <w:rPr>
                <w:sz w:val="1"/>
                <w:szCs w:val="1"/>
                <w:color w:val="auto"/>
              </w:rPr>
            </w:pPr>
          </w:p>
        </w:tc>
        <w:tc>
          <w:tcPr>
            <w:tcW w:w="1400" w:type="dxa"/>
            <w:vAlign w:val="bottom"/>
            <w:vMerge w:val="restart"/>
          </w:tcPr>
          <w:p>
            <w:pPr>
              <w:jc w:val="right"/>
              <w:ind w:right="972"/>
              <w:spacing w:after="0"/>
              <w:rPr>
                <w:sz w:val="20"/>
                <w:szCs w:val="20"/>
                <w:color w:val="auto"/>
              </w:rPr>
            </w:pPr>
            <w:r>
              <w:rPr>
                <w:rFonts w:ascii="Times New Roman" w:cs="Times New Roman" w:eastAsia="Times New Roman" w:hAnsi="Times New Roman"/>
                <w:sz w:val="18"/>
                <w:szCs w:val="18"/>
                <w:color w:val="auto"/>
                <w:w w:val="99"/>
              </w:rPr>
              <w:t>with</w:t>
            </w:r>
          </w:p>
        </w:tc>
        <w:tc>
          <w:tcPr>
            <w:tcW w:w="0" w:type="dxa"/>
            <w:vAlign w:val="bottom"/>
          </w:tcPr>
          <w:p>
            <w:pPr>
              <w:spacing w:after="0" w:line="20" w:lineRule="exact"/>
              <w:rPr>
                <w:sz w:val="1"/>
                <w:szCs w:val="1"/>
                <w:color w:val="auto"/>
              </w:rPr>
            </w:pPr>
          </w:p>
        </w:tc>
      </w:tr>
      <w:tr>
        <w:trPr>
          <w:trHeight w:val="197"/>
        </w:trPr>
        <w:tc>
          <w:tcPr>
            <w:tcW w:w="2440" w:type="dxa"/>
            <w:vAlign w:val="bottom"/>
          </w:tcPr>
          <w:p>
            <w:pPr>
              <w:spacing w:after="0"/>
              <w:rPr>
                <w:sz w:val="17"/>
                <w:szCs w:val="17"/>
                <w:color w:val="auto"/>
              </w:rPr>
            </w:pPr>
          </w:p>
        </w:tc>
        <w:tc>
          <w:tcPr>
            <w:tcW w:w="860" w:type="dxa"/>
            <w:vAlign w:val="bottom"/>
          </w:tcPr>
          <w:p>
            <w:pPr>
              <w:ind w:left="180"/>
              <w:spacing w:after="0" w:line="197" w:lineRule="exact"/>
              <w:rPr>
                <w:sz w:val="20"/>
                <w:szCs w:val="20"/>
                <w:color w:val="auto"/>
              </w:rPr>
            </w:pPr>
            <w:r>
              <w:rPr>
                <w:rFonts w:ascii="Times New Roman" w:cs="Times New Roman" w:eastAsia="Times New Roman" w:hAnsi="Times New Roman"/>
                <w:sz w:val="18"/>
                <w:szCs w:val="18"/>
                <w:color w:val="auto"/>
              </w:rPr>
              <w:t>Part III</w:t>
            </w:r>
          </w:p>
        </w:tc>
        <w:tc>
          <w:tcPr>
            <w:tcW w:w="240" w:type="dxa"/>
            <w:vAlign w:val="bottom"/>
            <w:vMerge w:val="continue"/>
          </w:tcPr>
          <w:p>
            <w:pPr>
              <w:spacing w:after="0"/>
              <w:rPr>
                <w:sz w:val="17"/>
                <w:szCs w:val="17"/>
                <w:color w:val="auto"/>
              </w:rPr>
            </w:pPr>
          </w:p>
        </w:tc>
        <w:tc>
          <w:tcPr>
            <w:tcW w:w="6480" w:type="dxa"/>
            <w:vAlign w:val="bottom"/>
            <w:gridSpan w:val="2"/>
          </w:tcPr>
          <w:p>
            <w:pPr>
              <w:jc w:val="right"/>
              <w:spacing w:after="0" w:line="197" w:lineRule="exact"/>
              <w:rPr>
                <w:sz w:val="20"/>
                <w:szCs w:val="20"/>
                <w:color w:val="auto"/>
              </w:rPr>
            </w:pPr>
            <w:r>
              <w:rPr>
                <w:rFonts w:ascii="Times New Roman" w:cs="Times New Roman" w:eastAsia="Times New Roman" w:hAnsi="Times New Roman"/>
                <w:sz w:val="18"/>
                <w:szCs w:val="18"/>
                <w:color w:val="auto"/>
              </w:rPr>
              <w:t>Portions of the Proxy Statement to be filed</w:t>
            </w:r>
          </w:p>
        </w:tc>
        <w:tc>
          <w:tcPr>
            <w:tcW w:w="14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4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80" w:type="dxa"/>
            <w:vAlign w:val="bottom"/>
            <w:gridSpan w:val="3"/>
          </w:tcPr>
          <w:p>
            <w:pPr>
              <w:jc w:val="right"/>
              <w:ind w:right="692"/>
              <w:spacing w:after="0"/>
              <w:rPr>
                <w:sz w:val="20"/>
                <w:szCs w:val="20"/>
                <w:color w:val="auto"/>
              </w:rPr>
            </w:pPr>
            <w:r>
              <w:rPr>
                <w:rFonts w:ascii="Times New Roman" w:cs="Times New Roman" w:eastAsia="Times New Roman" w:hAnsi="Times New Roman"/>
                <w:sz w:val="18"/>
                <w:szCs w:val="18"/>
                <w:color w:val="auto"/>
              </w:rPr>
              <w:t>the Securities and Exchange Commission in connection</w:t>
            </w:r>
          </w:p>
        </w:tc>
        <w:tc>
          <w:tcPr>
            <w:tcW w:w="0" w:type="dxa"/>
            <w:vAlign w:val="bottom"/>
          </w:tcPr>
          <w:p>
            <w:pPr>
              <w:spacing w:after="0"/>
              <w:rPr>
                <w:sz w:val="1"/>
                <w:szCs w:val="1"/>
                <w:color w:val="auto"/>
              </w:rPr>
            </w:pPr>
          </w:p>
        </w:tc>
      </w:tr>
      <w:tr>
        <w:trPr>
          <w:trHeight w:val="228"/>
        </w:trPr>
        <w:tc>
          <w:tcPr>
            <w:tcW w:w="24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80" w:type="dxa"/>
            <w:vAlign w:val="bottom"/>
            <w:gridSpan w:val="3"/>
          </w:tcPr>
          <w:p>
            <w:pPr>
              <w:jc w:val="right"/>
              <w:ind w:right="972"/>
              <w:spacing w:after="0"/>
              <w:rPr>
                <w:sz w:val="20"/>
                <w:szCs w:val="20"/>
                <w:color w:val="auto"/>
              </w:rPr>
            </w:pPr>
            <w:r>
              <w:rPr>
                <w:rFonts w:ascii="Times New Roman" w:cs="Times New Roman" w:eastAsia="Times New Roman" w:hAnsi="Times New Roman"/>
                <w:sz w:val="18"/>
                <w:szCs w:val="18"/>
                <w:color w:val="auto"/>
              </w:rPr>
              <w:t>with the 2013 Annual Meeting of Stockholders.</w:t>
            </w:r>
          </w:p>
        </w:tc>
        <w:tc>
          <w:tcPr>
            <w:tcW w:w="0" w:type="dxa"/>
            <w:vAlign w:val="bottom"/>
          </w:tcPr>
          <w:p>
            <w:pPr>
              <w:spacing w:after="0"/>
              <w:rPr>
                <w:sz w:val="1"/>
                <w:szCs w:val="1"/>
                <w:color w:val="auto"/>
              </w:rPr>
            </w:pPr>
          </w:p>
        </w:tc>
      </w:tr>
      <w:tr>
        <w:trPr>
          <w:trHeight w:val="137"/>
        </w:trPr>
        <w:tc>
          <w:tcPr>
            <w:tcW w:w="244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3800" w:type="dxa"/>
            <w:vAlign w:val="bottom"/>
            <w:tcBorders>
              <w:bottom w:val="single" w:sz="8" w:color="auto"/>
            </w:tcBorders>
          </w:tcPr>
          <w:p>
            <w:pPr>
              <w:spacing w:after="0"/>
              <w:rPr>
                <w:sz w:val="11"/>
                <w:szCs w:val="11"/>
                <w:color w:val="auto"/>
              </w:rPr>
            </w:pPr>
          </w:p>
        </w:tc>
        <w:tc>
          <w:tcPr>
            <w:tcW w:w="2680" w:type="dxa"/>
            <w:vAlign w:val="bottom"/>
            <w:tcBorders>
              <w:bottom w:val="single" w:sz="8" w:color="auto"/>
            </w:tcBorders>
          </w:tcPr>
          <w:p>
            <w:pPr>
              <w:spacing w:after="0"/>
              <w:rPr>
                <w:sz w:val="11"/>
                <w:szCs w:val="11"/>
                <w:color w:val="auto"/>
              </w:rPr>
            </w:pPr>
          </w:p>
        </w:tc>
        <w:tc>
          <w:tcPr>
            <w:tcW w:w="140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34"/>
        </w:trPr>
        <w:tc>
          <w:tcPr>
            <w:tcW w:w="24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800" w:type="dxa"/>
            <w:vAlign w:val="bottom"/>
            <w:tcBorders>
              <w:bottom w:val="single" w:sz="8" w:color="auto"/>
            </w:tcBorders>
          </w:tcPr>
          <w:p>
            <w:pPr>
              <w:spacing w:after="0"/>
              <w:rPr>
                <w:sz w:val="2"/>
                <w:szCs w:val="2"/>
                <w:color w:val="auto"/>
              </w:rPr>
            </w:pPr>
          </w:p>
        </w:tc>
        <w:tc>
          <w:tcPr>
            <w:tcW w:w="26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26" w:right="239" w:bottom="1440" w:gutter="0" w:footer="0" w:header="0"/>
          <w:type w:val="continuous"/>
        </w:sectPr>
      </w:pPr>
    </w:p>
    <w:bookmarkStart w:id="1" w:name="page2"/>
    <w:bookmarkEnd w:id="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900" w:type="dxa"/>
            <w:vAlign w:val="bottom"/>
            <w:gridSpan w:val="15"/>
          </w:tcPr>
          <w:p>
            <w:pPr>
              <w:ind w:left="64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1280" w:type="dxa"/>
            <w:vAlign w:val="bottom"/>
          </w:tcPr>
          <w:p>
            <w:pPr>
              <w:spacing w:after="0"/>
              <w:rPr>
                <w:sz w:val="20"/>
                <w:szCs w:val="20"/>
                <w:color w:val="auto"/>
              </w:rPr>
            </w:pPr>
          </w:p>
        </w:tc>
      </w:tr>
      <w:tr>
        <w:trPr>
          <w:trHeight w:val="380"/>
        </w:trPr>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PART I</w:t>
            </w:r>
          </w:p>
        </w:tc>
        <w:tc>
          <w:tcPr>
            <w:tcW w:w="4080" w:type="dxa"/>
            <w:vAlign w:val="bottom"/>
            <w:gridSpan w:val="9"/>
          </w:tcPr>
          <w:p>
            <w:pPr>
              <w:spacing w:after="0"/>
              <w:rPr>
                <w:sz w:val="24"/>
                <w:szCs w:val="24"/>
                <w:color w:val="auto"/>
              </w:rPr>
            </w:pPr>
          </w:p>
        </w:tc>
        <w:tc>
          <w:tcPr>
            <w:tcW w:w="1280" w:type="dxa"/>
            <w:vAlign w:val="bottom"/>
          </w:tcPr>
          <w:p>
            <w:pPr>
              <w:spacing w:after="0"/>
              <w:rPr>
                <w:sz w:val="24"/>
                <w:szCs w:val="24"/>
                <w:color w:val="auto"/>
              </w:rPr>
            </w:pPr>
          </w:p>
        </w:tc>
      </w:tr>
      <w:tr>
        <w:trPr>
          <w:trHeight w:val="304"/>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9140" w:type="dxa"/>
            <w:vAlign w:val="bottom"/>
            <w:gridSpan w:val="27"/>
          </w:tcPr>
          <w:p>
            <w:pPr>
              <w:spacing w:after="0"/>
              <w:rPr>
                <w:rFonts w:ascii="Times New Roman" w:cs="Times New Roman" w:eastAsia="Times New Roman" w:hAnsi="Times New Roman"/>
                <w:sz w:val="18"/>
                <w:szCs w:val="18"/>
                <w:color w:val="0000EE"/>
              </w:rPr>
            </w:pPr>
            <w:hyperlink w:anchor="page4">
              <w:r>
                <w:rPr>
                  <w:rFonts w:ascii="Times New Roman" w:cs="Times New Roman" w:eastAsia="Times New Roman" w:hAnsi="Times New Roman"/>
                  <w:sz w:val="18"/>
                  <w:szCs w:val="18"/>
                  <w:color w:val="0000EE"/>
                </w:rPr>
                <w:t>Business</w:t>
              </w:r>
            </w:hyperlink>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0"/>
        </w:trPr>
        <w:tc>
          <w:tcPr>
            <w:tcW w:w="90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304"/>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Item 1A.</w:t>
            </w:r>
          </w:p>
        </w:tc>
        <w:tc>
          <w:tcPr>
            <w:tcW w:w="9140" w:type="dxa"/>
            <w:vAlign w:val="bottom"/>
            <w:gridSpan w:val="27"/>
          </w:tcPr>
          <w:p>
            <w:pPr>
              <w:spacing w:after="0"/>
              <w:rPr>
                <w:rFonts w:ascii="Times New Roman" w:cs="Times New Roman" w:eastAsia="Times New Roman" w:hAnsi="Times New Roman"/>
                <w:sz w:val="18"/>
                <w:szCs w:val="18"/>
                <w:color w:val="0000EE"/>
              </w:rPr>
            </w:pPr>
            <w:hyperlink w:anchor="page16">
              <w:r>
                <w:rPr>
                  <w:rFonts w:ascii="Times New Roman" w:cs="Times New Roman" w:eastAsia="Times New Roman" w:hAnsi="Times New Roman"/>
                  <w:sz w:val="18"/>
                  <w:szCs w:val="18"/>
                  <w:color w:val="0000EE"/>
                </w:rPr>
                <w:t>Risk Factors</w:t>
              </w:r>
            </w:hyperlink>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0"/>
        </w:trPr>
        <w:tc>
          <w:tcPr>
            <w:tcW w:w="90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304"/>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Item 1B.</w:t>
            </w:r>
          </w:p>
        </w:tc>
        <w:tc>
          <w:tcPr>
            <w:tcW w:w="2000" w:type="dxa"/>
            <w:vAlign w:val="bottom"/>
            <w:tcBorders>
              <w:bottom w:val="single" w:sz="8" w:color="0000EE"/>
            </w:tcBorders>
            <w:gridSpan w:val="9"/>
          </w:tcPr>
          <w:p>
            <w:pPr>
              <w:spacing w:after="0"/>
              <w:rPr>
                <w:rFonts w:ascii="Times New Roman" w:cs="Times New Roman" w:eastAsia="Times New Roman" w:hAnsi="Times New Roman"/>
                <w:sz w:val="18"/>
                <w:szCs w:val="18"/>
                <w:color w:val="0000EE"/>
                <w:w w:val="96"/>
              </w:rPr>
            </w:pPr>
            <w:hyperlink w:anchor="page31">
              <w:r>
                <w:rPr>
                  <w:rFonts w:ascii="Times New Roman" w:cs="Times New Roman" w:eastAsia="Times New Roman" w:hAnsi="Times New Roman"/>
                  <w:sz w:val="18"/>
                  <w:szCs w:val="18"/>
                  <w:color w:val="0000EE"/>
                  <w:w w:val="96"/>
                </w:rPr>
                <w:t>Unresolved Staff Comments</w:t>
              </w:r>
            </w:hyperlink>
          </w:p>
        </w:tc>
        <w:tc>
          <w:tcPr>
            <w:tcW w:w="7140" w:type="dxa"/>
            <w:vAlign w:val="bottom"/>
            <w:gridSpan w:val="18"/>
          </w:tcPr>
          <w:p>
            <w:pPr>
              <w:spacing w:after="0"/>
              <w:rPr>
                <w:sz w:val="24"/>
                <w:szCs w:val="2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304"/>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720" w:type="dxa"/>
            <w:vAlign w:val="bottom"/>
            <w:tcBorders>
              <w:bottom w:val="single" w:sz="8" w:color="0000EE"/>
            </w:tcBorders>
            <w:gridSpan w:val="3"/>
          </w:tcPr>
          <w:p>
            <w:pPr>
              <w:spacing w:after="0"/>
              <w:rPr>
                <w:rFonts w:ascii="Times New Roman" w:cs="Times New Roman" w:eastAsia="Times New Roman" w:hAnsi="Times New Roman"/>
                <w:sz w:val="18"/>
                <w:szCs w:val="18"/>
                <w:color w:val="0000EE"/>
                <w:w w:val="95"/>
              </w:rPr>
            </w:pPr>
            <w:hyperlink w:anchor="page31">
              <w:r>
                <w:rPr>
                  <w:rFonts w:ascii="Times New Roman" w:cs="Times New Roman" w:eastAsia="Times New Roman" w:hAnsi="Times New Roman"/>
                  <w:sz w:val="18"/>
                  <w:szCs w:val="18"/>
                  <w:color w:val="0000EE"/>
                  <w:w w:val="95"/>
                </w:rPr>
                <w:t>Properties</w:t>
              </w:r>
            </w:hyperlink>
          </w:p>
        </w:tc>
        <w:tc>
          <w:tcPr>
            <w:tcW w:w="8420" w:type="dxa"/>
            <w:vAlign w:val="bottom"/>
            <w:gridSpan w:val="24"/>
          </w:tcPr>
          <w:p>
            <w:pPr>
              <w:spacing w:after="0"/>
              <w:rPr>
                <w:sz w:val="24"/>
                <w:szCs w:val="2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304"/>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9140" w:type="dxa"/>
            <w:vAlign w:val="bottom"/>
            <w:gridSpan w:val="27"/>
          </w:tcPr>
          <w:p>
            <w:pPr>
              <w:spacing w:after="0"/>
              <w:rPr>
                <w:rFonts w:ascii="Times New Roman" w:cs="Times New Roman" w:eastAsia="Times New Roman" w:hAnsi="Times New Roman"/>
                <w:sz w:val="18"/>
                <w:szCs w:val="18"/>
                <w:color w:val="0000EE"/>
              </w:rPr>
            </w:pPr>
            <w:hyperlink w:anchor="page32">
              <w:r>
                <w:rPr>
                  <w:rFonts w:ascii="Times New Roman" w:cs="Times New Roman" w:eastAsia="Times New Roman" w:hAnsi="Times New Roman"/>
                  <w:sz w:val="18"/>
                  <w:szCs w:val="18"/>
                  <w:color w:val="0000EE"/>
                </w:rPr>
                <w:t>Legal Proceedings</w:t>
              </w:r>
            </w:hyperlink>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0"/>
        </w:trPr>
        <w:tc>
          <w:tcPr>
            <w:tcW w:w="90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60" w:type="dxa"/>
            <w:vAlign w:val="bottom"/>
            <w:tcBorders>
              <w:right w:val="single" w:sz="8" w:color="0000EE"/>
            </w:tcBorders>
            <w:gridSpan w:val="4"/>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304"/>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9140" w:type="dxa"/>
            <w:vAlign w:val="bottom"/>
            <w:gridSpan w:val="27"/>
          </w:tcPr>
          <w:p>
            <w:pPr>
              <w:spacing w:after="0"/>
              <w:rPr>
                <w:rFonts w:ascii="Times New Roman" w:cs="Times New Roman" w:eastAsia="Times New Roman" w:hAnsi="Times New Roman"/>
                <w:sz w:val="18"/>
                <w:szCs w:val="18"/>
                <w:color w:val="0000EE"/>
              </w:rPr>
            </w:pPr>
            <w:hyperlink w:anchor="page33">
              <w:r>
                <w:rPr>
                  <w:rFonts w:ascii="Times New Roman" w:cs="Times New Roman" w:eastAsia="Times New Roman" w:hAnsi="Times New Roman"/>
                  <w:sz w:val="18"/>
                  <w:szCs w:val="18"/>
                  <w:color w:val="0000EE"/>
                </w:rPr>
                <w:t>Mine Safety Disclosures</w:t>
              </w:r>
            </w:hyperlink>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304"/>
        </w:trPr>
        <w:tc>
          <w:tcPr>
            <w:tcW w:w="900" w:type="dxa"/>
            <w:vAlign w:val="bottom"/>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700" w:type="dxa"/>
            <w:vAlign w:val="bottom"/>
            <w:gridSpan w:val="11"/>
          </w:tcPr>
          <w:p>
            <w:pPr>
              <w:jc w:val="center"/>
              <w:ind w:right="4060"/>
              <w:spacing w:after="0"/>
              <w:rPr>
                <w:sz w:val="20"/>
                <w:szCs w:val="20"/>
                <w:color w:val="auto"/>
              </w:rPr>
            </w:pPr>
            <w:r>
              <w:rPr>
                <w:rFonts w:ascii="Times New Roman" w:cs="Times New Roman" w:eastAsia="Times New Roman" w:hAnsi="Times New Roman"/>
                <w:sz w:val="18"/>
                <w:szCs w:val="18"/>
                <w:b w:val="1"/>
                <w:bCs w:val="1"/>
                <w:color w:val="auto"/>
                <w:w w:val="94"/>
              </w:rPr>
              <w:t>PART II</w:t>
            </w:r>
          </w:p>
        </w:tc>
        <w:tc>
          <w:tcPr>
            <w:tcW w:w="1280" w:type="dxa"/>
            <w:vAlign w:val="bottom"/>
          </w:tcPr>
          <w:p>
            <w:pPr>
              <w:spacing w:after="0"/>
              <w:rPr>
                <w:sz w:val="24"/>
                <w:szCs w:val="24"/>
                <w:color w:val="auto"/>
              </w:rPr>
            </w:pPr>
          </w:p>
        </w:tc>
      </w:tr>
      <w:tr>
        <w:trPr>
          <w:trHeight w:val="20"/>
        </w:trPr>
        <w:tc>
          <w:tcPr>
            <w:tcW w:w="9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60" w:type="dxa"/>
            <w:vAlign w:val="bottom"/>
            <w:gridSpan w:val="4"/>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gridSpan w:val="3"/>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304"/>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Item 5.</w:t>
            </w:r>
          </w:p>
        </w:tc>
        <w:tc>
          <w:tcPr>
            <w:tcW w:w="8140" w:type="dxa"/>
            <w:vAlign w:val="bottom"/>
            <w:tcBorders>
              <w:bottom w:val="single" w:sz="8" w:color="0000EE"/>
            </w:tcBorders>
            <w:gridSpan w:val="26"/>
          </w:tcPr>
          <w:p>
            <w:pPr>
              <w:spacing w:after="0"/>
              <w:rPr>
                <w:rFonts w:ascii="Times New Roman" w:cs="Times New Roman" w:eastAsia="Times New Roman" w:hAnsi="Times New Roman"/>
                <w:sz w:val="18"/>
                <w:szCs w:val="18"/>
                <w:color w:val="0000EE"/>
                <w:w w:val="97"/>
              </w:rPr>
            </w:pPr>
            <w:hyperlink w:anchor="page34">
              <w:r>
                <w:rPr>
                  <w:rFonts w:ascii="Times New Roman" w:cs="Times New Roman" w:eastAsia="Times New Roman" w:hAnsi="Times New Roman"/>
                  <w:sz w:val="18"/>
                  <w:szCs w:val="18"/>
                  <w:color w:val="0000EE"/>
                  <w:w w:val="97"/>
                </w:rPr>
                <w:t>Market for the Registrant’s Common Equity, Related Stockholder Matters and Issuer Purchases of Equity Securities</w:t>
              </w:r>
            </w:hyperlink>
          </w:p>
        </w:tc>
        <w:tc>
          <w:tcPr>
            <w:tcW w:w="100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304"/>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Item 6.</w:t>
            </w:r>
          </w:p>
        </w:tc>
        <w:tc>
          <w:tcPr>
            <w:tcW w:w="9140" w:type="dxa"/>
            <w:vAlign w:val="bottom"/>
            <w:gridSpan w:val="27"/>
          </w:tcPr>
          <w:p>
            <w:pPr>
              <w:spacing w:after="0"/>
              <w:rPr>
                <w:rFonts w:ascii="Times New Roman" w:cs="Times New Roman" w:eastAsia="Times New Roman" w:hAnsi="Times New Roman"/>
                <w:sz w:val="18"/>
                <w:szCs w:val="18"/>
                <w:color w:val="0000EE"/>
              </w:rPr>
            </w:pPr>
            <w:hyperlink w:anchor="page36">
              <w:r>
                <w:rPr>
                  <w:rFonts w:ascii="Times New Roman" w:cs="Times New Roman" w:eastAsia="Times New Roman" w:hAnsi="Times New Roman"/>
                  <w:sz w:val="18"/>
                  <w:szCs w:val="18"/>
                  <w:color w:val="0000EE"/>
                </w:rPr>
                <w:t>Selected Financial Data</w:t>
              </w:r>
            </w:hyperlink>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0"/>
        </w:trPr>
        <w:tc>
          <w:tcPr>
            <w:tcW w:w="90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60" w:type="dxa"/>
            <w:vAlign w:val="bottom"/>
            <w:tcBorders>
              <w:right w:val="single" w:sz="8" w:color="0000EE"/>
            </w:tcBorders>
            <w:gridSpan w:val="4"/>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304"/>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Item 7.</w:t>
            </w:r>
          </w:p>
        </w:tc>
        <w:tc>
          <w:tcPr>
            <w:tcW w:w="6300" w:type="dxa"/>
            <w:vAlign w:val="bottom"/>
            <w:tcBorders>
              <w:bottom w:val="single" w:sz="8" w:color="0000EE"/>
            </w:tcBorders>
            <w:gridSpan w:val="23"/>
          </w:tcPr>
          <w:p>
            <w:pPr>
              <w:spacing w:after="0"/>
              <w:rPr>
                <w:rFonts w:ascii="Times New Roman" w:cs="Times New Roman" w:eastAsia="Times New Roman" w:hAnsi="Times New Roman"/>
                <w:sz w:val="18"/>
                <w:szCs w:val="18"/>
                <w:color w:val="0000EE"/>
                <w:w w:val="97"/>
              </w:rPr>
            </w:pPr>
            <w:hyperlink w:anchor="page37">
              <w:r>
                <w:rPr>
                  <w:rFonts w:ascii="Times New Roman" w:cs="Times New Roman" w:eastAsia="Times New Roman" w:hAnsi="Times New Roman"/>
                  <w:sz w:val="18"/>
                  <w:szCs w:val="18"/>
                  <w:color w:val="0000EE"/>
                  <w:w w:val="97"/>
                </w:rPr>
                <w:t>Management’s Discussion and Analysis of Financial Condition and Results of Operations</w:t>
              </w:r>
            </w:hyperlink>
          </w:p>
        </w:tc>
        <w:tc>
          <w:tcPr>
            <w:tcW w:w="2840" w:type="dxa"/>
            <w:vAlign w:val="bottom"/>
            <w:gridSpan w:val="4"/>
          </w:tcPr>
          <w:p>
            <w:pPr>
              <w:spacing w:after="0"/>
              <w:rPr>
                <w:sz w:val="24"/>
                <w:szCs w:val="2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304"/>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Item 7A.</w:t>
            </w:r>
          </w:p>
        </w:tc>
        <w:tc>
          <w:tcPr>
            <w:tcW w:w="9140" w:type="dxa"/>
            <w:vAlign w:val="bottom"/>
            <w:gridSpan w:val="27"/>
          </w:tcPr>
          <w:p>
            <w:pPr>
              <w:spacing w:after="0"/>
              <w:rPr>
                <w:rFonts w:ascii="Times New Roman" w:cs="Times New Roman" w:eastAsia="Times New Roman" w:hAnsi="Times New Roman"/>
                <w:sz w:val="18"/>
                <w:szCs w:val="18"/>
                <w:color w:val="0000EE"/>
              </w:rPr>
            </w:pPr>
            <w:hyperlink w:anchor="page53">
              <w:r>
                <w:rPr>
                  <w:rFonts w:ascii="Times New Roman" w:cs="Times New Roman" w:eastAsia="Times New Roman" w:hAnsi="Times New Roman"/>
                  <w:sz w:val="18"/>
                  <w:szCs w:val="18"/>
                  <w:color w:val="0000EE"/>
                </w:rPr>
                <w:t>Quantitative and Qualitative Disclosures about Market Risk</w:t>
              </w:r>
            </w:hyperlink>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304"/>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Item 8.</w:t>
            </w:r>
          </w:p>
        </w:tc>
        <w:tc>
          <w:tcPr>
            <w:tcW w:w="4200" w:type="dxa"/>
            <w:vAlign w:val="bottom"/>
            <w:tcBorders>
              <w:top w:val="single" w:sz="8" w:color="0000EE"/>
            </w:tcBorders>
            <w:gridSpan w:val="13"/>
          </w:tcPr>
          <w:p>
            <w:pPr>
              <w:spacing w:after="0"/>
              <w:rPr>
                <w:rFonts w:ascii="Times New Roman" w:cs="Times New Roman" w:eastAsia="Times New Roman" w:hAnsi="Times New Roman"/>
                <w:sz w:val="18"/>
                <w:szCs w:val="18"/>
                <w:color w:val="0000EE"/>
              </w:rPr>
            </w:pPr>
            <w:hyperlink w:anchor="page54">
              <w:r>
                <w:rPr>
                  <w:rFonts w:ascii="Times New Roman" w:cs="Times New Roman" w:eastAsia="Times New Roman" w:hAnsi="Times New Roman"/>
                  <w:sz w:val="18"/>
                  <w:szCs w:val="18"/>
                  <w:color w:val="0000EE"/>
                </w:rPr>
                <w:t>Financial Statements and Supplementary Data</w:t>
              </w:r>
            </w:hyperlink>
          </w:p>
        </w:tc>
        <w:tc>
          <w:tcPr>
            <w:tcW w:w="4940" w:type="dxa"/>
            <w:vAlign w:val="bottom"/>
            <w:gridSpan w:val="14"/>
          </w:tcPr>
          <w:p>
            <w:pPr>
              <w:spacing w:after="0"/>
              <w:rPr>
                <w:sz w:val="24"/>
                <w:szCs w:val="2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0"/>
        </w:trPr>
        <w:tc>
          <w:tcPr>
            <w:tcW w:w="90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60" w:type="dxa"/>
            <w:vAlign w:val="bottom"/>
            <w:tcBorders>
              <w:right w:val="single" w:sz="8" w:color="0000EE"/>
            </w:tcBorders>
            <w:gridSpan w:val="4"/>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304"/>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Item 9.</w:t>
            </w:r>
          </w:p>
        </w:tc>
        <w:tc>
          <w:tcPr>
            <w:tcW w:w="6320" w:type="dxa"/>
            <w:vAlign w:val="bottom"/>
            <w:tcBorders>
              <w:bottom w:val="single" w:sz="8" w:color="0000EE"/>
            </w:tcBorders>
            <w:gridSpan w:val="24"/>
          </w:tcPr>
          <w:p>
            <w:pPr>
              <w:spacing w:after="0"/>
              <w:rPr>
                <w:rFonts w:ascii="Times New Roman" w:cs="Times New Roman" w:eastAsia="Times New Roman" w:hAnsi="Times New Roman"/>
                <w:sz w:val="18"/>
                <w:szCs w:val="18"/>
                <w:color w:val="0000EE"/>
                <w:w w:val="97"/>
              </w:rPr>
            </w:pPr>
            <w:hyperlink w:anchor="page56">
              <w:r>
                <w:rPr>
                  <w:rFonts w:ascii="Times New Roman" w:cs="Times New Roman" w:eastAsia="Times New Roman" w:hAnsi="Times New Roman"/>
                  <w:sz w:val="18"/>
                  <w:szCs w:val="18"/>
                  <w:color w:val="0000EE"/>
                  <w:w w:val="97"/>
                </w:rPr>
                <w:t>Changes in and Disagreements with Accountants on Accounting and Financial Disclosure</w:t>
              </w:r>
            </w:hyperlink>
          </w:p>
        </w:tc>
        <w:tc>
          <w:tcPr>
            <w:tcW w:w="2820" w:type="dxa"/>
            <w:vAlign w:val="bottom"/>
            <w:gridSpan w:val="3"/>
          </w:tcPr>
          <w:p>
            <w:pPr>
              <w:spacing w:after="0"/>
              <w:rPr>
                <w:sz w:val="24"/>
                <w:szCs w:val="2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304"/>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Item 9A.</w:t>
            </w:r>
          </w:p>
        </w:tc>
        <w:tc>
          <w:tcPr>
            <w:tcW w:w="9140" w:type="dxa"/>
            <w:vAlign w:val="bottom"/>
            <w:gridSpan w:val="27"/>
          </w:tcPr>
          <w:p>
            <w:pPr>
              <w:spacing w:after="0"/>
              <w:rPr>
                <w:rFonts w:ascii="Times New Roman" w:cs="Times New Roman" w:eastAsia="Times New Roman" w:hAnsi="Times New Roman"/>
                <w:sz w:val="18"/>
                <w:szCs w:val="18"/>
                <w:color w:val="0000EE"/>
              </w:rPr>
            </w:pPr>
            <w:hyperlink w:anchor="page56">
              <w:r>
                <w:rPr>
                  <w:rFonts w:ascii="Times New Roman" w:cs="Times New Roman" w:eastAsia="Times New Roman" w:hAnsi="Times New Roman"/>
                  <w:sz w:val="18"/>
                  <w:szCs w:val="18"/>
                  <w:color w:val="0000EE"/>
                </w:rPr>
                <w:t>Controls and Procedures</w:t>
              </w:r>
            </w:hyperlink>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304"/>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Item 9B.</w:t>
            </w:r>
          </w:p>
        </w:tc>
        <w:tc>
          <w:tcPr>
            <w:tcW w:w="1720" w:type="dxa"/>
            <w:vAlign w:val="bottom"/>
            <w:tcBorders>
              <w:top w:val="single" w:sz="8" w:color="0000EE"/>
            </w:tcBorders>
            <w:gridSpan w:val="7"/>
          </w:tcPr>
          <w:p>
            <w:pPr>
              <w:spacing w:after="0"/>
              <w:rPr>
                <w:rFonts w:ascii="Times New Roman" w:cs="Times New Roman" w:eastAsia="Times New Roman" w:hAnsi="Times New Roman"/>
                <w:sz w:val="18"/>
                <w:szCs w:val="18"/>
                <w:color w:val="0000EE"/>
              </w:rPr>
            </w:pPr>
            <w:hyperlink w:anchor="page60">
              <w:r>
                <w:rPr>
                  <w:rFonts w:ascii="Times New Roman" w:cs="Times New Roman" w:eastAsia="Times New Roman" w:hAnsi="Times New Roman"/>
                  <w:sz w:val="18"/>
                  <w:szCs w:val="18"/>
                  <w:color w:val="0000EE"/>
                </w:rPr>
                <w:t>Other Information</w:t>
              </w:r>
            </w:hyperlink>
          </w:p>
        </w:tc>
        <w:tc>
          <w:tcPr>
            <w:tcW w:w="7420" w:type="dxa"/>
            <w:vAlign w:val="bottom"/>
            <w:gridSpan w:val="20"/>
          </w:tcPr>
          <w:p>
            <w:pPr>
              <w:spacing w:after="0"/>
              <w:rPr>
                <w:sz w:val="24"/>
                <w:szCs w:val="2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304"/>
        </w:trPr>
        <w:tc>
          <w:tcPr>
            <w:tcW w:w="900" w:type="dxa"/>
            <w:vAlign w:val="bottom"/>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900" w:type="dxa"/>
            <w:vAlign w:val="bottom"/>
            <w:gridSpan w:val="13"/>
          </w:tcPr>
          <w:p>
            <w:pPr>
              <w:jc w:val="center"/>
              <w:ind w:right="3840"/>
              <w:spacing w:after="0"/>
              <w:rPr>
                <w:sz w:val="20"/>
                <w:szCs w:val="20"/>
                <w:color w:val="auto"/>
              </w:rPr>
            </w:pPr>
            <w:r>
              <w:rPr>
                <w:rFonts w:ascii="Times New Roman" w:cs="Times New Roman" w:eastAsia="Times New Roman" w:hAnsi="Times New Roman"/>
                <w:sz w:val="18"/>
                <w:szCs w:val="18"/>
                <w:b w:val="1"/>
                <w:bCs w:val="1"/>
                <w:color w:val="auto"/>
                <w:w w:val="93"/>
              </w:rPr>
              <w:t>PART III</w:t>
            </w:r>
          </w:p>
        </w:tc>
        <w:tc>
          <w:tcPr>
            <w:tcW w:w="1280" w:type="dxa"/>
            <w:vAlign w:val="bottom"/>
          </w:tcPr>
          <w:p>
            <w:pPr>
              <w:spacing w:after="0"/>
              <w:rPr>
                <w:sz w:val="24"/>
                <w:szCs w:val="24"/>
                <w:color w:val="auto"/>
              </w:rPr>
            </w:pPr>
          </w:p>
        </w:tc>
      </w:tr>
      <w:tr>
        <w:trPr>
          <w:trHeight w:val="304"/>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Item 10.</w:t>
            </w:r>
          </w:p>
        </w:tc>
        <w:tc>
          <w:tcPr>
            <w:tcW w:w="4420" w:type="dxa"/>
            <w:vAlign w:val="bottom"/>
            <w:gridSpan w:val="15"/>
          </w:tcPr>
          <w:p>
            <w:pPr>
              <w:spacing w:after="0"/>
              <w:rPr>
                <w:rFonts w:ascii="Times New Roman" w:cs="Times New Roman" w:eastAsia="Times New Roman" w:hAnsi="Times New Roman"/>
                <w:sz w:val="18"/>
                <w:szCs w:val="18"/>
                <w:color w:val="0000EE"/>
              </w:rPr>
            </w:pPr>
            <w:hyperlink w:anchor="page60">
              <w:r>
                <w:rPr>
                  <w:rFonts w:ascii="Times New Roman" w:cs="Times New Roman" w:eastAsia="Times New Roman" w:hAnsi="Times New Roman"/>
                  <w:sz w:val="18"/>
                  <w:szCs w:val="18"/>
                  <w:color w:val="0000EE"/>
                </w:rPr>
                <w:t>Directors and Executive Officers and Corporate Governance</w:t>
              </w:r>
            </w:hyperlink>
          </w:p>
        </w:tc>
        <w:tc>
          <w:tcPr>
            <w:tcW w:w="720" w:type="dxa"/>
            <w:vAlign w:val="bottom"/>
            <w:tcBorders>
              <w:top w:val="single" w:sz="8" w:color="auto"/>
            </w:tcBorders>
            <w:gridSpan w:val="6"/>
          </w:tcPr>
          <w:p>
            <w:pPr>
              <w:spacing w:after="0"/>
              <w:rPr>
                <w:sz w:val="24"/>
                <w:szCs w:val="24"/>
                <w:color w:val="auto"/>
              </w:rPr>
            </w:pPr>
          </w:p>
        </w:tc>
        <w:tc>
          <w:tcPr>
            <w:tcW w:w="4000" w:type="dxa"/>
            <w:vAlign w:val="bottom"/>
            <w:gridSpan w:val="6"/>
          </w:tcPr>
          <w:p>
            <w:pPr>
              <w:spacing w:after="0"/>
              <w:rPr>
                <w:sz w:val="24"/>
                <w:szCs w:val="2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304"/>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Item 11.</w:t>
            </w:r>
          </w:p>
        </w:tc>
        <w:tc>
          <w:tcPr>
            <w:tcW w:w="1760" w:type="dxa"/>
            <w:vAlign w:val="bottom"/>
            <w:tcBorders>
              <w:top w:val="single" w:sz="8" w:color="0000EE"/>
              <w:bottom w:val="single" w:sz="8" w:color="0000EE"/>
            </w:tcBorders>
            <w:gridSpan w:val="8"/>
          </w:tcPr>
          <w:p>
            <w:pPr>
              <w:spacing w:after="0"/>
              <w:rPr>
                <w:rFonts w:ascii="Times New Roman" w:cs="Times New Roman" w:eastAsia="Times New Roman" w:hAnsi="Times New Roman"/>
                <w:sz w:val="18"/>
                <w:szCs w:val="18"/>
                <w:color w:val="0000EE"/>
                <w:w w:val="96"/>
              </w:rPr>
            </w:pPr>
            <w:hyperlink w:anchor="page60">
              <w:r>
                <w:rPr>
                  <w:rFonts w:ascii="Times New Roman" w:cs="Times New Roman" w:eastAsia="Times New Roman" w:hAnsi="Times New Roman"/>
                  <w:sz w:val="18"/>
                  <w:szCs w:val="18"/>
                  <w:color w:val="0000EE"/>
                  <w:w w:val="96"/>
                </w:rPr>
                <w:t>Executive Compensation</w:t>
              </w:r>
            </w:hyperlink>
          </w:p>
        </w:tc>
        <w:tc>
          <w:tcPr>
            <w:tcW w:w="2480" w:type="dxa"/>
            <w:vAlign w:val="bottom"/>
            <w:tcBorders>
              <w:top w:val="single" w:sz="8" w:color="0000EE"/>
            </w:tcBorders>
            <w:gridSpan w:val="6"/>
          </w:tcPr>
          <w:p>
            <w:pPr>
              <w:spacing w:after="0"/>
              <w:rPr>
                <w:sz w:val="24"/>
                <w:szCs w:val="24"/>
                <w:color w:val="auto"/>
              </w:rPr>
            </w:pPr>
          </w:p>
        </w:tc>
        <w:tc>
          <w:tcPr>
            <w:tcW w:w="4900" w:type="dxa"/>
            <w:vAlign w:val="bottom"/>
            <w:gridSpan w:val="13"/>
          </w:tcPr>
          <w:p>
            <w:pPr>
              <w:spacing w:after="0"/>
              <w:rPr>
                <w:sz w:val="24"/>
                <w:szCs w:val="2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304"/>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Item 12.</w:t>
            </w:r>
          </w:p>
        </w:tc>
        <w:tc>
          <w:tcPr>
            <w:tcW w:w="7120" w:type="dxa"/>
            <w:vAlign w:val="bottom"/>
            <w:tcBorders>
              <w:bottom w:val="single" w:sz="8" w:color="0000EE"/>
            </w:tcBorders>
            <w:gridSpan w:val="25"/>
          </w:tcPr>
          <w:p>
            <w:pPr>
              <w:spacing w:after="0"/>
              <w:rPr>
                <w:rFonts w:ascii="Times New Roman" w:cs="Times New Roman" w:eastAsia="Times New Roman" w:hAnsi="Times New Roman"/>
                <w:sz w:val="18"/>
                <w:szCs w:val="18"/>
                <w:color w:val="0000EE"/>
                <w:w w:val="97"/>
              </w:rPr>
            </w:pPr>
            <w:hyperlink w:anchor="page60">
              <w:r>
                <w:rPr>
                  <w:rFonts w:ascii="Times New Roman" w:cs="Times New Roman" w:eastAsia="Times New Roman" w:hAnsi="Times New Roman"/>
                  <w:sz w:val="18"/>
                  <w:szCs w:val="18"/>
                  <w:color w:val="0000EE"/>
                  <w:w w:val="97"/>
                </w:rPr>
                <w:t>Security Ownership of Certain Beneficial Owners and Management and Related Stockholder Matters</w:t>
              </w:r>
            </w:hyperlink>
          </w:p>
        </w:tc>
        <w:tc>
          <w:tcPr>
            <w:tcW w:w="2020" w:type="dxa"/>
            <w:vAlign w:val="bottom"/>
            <w:gridSpan w:val="2"/>
          </w:tcPr>
          <w:p>
            <w:pPr>
              <w:spacing w:after="0"/>
              <w:rPr>
                <w:sz w:val="24"/>
                <w:szCs w:val="2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304"/>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Item 13.</w:t>
            </w:r>
          </w:p>
        </w:tc>
        <w:tc>
          <w:tcPr>
            <w:tcW w:w="5280" w:type="dxa"/>
            <w:vAlign w:val="bottom"/>
            <w:tcBorders>
              <w:bottom w:val="single" w:sz="8" w:color="0000EE"/>
            </w:tcBorders>
            <w:gridSpan w:val="22"/>
          </w:tcPr>
          <w:p>
            <w:pPr>
              <w:spacing w:after="0"/>
              <w:rPr>
                <w:rFonts w:ascii="Times New Roman" w:cs="Times New Roman" w:eastAsia="Times New Roman" w:hAnsi="Times New Roman"/>
                <w:sz w:val="18"/>
                <w:szCs w:val="18"/>
                <w:color w:val="0000EE"/>
                <w:w w:val="97"/>
              </w:rPr>
            </w:pPr>
            <w:hyperlink w:anchor="page60">
              <w:r>
                <w:rPr>
                  <w:rFonts w:ascii="Times New Roman" w:cs="Times New Roman" w:eastAsia="Times New Roman" w:hAnsi="Times New Roman"/>
                  <w:sz w:val="18"/>
                  <w:szCs w:val="18"/>
                  <w:color w:val="0000EE"/>
                  <w:w w:val="97"/>
                </w:rPr>
                <w:t>Certain Relationships and Related Transactions and Director Independence</w:t>
              </w:r>
            </w:hyperlink>
          </w:p>
        </w:tc>
        <w:tc>
          <w:tcPr>
            <w:tcW w:w="3860" w:type="dxa"/>
            <w:vAlign w:val="bottom"/>
            <w:gridSpan w:val="5"/>
          </w:tcPr>
          <w:p>
            <w:pPr>
              <w:spacing w:after="0"/>
              <w:rPr>
                <w:sz w:val="24"/>
                <w:szCs w:val="2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304"/>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Item 14.</w:t>
            </w:r>
          </w:p>
        </w:tc>
        <w:tc>
          <w:tcPr>
            <w:tcW w:w="9140" w:type="dxa"/>
            <w:vAlign w:val="bottom"/>
            <w:gridSpan w:val="27"/>
          </w:tcPr>
          <w:p>
            <w:pPr>
              <w:spacing w:after="0"/>
              <w:rPr>
                <w:rFonts w:ascii="Times New Roman" w:cs="Times New Roman" w:eastAsia="Times New Roman" w:hAnsi="Times New Roman"/>
                <w:sz w:val="18"/>
                <w:szCs w:val="18"/>
                <w:color w:val="0000EE"/>
              </w:rPr>
            </w:pPr>
            <w:hyperlink w:anchor="page60">
              <w:r>
                <w:rPr>
                  <w:rFonts w:ascii="Times New Roman" w:cs="Times New Roman" w:eastAsia="Times New Roman" w:hAnsi="Times New Roman"/>
                  <w:sz w:val="18"/>
                  <w:szCs w:val="18"/>
                  <w:color w:val="0000EE"/>
                </w:rPr>
                <w:t>Principal Accounting Fees and Services</w:t>
              </w:r>
            </w:hyperlink>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304"/>
        </w:trPr>
        <w:tc>
          <w:tcPr>
            <w:tcW w:w="900" w:type="dxa"/>
            <w:vAlign w:val="bottom"/>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00" w:type="dxa"/>
            <w:vAlign w:val="bottom"/>
            <w:tcBorders>
              <w:top w:val="single" w:sz="8" w:color="0000EE"/>
            </w:tcBorders>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2"/>
              </w:rPr>
              <w:t>PART IV</w:t>
            </w:r>
          </w:p>
        </w:tc>
        <w:tc>
          <w:tcPr>
            <w:tcW w:w="4020" w:type="dxa"/>
            <w:vAlign w:val="bottom"/>
            <w:gridSpan w:val="7"/>
          </w:tcPr>
          <w:p>
            <w:pPr>
              <w:spacing w:after="0"/>
              <w:rPr>
                <w:sz w:val="24"/>
                <w:szCs w:val="24"/>
                <w:color w:val="auto"/>
              </w:rPr>
            </w:pPr>
          </w:p>
        </w:tc>
        <w:tc>
          <w:tcPr>
            <w:tcW w:w="1280" w:type="dxa"/>
            <w:vAlign w:val="bottom"/>
          </w:tcPr>
          <w:p>
            <w:pPr>
              <w:spacing w:after="0"/>
              <w:rPr>
                <w:sz w:val="24"/>
                <w:szCs w:val="24"/>
                <w:color w:val="auto"/>
              </w:rPr>
            </w:pPr>
          </w:p>
        </w:tc>
      </w:tr>
      <w:tr>
        <w:trPr>
          <w:trHeight w:val="304"/>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Item 15.</w:t>
            </w:r>
          </w:p>
        </w:tc>
        <w:tc>
          <w:tcPr>
            <w:tcW w:w="9140" w:type="dxa"/>
            <w:vAlign w:val="bottom"/>
            <w:gridSpan w:val="27"/>
          </w:tcPr>
          <w:p>
            <w:pPr>
              <w:spacing w:after="0"/>
              <w:rPr>
                <w:rFonts w:ascii="Times New Roman" w:cs="Times New Roman" w:eastAsia="Times New Roman" w:hAnsi="Times New Roman"/>
                <w:sz w:val="18"/>
                <w:szCs w:val="18"/>
                <w:color w:val="0000EE"/>
              </w:rPr>
            </w:pPr>
            <w:hyperlink w:anchor="page61">
              <w:r>
                <w:rPr>
                  <w:rFonts w:ascii="Times New Roman" w:cs="Times New Roman" w:eastAsia="Times New Roman" w:hAnsi="Times New Roman"/>
                  <w:sz w:val="18"/>
                  <w:szCs w:val="18"/>
                  <w:color w:val="0000EE"/>
                </w:rPr>
                <w:t>Exhibits and Financial Statement Schedules</w:t>
              </w:r>
            </w:hyperlink>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20"/>
        </w:trPr>
        <w:tc>
          <w:tcPr>
            <w:tcW w:w="90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840" w:type="dxa"/>
            <w:vAlign w:val="bottom"/>
            <w:gridSpan w:val="10"/>
            <w:shd w:val="clear" w:color="auto" w:fill="0000EE"/>
          </w:tcPr>
          <w:p>
            <w:pPr>
              <w:spacing w:after="0" w:line="20" w:lineRule="exact"/>
              <w:rPr>
                <w:sz w:val="1"/>
                <w:szCs w:val="1"/>
                <w:color w:val="auto"/>
              </w:rPr>
            </w:pPr>
          </w:p>
        </w:tc>
        <w:tc>
          <w:tcPr>
            <w:tcW w:w="6060" w:type="dxa"/>
            <w:vAlign w:val="bottom"/>
            <w:gridSpan w:val="16"/>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304"/>
        </w:trPr>
        <w:tc>
          <w:tcPr>
            <w:tcW w:w="1140" w:type="dxa"/>
            <w:vAlign w:val="bottom"/>
            <w:tcBorders>
              <w:bottom w:val="single" w:sz="8" w:color="0000EE"/>
            </w:tcBorders>
            <w:gridSpan w:val="2"/>
          </w:tcPr>
          <w:p>
            <w:pPr>
              <w:spacing w:after="0"/>
              <w:rPr>
                <w:rFonts w:ascii="Times New Roman" w:cs="Times New Roman" w:eastAsia="Times New Roman" w:hAnsi="Times New Roman"/>
                <w:sz w:val="18"/>
                <w:szCs w:val="18"/>
                <w:b w:val="1"/>
                <w:bCs w:val="1"/>
                <w:color w:val="0000EE"/>
                <w:w w:val="95"/>
              </w:rPr>
            </w:pPr>
            <w:hyperlink w:anchor="page102">
              <w:r>
                <w:rPr>
                  <w:rFonts w:ascii="Times New Roman" w:cs="Times New Roman" w:eastAsia="Times New Roman" w:hAnsi="Times New Roman"/>
                  <w:sz w:val="18"/>
                  <w:szCs w:val="18"/>
                  <w:b w:val="1"/>
                  <w:bCs w:val="1"/>
                  <w:color w:val="0000EE"/>
                  <w:w w:val="95"/>
                </w:rPr>
                <w:t>SIGNATURES</w:t>
              </w:r>
            </w:hyperlink>
          </w:p>
        </w:tc>
        <w:tc>
          <w:tcPr>
            <w:tcW w:w="8900" w:type="dxa"/>
            <w:vAlign w:val="bottom"/>
            <w:gridSpan w:val="26"/>
          </w:tcPr>
          <w:p>
            <w:pPr>
              <w:spacing w:after="0"/>
              <w:rPr>
                <w:sz w:val="24"/>
                <w:szCs w:val="2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383"/>
        </w:trPr>
        <w:tc>
          <w:tcPr>
            <w:tcW w:w="900" w:type="dxa"/>
            <w:vAlign w:val="bottom"/>
          </w:tcPr>
          <w:p>
            <w:pPr>
              <w:spacing w:after="0"/>
              <w:rPr>
                <w:sz w:val="24"/>
                <w:szCs w:val="24"/>
                <w:color w:val="auto"/>
              </w:rPr>
            </w:pPr>
          </w:p>
        </w:tc>
        <w:tc>
          <w:tcPr>
            <w:tcW w:w="5060" w:type="dxa"/>
            <w:vAlign w:val="bottom"/>
            <w:gridSpan w:val="18"/>
          </w:tcPr>
          <w:p>
            <w:pPr>
              <w:ind w:left="4780"/>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80" w:type="dxa"/>
            <w:vAlign w:val="bottom"/>
          </w:tcPr>
          <w:p>
            <w:pPr>
              <w:spacing w:after="0"/>
              <w:rPr>
                <w:sz w:val="24"/>
                <w:szCs w:val="24"/>
                <w:color w:val="auto"/>
              </w:rPr>
            </w:pPr>
          </w:p>
        </w:tc>
      </w:tr>
    </w:tbl>
    <w:p>
      <w:pPr>
        <w:sectPr>
          <w:pgSz w:w="11900" w:h="16838" w:orient="portrait"/>
          <w:cols w:equalWidth="0" w:num="1">
            <w:col w:w="11320"/>
          </w:cols>
          <w:pgMar w:left="240" w:top="455" w:right="339" w:bottom="1440" w:gutter="0" w:footer="0" w:header="0"/>
        </w:sectPr>
      </w:pPr>
    </w:p>
    <w:bookmarkStart w:id="2" w:name="page3"/>
    <w:bookmarkEnd w:id="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92" w:lineRule="exact"/>
        <w:rPr>
          <w:sz w:val="20"/>
          <w:szCs w:val="20"/>
          <w:color w:val="auto"/>
        </w:rPr>
      </w:pPr>
    </w:p>
    <w:p>
      <w:pPr>
        <w:ind w:firstLine="456"/>
        <w:spacing w:after="0" w:line="287" w:lineRule="auto"/>
        <w:rPr>
          <w:sz w:val="20"/>
          <w:szCs w:val="20"/>
          <w:color w:val="auto"/>
        </w:rPr>
      </w:pPr>
      <w:r>
        <w:rPr>
          <w:rFonts w:ascii="Times New Roman" w:cs="Times New Roman" w:eastAsia="Times New Roman" w:hAnsi="Times New Roman"/>
          <w:sz w:val="16"/>
          <w:szCs w:val="16"/>
          <w:color w:val="auto"/>
        </w:rPr>
        <w:t>Certain statements in this Annual Report on Form 10-K may constitute “forward-looking” statements as defined in Section 27A of the Securities Act of 1933 (the “Securities Act”), Section 21E of the Securities Exchange Act of 1934 (the “Exchange Act”), the Private Securities Litigation Reform Act of 1995 (the “PSLRA”) or in releases made by the Securities and Exchange Commission (“SEC”), all as may be amended from time to time. Such forward-looking statements involve known and unknown risks, uncertainties and other important factors that could cause the actual results, performance or achievements of Great Lakes Dredge &amp; Dock Corporation and its subsidiaries (“Great Lakes”), or industry results, to differ materially from any future results, performance or achievements expressed or implied by such forward-looking statements. Statements that are not historical fact are forward-looking statements. Forward-looking statements can be identified by, among other things, the use of forward-looking language, such as the words “plan,” “believe,” “expect,” “anticipate,” “intend,” “estimate,” “project,” “may,” “would,” “could,” “should,” “seeks,” or “scheduled to,” or other similar words, or the negative of these terms or other variations of these terms or comparable language, or by discussion of strategy or intentions. These cautionary statements are being made pursuant to the Securities Act, the Exchange Act and the PSLRA with the intention of obtaining the benefits of the “safe harbor” provisions of such laws. Great Lakes cautions investors that any forward-looking statements made by Great Lakes are not guarantees or indicative of future performance. Important assumptions and other important factors that could cause actual results to differ materially from those forward-looking statements with respect to Great Lakes, include, but are not limited to, risks and uncertainties that are described in Item 1A of this Annual Report on Form 10-K for the year ended December 31, 2012, and in other securities filings by Great Lakes with the SEC.</w:t>
      </w:r>
    </w:p>
    <w:p>
      <w:pPr>
        <w:spacing w:after="0" w:line="331" w:lineRule="exact"/>
        <w:rPr>
          <w:sz w:val="20"/>
          <w:szCs w:val="20"/>
          <w:color w:val="auto"/>
        </w:rPr>
      </w:pPr>
    </w:p>
    <w:p>
      <w:pPr>
        <w:ind w:right="20" w:firstLine="456"/>
        <w:spacing w:after="0" w:line="256" w:lineRule="auto"/>
        <w:rPr>
          <w:sz w:val="20"/>
          <w:szCs w:val="20"/>
          <w:color w:val="auto"/>
        </w:rPr>
      </w:pPr>
      <w:r>
        <w:rPr>
          <w:rFonts w:ascii="Times New Roman" w:cs="Times New Roman" w:eastAsia="Times New Roman" w:hAnsi="Times New Roman"/>
          <w:sz w:val="18"/>
          <w:szCs w:val="18"/>
          <w:color w:val="auto"/>
        </w:rPr>
        <w:t>Although Great Lakes believes that its plans, intentions and expectations reflected in or suggested by such forward-looking statements are reasonable, actual results could differ materially from a projection or assumption in any forward-looking statements. Great Lakes’ future financial condition and results of operations, as well as any forward-looking statements, are subject to change and inherent risks and uncertainties. The forward-looking statements contained in this Annual Report on Form 10-K are made only as of the date hereof and Great Lakes does not have or undertake any obligation to update or revise any forward-looking statements whether as a result of new information, subsequent events or otherwise, unless otherwise required by law.</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Availability of Information</w:t>
      </w:r>
    </w:p>
    <w:p>
      <w:pPr>
        <w:spacing w:after="0" w:line="92" w:lineRule="exact"/>
        <w:rPr>
          <w:sz w:val="20"/>
          <w:szCs w:val="20"/>
          <w:color w:val="auto"/>
        </w:rPr>
      </w:pPr>
    </w:p>
    <w:p>
      <w:pPr>
        <w:ind w:right="80" w:firstLine="456"/>
        <w:spacing w:after="0" w:line="256" w:lineRule="auto"/>
        <w:rPr>
          <w:sz w:val="20"/>
          <w:szCs w:val="20"/>
          <w:color w:val="auto"/>
        </w:rPr>
      </w:pPr>
      <w:r>
        <w:rPr>
          <w:rFonts w:ascii="Times New Roman" w:cs="Times New Roman" w:eastAsia="Times New Roman" w:hAnsi="Times New Roman"/>
          <w:sz w:val="18"/>
          <w:szCs w:val="18"/>
          <w:color w:val="auto"/>
        </w:rPr>
        <w:t>You may read and copy any materials Great Lakes files with the SEC at the SEC’s Public Reference Room at 100 F Street, N.E., Washington, D.C. 20549. Copies of such materials also can be obtained at the SEC’s website, www.sec.gov or by mail from the Public Reference Room of the SEC, at prescribed rates. Please call the SEC at 1-800-SEC-0330 for further information on the Public Reference Room. Great Lakes’ SEC filings are also available to the public, free of charge, on its corporate website, www.gldd.com as soon as reasonably practicable after Great Lakes electronically files such material with, or furnishes it to, the SEC.</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400"/>
          </w:cols>
          <w:pgMar w:left="240" w:top="455" w:right="259" w:bottom="1440" w:gutter="0" w:footer="0" w:header="0"/>
        </w:sectPr>
      </w:pPr>
    </w:p>
    <w:bookmarkStart w:id="3" w:name="page4"/>
    <w:bookmarkEnd w:id="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12"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6"/>
          <w:szCs w:val="16"/>
          <w:b w:val="1"/>
          <w:bCs w:val="1"/>
          <w:color w:val="auto"/>
        </w:rPr>
        <w:t>Business</w:t>
      </w:r>
    </w:p>
    <w:p>
      <w:pPr>
        <w:spacing w:after="0" w:line="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terms “we,” “our,” “ours,” “us,” “Great Lakes” and “Company” refer to Great Lakes Dredge &amp; Dock Corporation and its subsidiaries.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Organization</w:t>
      </w:r>
    </w:p>
    <w:p>
      <w:pPr>
        <w:spacing w:after="0" w:line="92" w:lineRule="exact"/>
        <w:rPr>
          <w:sz w:val="20"/>
          <w:szCs w:val="20"/>
          <w:color w:val="auto"/>
        </w:rPr>
      </w:pPr>
    </w:p>
    <w:p>
      <w:pPr>
        <w:ind w:right="120" w:firstLine="456"/>
        <w:spacing w:after="0" w:line="293" w:lineRule="auto"/>
        <w:rPr>
          <w:sz w:val="20"/>
          <w:szCs w:val="20"/>
          <w:color w:val="auto"/>
        </w:rPr>
      </w:pPr>
      <w:r>
        <w:rPr>
          <w:rFonts w:ascii="Times New Roman" w:cs="Times New Roman" w:eastAsia="Times New Roman" w:hAnsi="Times New Roman"/>
          <w:sz w:val="16"/>
          <w:szCs w:val="16"/>
          <w:color w:val="auto"/>
        </w:rPr>
        <w:t>Great Lakes is the largest provider of dredging services in the United States. The Company was founded in 1890 as Lydon &amp; Drews Partnership and performed its first project in Chicago, Illinois. The Company changed its name to Great Lakes Dredge &amp; Dock Company in 1905 and was involved in a number of marine construction and landfill projects along the Chicago lakefront and in the surrounding Great Lakes region. Great Lakes now provides dredging services in the East, West, and Gulf Coasts of the United States and worldwide. The Company also owns demolition service providers which primarily offer demolition and remediation services in the Northeast and Midwest U.S. areas. The Company has a 50% interest in Amboy Aggregates, a sand dredging operation in New Jersey and a 50% interest in TerraSea Environmental Solutions, (“TerraSea”) an environmental remediation services business.</w:t>
      </w:r>
    </w:p>
    <w:p>
      <w:pPr>
        <w:spacing w:after="0" w:line="111"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On December 31, 2012, the Company acquired the assets and assumed certain liabilities of Terra Contracting, LLC (“Terra”), a respected provider of a wide variety of essential services for environmental, maintenance and infrastructure-related applications headquartered in Kalamazoo, MI, for a purchase price of approximately $26 million. The Terra acquisition has broadened the Company’s demolition segment with additional services and expertise as well as expanded its footprint in the Midwest.</w:t>
      </w:r>
    </w:p>
    <w:p>
      <w:pPr>
        <w:spacing w:after="0" w:line="136" w:lineRule="exact"/>
        <w:rPr>
          <w:sz w:val="20"/>
          <w:szCs w:val="20"/>
          <w:color w:val="auto"/>
        </w:rPr>
      </w:pPr>
    </w:p>
    <w:p>
      <w:pPr>
        <w:ind w:right="200" w:firstLine="456"/>
        <w:spacing w:after="0" w:line="258" w:lineRule="auto"/>
        <w:rPr>
          <w:sz w:val="20"/>
          <w:szCs w:val="20"/>
          <w:color w:val="auto"/>
        </w:rPr>
      </w:pPr>
      <w:r>
        <w:rPr>
          <w:rFonts w:ascii="Times New Roman" w:cs="Times New Roman" w:eastAsia="Times New Roman" w:hAnsi="Times New Roman"/>
          <w:sz w:val="18"/>
          <w:szCs w:val="18"/>
          <w:color w:val="auto"/>
        </w:rPr>
        <w:t>On December 31, 2010 the Company acquired the assets of L.W. Matteson, Inc. (“Matteson”), a maintenance and environmental dredging and levee construction company located in Burlington, Iowa for $45 million. The acquisition was funded with $37.5 million in cash and a seller note of $7.5 million. The Matteson acquisition expanded the Company’s service offering into lake and river dredging, inland levee and construction dredging, environmental restoration and habitat improvement and other marine construction.</w:t>
      </w:r>
    </w:p>
    <w:p>
      <w:pPr>
        <w:spacing w:after="0" w:line="136" w:lineRule="exact"/>
        <w:rPr>
          <w:sz w:val="20"/>
          <w:szCs w:val="20"/>
          <w:color w:val="auto"/>
        </w:rPr>
      </w:pPr>
    </w:p>
    <w:p>
      <w:pPr>
        <w:ind w:right="40" w:firstLine="456"/>
        <w:spacing w:after="0" w:line="255" w:lineRule="auto"/>
        <w:rPr>
          <w:sz w:val="20"/>
          <w:szCs w:val="20"/>
          <w:color w:val="auto"/>
        </w:rPr>
      </w:pPr>
      <w:r>
        <w:rPr>
          <w:rFonts w:ascii="Times New Roman" w:cs="Times New Roman" w:eastAsia="Times New Roman" w:hAnsi="Times New Roman"/>
          <w:sz w:val="18"/>
          <w:szCs w:val="18"/>
          <w:color w:val="auto"/>
        </w:rPr>
        <w:t>At year end the Company operates in four operating segments that, through aggregation, comprise two reportable segments: dredging and demolition. Four operating segments were aggregated into two reportable segments as the segments have similarity in economic margins, services, production processes, customer types, distribution methods and regulatory environment. The Company has determined that the operating segments are the Company’s four reporting units. Prior to the re-evaluation of segments at year end, the Company had two reportable segments that were operating segments and the reporting units. Financial information about the Company’s reportable segments and operating revenues by geographic region is provided in Note 15 to the Company’s consolidated financial statements.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Dredging Operations (approximately 85% of 2012 total revenues)</w:t>
      </w:r>
    </w:p>
    <w:p>
      <w:pPr>
        <w:spacing w:after="0" w:line="92" w:lineRule="exact"/>
        <w:rPr>
          <w:sz w:val="20"/>
          <w:szCs w:val="20"/>
          <w:color w:val="auto"/>
        </w:rPr>
      </w:pPr>
    </w:p>
    <w:p>
      <w:pPr>
        <w:ind w:right="60" w:firstLine="456"/>
        <w:spacing w:after="0" w:line="293" w:lineRule="auto"/>
        <w:rPr>
          <w:sz w:val="20"/>
          <w:szCs w:val="20"/>
          <w:color w:val="auto"/>
        </w:rPr>
      </w:pPr>
      <w:r>
        <w:rPr>
          <w:rFonts w:ascii="Times New Roman" w:cs="Times New Roman" w:eastAsia="Times New Roman" w:hAnsi="Times New Roman"/>
          <w:sz w:val="16"/>
          <w:szCs w:val="16"/>
          <w:color w:val="auto"/>
        </w:rPr>
        <w:t>Dredging generally involves the enhancement or preservation of navigability of waterways or the protection of shorelines through the removal or replenishment of soil, sand or rock. The U.S. dredging market consists of three primary types of work: capital, coastal protection (formerly referred to as beach nourishment) and maintenance. The Company’s “bid market” is defined as the aggregate dollar value of domestic projects on which the Company bid or could have bid if not for capacity constraints. The Company experienced an average combined bid market share in the U.S. of 39% over the prior three years, including 41%, 60% and 32% of the domestic capital, coastal protection and maintenance sectors, respectively. The foregoing bid market data does not reflect rivers &amp; lakes activities. The Company’s average bid market share of rivers &amp; lakes in the two years of activity since the Matteson acquisition is 39%.</w:t>
      </w:r>
    </w:p>
    <w:p>
      <w:pPr>
        <w:spacing w:after="0" w:line="9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400"/>
          </w:cols>
          <w:pgMar w:left="240" w:top="455" w:right="259" w:bottom="1440" w:gutter="0" w:footer="0" w:header="0"/>
        </w:sectPr>
      </w:pPr>
    </w:p>
    <w:bookmarkStart w:id="4" w:name="page5"/>
    <w:bookmarkEnd w:id="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180" w:firstLine="456"/>
        <w:spacing w:after="0" w:line="275" w:lineRule="auto"/>
        <w:rPr>
          <w:sz w:val="20"/>
          <w:szCs w:val="20"/>
          <w:color w:val="auto"/>
        </w:rPr>
      </w:pPr>
      <w:r>
        <w:rPr>
          <w:rFonts w:ascii="Times New Roman" w:cs="Times New Roman" w:eastAsia="Times New Roman" w:hAnsi="Times New Roman"/>
          <w:sz w:val="18"/>
          <w:szCs w:val="18"/>
          <w:color w:val="auto"/>
        </w:rPr>
        <w:t>In addition, the Company is the only U.S. dredging service provider with significant international operations. Over the prior three years, foreign dredging operations accounted for an average of 17% of the Company’s dredging revenues.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Domestic Dredging Operations</w:t>
      </w:r>
    </w:p>
    <w:p>
      <w:pPr>
        <w:spacing w:after="0" w:line="9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Over its 122-year history, the Company has grown to be a leader in capital, coastal protection and maintenance dredging in the U.S.</w:t>
      </w:r>
    </w:p>
    <w:p>
      <w:pPr>
        <w:spacing w:after="0" w:line="169" w:lineRule="exact"/>
        <w:rPr>
          <w:sz w:val="20"/>
          <w:szCs w:val="20"/>
          <w:color w:val="auto"/>
        </w:rPr>
      </w:pPr>
    </w:p>
    <w:p>
      <w:pPr>
        <w:ind w:right="100" w:firstLine="456"/>
        <w:spacing w:after="0" w:line="257" w:lineRule="auto"/>
        <w:rPr>
          <w:sz w:val="20"/>
          <w:szCs w:val="20"/>
          <w:color w:val="auto"/>
        </w:rPr>
      </w:pPr>
      <w:r>
        <w:rPr>
          <w:rFonts w:ascii="Times New Roman" w:cs="Times New Roman" w:eastAsia="Times New Roman" w:hAnsi="Times New Roman"/>
          <w:sz w:val="18"/>
          <w:szCs w:val="18"/>
          <w:i w:val="1"/>
          <w:iCs w:val="1"/>
          <w:color w:val="auto"/>
        </w:rPr>
        <w:t>Capital (approximately 30% of 2012 dredging revenues)</w:t>
      </w:r>
      <w:r>
        <w:rPr>
          <w:rFonts w:ascii="Times New Roman" w:cs="Times New Roman" w:eastAsia="Times New Roman" w:hAnsi="Times New Roman"/>
          <w:sz w:val="18"/>
          <w:szCs w:val="18"/>
          <w:color w:val="auto"/>
        </w:rPr>
        <w:t>. Capital dredging consists primarily of port expansion projects, which involve the deepening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channels to allow access by larger, deeper draft ships and the provision of land fill used to expand port facilities. In addition to port work, capital projects also include land reclamations, trench digging for pipelines, tunnels and cables, and other dredging related to the construction of breakwaters, jetties, canals and other marine structures. Although capital work can be impacted by budgetary constraints and economic conditions, these projects typically generate an immediate economic benefit to the ports and surrounding communities.</w:t>
      </w:r>
    </w:p>
    <w:p>
      <w:pPr>
        <w:spacing w:after="0" w:line="134" w:lineRule="exact"/>
        <w:rPr>
          <w:sz w:val="20"/>
          <w:szCs w:val="20"/>
          <w:color w:val="auto"/>
        </w:rPr>
      </w:pPr>
    </w:p>
    <w:p>
      <w:pPr>
        <w:ind w:right="20" w:firstLine="456"/>
        <w:spacing w:after="0" w:line="255" w:lineRule="auto"/>
        <w:rPr>
          <w:sz w:val="20"/>
          <w:szCs w:val="20"/>
          <w:color w:val="auto"/>
        </w:rPr>
      </w:pPr>
      <w:r>
        <w:rPr>
          <w:rFonts w:ascii="Times New Roman" w:cs="Times New Roman" w:eastAsia="Times New Roman" w:hAnsi="Times New Roman"/>
          <w:sz w:val="18"/>
          <w:szCs w:val="18"/>
          <w:i w:val="1"/>
          <w:iCs w:val="1"/>
          <w:color w:val="auto"/>
        </w:rPr>
        <w:t>Coastal protection (approximately 22% of 2012 dredging revenues)</w:t>
      </w:r>
      <w:r>
        <w:rPr>
          <w:rFonts w:ascii="Times New Roman" w:cs="Times New Roman" w:eastAsia="Times New Roman" w:hAnsi="Times New Roman"/>
          <w:sz w:val="18"/>
          <w:szCs w:val="18"/>
          <w:color w:val="auto"/>
        </w:rPr>
        <w:t>. Coastal protection was previously referred to as beach nourishment. Coastal protection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is a more accurate description of this important dredging work that protects valuable infrastructure along the coast lines. Coastal protection projects generally involve moving sand from the ocean floor to shoreline locations where erosion threatens shoreline assets. Beach erosion is a continuous problem that has intensified with the rise in coastal development and has become an important issue for state and local governments concerned with protecting beachfront tourism and real estate. Coastal protection via beach nourishment is often viewed as a better response to erosion than trapping sand through the use of sea walls and jetties, or relocating buildings and other assets away from the shoreline. Generally, coastal protection projects take place during the fall and winter months to minimize interference with bird and marine life migration and breeding patterns and coastal recreation activities.</w:t>
      </w:r>
    </w:p>
    <w:p>
      <w:pPr>
        <w:spacing w:after="0" w:line="135" w:lineRule="exact"/>
        <w:rPr>
          <w:sz w:val="20"/>
          <w:szCs w:val="20"/>
          <w:color w:val="auto"/>
        </w:rPr>
      </w:pPr>
    </w:p>
    <w:p>
      <w:pPr>
        <w:ind w:right="120" w:firstLine="456"/>
        <w:spacing w:after="0" w:line="302" w:lineRule="auto"/>
        <w:rPr>
          <w:sz w:val="20"/>
          <w:szCs w:val="20"/>
          <w:color w:val="auto"/>
        </w:rPr>
      </w:pPr>
      <w:r>
        <w:rPr>
          <w:rFonts w:ascii="Times New Roman" w:cs="Times New Roman" w:eastAsia="Times New Roman" w:hAnsi="Times New Roman"/>
          <w:sz w:val="16"/>
          <w:szCs w:val="16"/>
          <w:i w:val="1"/>
          <w:iCs w:val="1"/>
          <w:color w:val="auto"/>
        </w:rPr>
        <w:t>Maintenance (approximately 23% of 2012 dredging revenues)</w:t>
      </w:r>
      <w:r>
        <w:rPr>
          <w:rFonts w:ascii="Times New Roman" w:cs="Times New Roman" w:eastAsia="Times New Roman" w:hAnsi="Times New Roman"/>
          <w:sz w:val="16"/>
          <w:szCs w:val="16"/>
          <w:color w:val="auto"/>
        </w:rPr>
        <w:t>. Maintenance dredging consists of the re-dredging of previously deepened waterways and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harbors to remove silt, sand and other accumulated sediments. Due to natural sedimentation, most channels generally require maintenance dredging every one to three years, thus creating a recurring source of dredging work that is typically non-deferrable if optimal navigability is to be maintained. In addition, severe weather such as hurricanes, flooding and droughts can also cause the accumulation of sediments and drive the need for maintenance dredging.</w:t>
      </w:r>
    </w:p>
    <w:p>
      <w:pPr>
        <w:spacing w:after="0" w:line="100"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i w:val="1"/>
          <w:iCs w:val="1"/>
          <w:color w:val="auto"/>
        </w:rPr>
        <w:t>Rivers &amp; lakes (approximately 6% of 2012 dredging revenues)</w:t>
      </w:r>
      <w:r>
        <w:rPr>
          <w:rFonts w:ascii="Times New Roman" w:cs="Times New Roman" w:eastAsia="Times New Roman" w:hAnsi="Times New Roman"/>
          <w:sz w:val="18"/>
          <w:szCs w:val="18"/>
          <w:color w:val="auto"/>
        </w:rPr>
        <w:t>. Domestic rivers and lakes dredging and related operations typically consist of lake and river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dredging, inland levee and construction dredging, environmental restoration and habitat improvement and other marine construction projects. With the completion of the Matteson acquisition, commencing January 1, 2011 the Company was able to target and perform additional projects along U.S. inland waterways, which includes rivers and lakes. Establishing a presence in these markets enables the Company to bid for and take advantage of opportunities that were previously generally outside of its operating scope. Generally, inland river and lake projects in the northern U.S. take place in non-winter months because frozen waterways significantly reduce the Company’s ability to operate and transport its equipment in the relevant geographies.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Dredging Operations (approximately 19% of 2012 dredging revenues)</w:t>
      </w:r>
    </w:p>
    <w:p>
      <w:pPr>
        <w:spacing w:after="0" w:line="94" w:lineRule="exact"/>
        <w:rPr>
          <w:sz w:val="20"/>
          <w:szCs w:val="20"/>
          <w:color w:val="auto"/>
        </w:rPr>
      </w:pPr>
    </w:p>
    <w:p>
      <w:pPr>
        <w:ind w:right="160" w:firstLine="456"/>
        <w:spacing w:after="0" w:line="256" w:lineRule="auto"/>
        <w:rPr>
          <w:sz w:val="20"/>
          <w:szCs w:val="20"/>
          <w:color w:val="auto"/>
        </w:rPr>
      </w:pPr>
      <w:r>
        <w:rPr>
          <w:rFonts w:ascii="Times New Roman" w:cs="Times New Roman" w:eastAsia="Times New Roman" w:hAnsi="Times New Roman"/>
          <w:sz w:val="18"/>
          <w:szCs w:val="18"/>
          <w:color w:val="auto"/>
        </w:rPr>
        <w:t>Foreign capital projects typically involve land reclamations, channel deepening and port infrastructure development. The Company targets foreign opportunities that are well suited to the Company’s equipment and where it faces reduced competition from its European competitors. Maintaining a presence in foreign markets has enabled the Company to diversify its customer base. Over the last ten years, the Company has performed dredging work in the Middle East, Africa, India, the Caribbean and Central and South America. Most recently, the Company has focused its efforts on opportunities in Australia, the Middle East and South America as well as Southeast Asia.</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420"/>
          </w:cols>
          <w:pgMar w:left="240" w:top="455" w:right="239" w:bottom="1440" w:gutter="0" w:footer="0" w:header="0"/>
        </w:sectPr>
      </w:pPr>
    </w:p>
    <w:bookmarkStart w:id="5" w:name="page6"/>
    <w:bookmarkEnd w:id="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Dredging Demand Drivers</w:t>
      </w:r>
    </w:p>
    <w:p>
      <w:pPr>
        <w:spacing w:after="0" w:line="9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Company believes that the following factors are important drivers of the demand for its dredging services:</w:t>
      </w:r>
    </w:p>
    <w:p>
      <w:pPr>
        <w:spacing w:after="0" w:line="88" w:lineRule="exact"/>
        <w:rPr>
          <w:sz w:val="20"/>
          <w:szCs w:val="20"/>
          <w:color w:val="auto"/>
        </w:rPr>
      </w:pPr>
    </w:p>
    <w:p>
      <w:pPr>
        <w:ind w:left="900" w:right="120" w:hanging="325"/>
        <w:spacing w:after="0" w:line="255" w:lineRule="auto"/>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Deep port capital projects. </w:t>
      </w:r>
      <w:r>
        <w:rPr>
          <w:rFonts w:ascii="Times New Roman" w:cs="Times New Roman" w:eastAsia="Times New Roman" w:hAnsi="Times New Roman"/>
          <w:sz w:val="18"/>
          <w:szCs w:val="18"/>
          <w:color w:val="auto"/>
        </w:rPr>
        <w:t>Most U.S. ports have continual expansion plans that include deepening and widening in order to better compete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international trade. International trade, particularly in the intermodal container shipping business, is undergoing significant change as a result of the Panama Canal expansion. Many shipping lines have announced plans to deploy larger ships which, due to the channel dimension requirements, currently cannot use many U.S. ports. This is expected to put more pressure on U.S. ports such as Miami, Jacksonville, Savannah and Charleston to deepen in order to remain competitive. In addition, the Ports of Los Angeles and Long Beach are resuming expansion efforts to remain competitive with deepened East Coast ports. The Company believes that port deepening and expansion work authorized under current and future legislation will provide significant opportunities for the domestic dredging industry in the future.</w:t>
      </w:r>
    </w:p>
    <w:p>
      <w:pPr>
        <w:spacing w:after="0" w:line="54" w:lineRule="exact"/>
        <w:rPr>
          <w:rFonts w:ascii="Times New Roman" w:cs="Times New Roman" w:eastAsia="Times New Roman" w:hAnsi="Times New Roman"/>
          <w:sz w:val="18"/>
          <w:szCs w:val="18"/>
          <w:color w:val="auto"/>
        </w:rPr>
      </w:pPr>
    </w:p>
    <w:p>
      <w:pPr>
        <w:ind w:left="900" w:hanging="325"/>
        <w:spacing w:after="0" w:line="257" w:lineRule="auto"/>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Gulf coast restoration. </w:t>
      </w:r>
      <w:r>
        <w:rPr>
          <w:rFonts w:ascii="Times New Roman" w:cs="Times New Roman" w:eastAsia="Times New Roman" w:hAnsi="Times New Roman"/>
          <w:sz w:val="18"/>
          <w:szCs w:val="18"/>
          <w:color w:val="auto"/>
        </w:rPr>
        <w:t>There has been continued focus on restoring the barrier islands and wetlands that provide natural protection from storms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Gulf Coast area. Many restoration projects have commenced to repair coastal areas. Several additional projects are being planned by state and local governments to restore natural barriers. The State of Louisiana has completed a master plan calling for a $50 billion investment in their coastal infrastructure, with a significant portion of that involving dredging. The annual bid market for capital dredging, which includes deep port capital dredging and Gulf Coast restoration, averaged $342 million over the prior three years.</w:t>
      </w:r>
    </w:p>
    <w:p>
      <w:pPr>
        <w:spacing w:after="0" w:line="53" w:lineRule="exact"/>
        <w:rPr>
          <w:rFonts w:ascii="Times New Roman" w:cs="Times New Roman" w:eastAsia="Times New Roman" w:hAnsi="Times New Roman"/>
          <w:sz w:val="18"/>
          <w:szCs w:val="18"/>
          <w:color w:val="auto"/>
        </w:rPr>
      </w:pPr>
    </w:p>
    <w:p>
      <w:pPr>
        <w:ind w:left="900" w:right="20" w:hanging="325"/>
        <w:spacing w:after="0" w:line="255" w:lineRule="auto"/>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Substantial need for coastal protection. </w:t>
      </w:r>
      <w:r>
        <w:rPr>
          <w:rFonts w:ascii="Times New Roman" w:cs="Times New Roman" w:eastAsia="Times New Roman" w:hAnsi="Times New Roman"/>
          <w:sz w:val="18"/>
          <w:szCs w:val="18"/>
          <w:color w:val="auto"/>
        </w:rPr>
        <w:t>Beach erosion is a continuous problem due to the normal ebb and flow of coastlines as well as the effects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severe storm activity. Growing populations in coastal communities and vital beach tourism are drawing attention to the importance of protecting beach front assets. Over the past few years, both the federal government and state and local entities have funded beach work recognizing the essential role these natural barriers play in absorbing storm energy and protecting public and private property. The 2012 bid market was one of the largest in the last ten years. Supplemental funding in response to Superstorm Sandy is expected to significantly increase the coastal protection market in 2013 and beyond. The annual bid market for coastal protection over the prior three years averaged $192 million.</w:t>
      </w:r>
    </w:p>
    <w:p>
      <w:pPr>
        <w:spacing w:after="0" w:line="58" w:lineRule="exact"/>
        <w:rPr>
          <w:rFonts w:ascii="Times New Roman" w:cs="Times New Roman" w:eastAsia="Times New Roman" w:hAnsi="Times New Roman"/>
          <w:sz w:val="18"/>
          <w:szCs w:val="18"/>
          <w:color w:val="auto"/>
        </w:rPr>
      </w:pPr>
    </w:p>
    <w:p>
      <w:pPr>
        <w:ind w:left="900" w:right="60" w:hanging="325"/>
        <w:spacing w:after="0" w:line="253" w:lineRule="auto"/>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Required maintenance of U.S. ports. </w:t>
      </w:r>
      <w:r>
        <w:rPr>
          <w:rFonts w:ascii="Times New Roman" w:cs="Times New Roman" w:eastAsia="Times New Roman" w:hAnsi="Times New Roman"/>
          <w:sz w:val="18"/>
          <w:szCs w:val="18"/>
          <w:color w:val="auto"/>
        </w:rPr>
        <w:t>The channels and waterways leading to U.S. ports have stated depths on which shippers rely when entering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those ports. Due to naturally occurring sedimentation and severe weather, active channels require maintenance dredging to ensure that stated depths are at authorized levels. Consequently, the need to maintain channel depth creates a recurring source of dredging work that is non-deferrable if optimal navigability is to be preserved. The U.S. Army Corps of Engineers (the “Corps”) is responsible for federally funded projects related to navigation and flood control of U.S. waterways. The federal government has provided an increase to the Corps’ budget for navigation for the 2012 fiscal year over prior years. Another increase for navigation in fiscal year 2013 has been proposed by the President’s administration and is part of the final discussions included in the Continuing Resolution passed by Congress extending funding through the 2013 fiscal year. The maritime industry, including the ports, continues to advocate for Congressional efforts to ensure that a fully funded, recurring maintenance program is in place. Supplemental funding for Superstorm Sandy included $800 million for maintenance dredging. The annual bid market for maintenance dredging over the prior three years averaged $465 million.</w:t>
      </w:r>
    </w:p>
    <w:p>
      <w:pPr>
        <w:spacing w:after="0" w:line="59" w:lineRule="exact"/>
        <w:rPr>
          <w:rFonts w:ascii="Times New Roman" w:cs="Times New Roman" w:eastAsia="Times New Roman" w:hAnsi="Times New Roman"/>
          <w:sz w:val="18"/>
          <w:szCs w:val="18"/>
          <w:color w:val="auto"/>
        </w:rPr>
      </w:pPr>
    </w:p>
    <w:p>
      <w:pPr>
        <w:ind w:left="900" w:right="200" w:hanging="325"/>
        <w:spacing w:after="0" w:line="297" w:lineRule="auto"/>
        <w:tabs>
          <w:tab w:leader="none" w:pos="90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Need to maintain safe navigability of the U.S. river system</w:t>
      </w:r>
      <w:r>
        <w:rPr>
          <w:rFonts w:ascii="Times New Roman" w:cs="Times New Roman" w:eastAsia="Times New Roman" w:hAnsi="Times New Roman"/>
          <w:sz w:val="16"/>
          <w:szCs w:val="16"/>
          <w:color w:val="auto"/>
        </w:rPr>
        <w:t>. Over 630 million tons of cargo are transported via inland waterways each year. As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transportation by barge requires less energy, and therefore less cost, to move cargo than transportation by airplane, railcar or truck, many industries rely on safe navigability of U.S. inland waterways as a primary means to transport goods and commodities such as coal, chemicals, petroleum, minerals, stones, metals and agricultural products. Natural sedimentation and other circumstances require that the inland waterway system be periodically dredged so that it can be used as intended. The Corps recognizes the need to maintain the safe navigability of U.S. waterways.</w:t>
      </w:r>
    </w:p>
    <w:p>
      <w:pPr>
        <w:spacing w:after="0" w:line="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420"/>
          </w:cols>
          <w:pgMar w:left="240" w:top="455" w:right="239" w:bottom="1440" w:gutter="0" w:footer="0" w:header="0"/>
        </w:sectPr>
      </w:pPr>
    </w:p>
    <w:bookmarkStart w:id="6" w:name="page7"/>
    <w:bookmarkEnd w:id="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900" w:hanging="325"/>
        <w:spacing w:after="0" w:line="255" w:lineRule="auto"/>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Increasing requirements for environmental services. </w:t>
      </w:r>
      <w:r>
        <w:rPr>
          <w:rFonts w:ascii="Times New Roman" w:cs="Times New Roman" w:eastAsia="Times New Roman" w:hAnsi="Times New Roman"/>
          <w:sz w:val="18"/>
          <w:szCs w:val="18"/>
          <w:color w:val="auto"/>
        </w:rPr>
        <w:t>Both the dredging and demolition businesses have experienced requests for handling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contaminated sediments and soils at project sites. The Environmental Protection Agency and several state agencies began to recognize the environmental hazards posed by stored industrial byproducts near waterways. The release of regulated pollutants into major waterways require the use of environmental dredging to remove the contaminated sediment. The capability to provide the environmental clean-up of not only the waterway, but also the processing of the contaminated sediment or any contaminated soil from other brownfield sites provides a targeted growth opportunity for Great Lakes.</w:t>
      </w:r>
    </w:p>
    <w:p>
      <w:pPr>
        <w:spacing w:after="0" w:line="58" w:lineRule="exact"/>
        <w:rPr>
          <w:rFonts w:ascii="Times New Roman" w:cs="Times New Roman" w:eastAsia="Times New Roman" w:hAnsi="Times New Roman"/>
          <w:sz w:val="18"/>
          <w:szCs w:val="18"/>
          <w:color w:val="auto"/>
        </w:rPr>
      </w:pPr>
    </w:p>
    <w:p>
      <w:pPr>
        <w:ind w:left="900" w:right="140" w:hanging="325"/>
        <w:spacing w:after="0" w:line="259" w:lineRule="auto"/>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Middle East market. </w:t>
      </w:r>
      <w:r>
        <w:rPr>
          <w:rFonts w:ascii="Times New Roman" w:cs="Times New Roman" w:eastAsia="Times New Roman" w:hAnsi="Times New Roman"/>
          <w:sz w:val="18"/>
          <w:szCs w:val="18"/>
          <w:color w:val="auto"/>
        </w:rPr>
        <w:t>Over the past ten years, the Middle East has been a strong market for dredging services. With the substantial income from oil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revenues and real estate expansion, these countries have been undergoing extensive infrastructure expansion. The Company has seen an increase in the demand for infrastructure development in the Middle East which presents attractive opportunities that suit the Company’s equipment in the region.</w:t>
      </w:r>
    </w:p>
    <w:p>
      <w:pPr>
        <w:spacing w:after="0" w:line="51" w:lineRule="exact"/>
        <w:rPr>
          <w:rFonts w:ascii="Times New Roman" w:cs="Times New Roman" w:eastAsia="Times New Roman" w:hAnsi="Times New Roman"/>
          <w:sz w:val="18"/>
          <w:szCs w:val="18"/>
          <w:color w:val="auto"/>
        </w:rPr>
      </w:pPr>
    </w:p>
    <w:p>
      <w:pPr>
        <w:ind w:left="900" w:right="60" w:hanging="325"/>
        <w:spacing w:after="0" w:line="257" w:lineRule="auto"/>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International energy transportation</w:t>
      </w:r>
      <w:r>
        <w:rPr>
          <w:rFonts w:ascii="Times New Roman" w:cs="Times New Roman" w:eastAsia="Times New Roman" w:hAnsi="Times New Roman"/>
          <w:sz w:val="18"/>
          <w:szCs w:val="18"/>
          <w:color w:val="auto"/>
        </w:rPr>
        <w:t>. The growth in demand for transportation of energy worldwide has driven the need for dredging to support new</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terminals, harbors, channels and pipelines. Great Lakes has committed vessels to create new berths for liquid natural gas (“LNG”) terminals being developed to export abundant energy resources from the west coast of Australia. Great Lakes is also dredging harbors for petroleum export facilities in Brazil. Future global energy demand will necessitate improvements in the infrastructure base around sources of rich resources and countries that import global energy.</w:t>
      </w:r>
    </w:p>
    <w:p>
      <w:pPr>
        <w:spacing w:after="0" w:line="53" w:lineRule="exact"/>
        <w:rPr>
          <w:rFonts w:ascii="Times New Roman" w:cs="Times New Roman" w:eastAsia="Times New Roman" w:hAnsi="Times New Roman"/>
          <w:sz w:val="18"/>
          <w:szCs w:val="18"/>
          <w:color w:val="auto"/>
        </w:rPr>
      </w:pPr>
    </w:p>
    <w:p>
      <w:pPr>
        <w:ind w:left="900" w:right="20" w:hanging="325"/>
        <w:spacing w:after="0" w:line="259" w:lineRule="auto"/>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Australia and Southeast Asia. </w:t>
      </w:r>
      <w:r>
        <w:rPr>
          <w:rFonts w:ascii="Times New Roman" w:cs="Times New Roman" w:eastAsia="Times New Roman" w:hAnsi="Times New Roman"/>
          <w:sz w:val="18"/>
          <w:szCs w:val="18"/>
          <w:color w:val="auto"/>
        </w:rPr>
        <w:t>Port traffic continues to surge in the developing markets throughout Southeast Asia and the Southwest Pacific.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Advances in economic output in conjunction with growing populations and greater prosperity are driving increased shipping needs. With this growth in marine traffic comes a need for additional port capacity and infrastructure improvement. Great Lakes is investing resources in these markets and expects to see an increased demand for the Company’s dredging services.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Demolition Operations (approximately 15% of 2012 total revenues)</w:t>
      </w:r>
    </w:p>
    <w:p>
      <w:pPr>
        <w:spacing w:after="0" w:line="92" w:lineRule="exact"/>
        <w:rPr>
          <w:sz w:val="20"/>
          <w:szCs w:val="20"/>
          <w:color w:val="auto"/>
        </w:rPr>
      </w:pPr>
    </w:p>
    <w:p>
      <w:pPr>
        <w:ind w:right="40" w:firstLine="456"/>
        <w:spacing w:after="0" w:line="288" w:lineRule="auto"/>
        <w:rPr>
          <w:sz w:val="20"/>
          <w:szCs w:val="20"/>
          <w:color w:val="auto"/>
        </w:rPr>
      </w:pPr>
      <w:r>
        <w:rPr>
          <w:rFonts w:ascii="Times New Roman" w:cs="Times New Roman" w:eastAsia="Times New Roman" w:hAnsi="Times New Roman"/>
          <w:sz w:val="16"/>
          <w:szCs w:val="16"/>
          <w:color w:val="auto"/>
        </w:rPr>
        <w:t>The demolition segment is a major U.S. provider of commercial and industrial demolition services such as interior and exterior demolition for site preparation as well as environmental remediation. Historically, the majority of the demolition segment’s work was performed in the New England area. Through increased collaboration with Great Lakes’ other lines of business, the demolition segment recently expanded into the New York area and marine demolition markets, specifically, bridge demolition across the eastern part of the U.S. Through an acquisition at the end of 2012, the demolition segment’s scope of work has been expanded into the Midwest U.S. market. Exterior demolition involves the complete dismantling and demolition of structures and foundations. Interior demolition involves removing specific structures within a building. Bridge demolition involves dismantling and disposal of aged or failing bridges. Bridge demolition contains several complex engineering tasks such as maneuvering around existing traffic flow, containment of hazardous materials contained in the bridge materials and removal of extended spans, frequently over water. Environmental remediation includes the removal of asbestos and other hazardous materials, the ability to remediate contaminated demolition materials and the cleanup of exterior environmental pollution. The successful partnership of the broadened demolition and remediation capabilities with the dredging expertise is an important component to the Company’s growth.</w:t>
      </w:r>
    </w:p>
    <w:p>
      <w:pPr>
        <w:spacing w:after="0" w:line="336" w:lineRule="exact"/>
        <w:rPr>
          <w:sz w:val="20"/>
          <w:szCs w:val="20"/>
          <w:color w:val="auto"/>
        </w:rPr>
      </w:pPr>
    </w:p>
    <w:p>
      <w:pPr>
        <w:ind w:right="20" w:firstLine="456"/>
        <w:spacing w:after="0" w:line="310" w:lineRule="auto"/>
        <w:rPr>
          <w:sz w:val="20"/>
          <w:szCs w:val="20"/>
          <w:color w:val="auto"/>
        </w:rPr>
      </w:pPr>
      <w:r>
        <w:rPr>
          <w:rFonts w:ascii="Times New Roman" w:cs="Times New Roman" w:eastAsia="Times New Roman" w:hAnsi="Times New Roman"/>
          <w:sz w:val="16"/>
          <w:szCs w:val="16"/>
          <w:color w:val="auto"/>
        </w:rPr>
        <w:t>For additional details regarding Dredging Operations and Demolitions Operations, including financial information regarding our international and United States revenues and long-lived assets, see Item 7. “Management’s Discussion and Analysis of Financial Condition and Results of Operations,” and Item 8. “Financial Statements and Supplementary Data” in this Annual Report on Form 10-K, including Footnote 15 to the Company’s consolidated financial statements.</w:t>
      </w:r>
    </w:p>
    <w:p>
      <w:pPr>
        <w:spacing w:after="0" w:line="8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380"/>
          </w:cols>
          <w:pgMar w:left="240" w:top="455" w:right="279" w:bottom="1440" w:gutter="0" w:footer="0" w:header="0"/>
        </w:sectPr>
      </w:pPr>
    </w:p>
    <w:bookmarkStart w:id="7" w:name="page8"/>
    <w:bookmarkEnd w:id="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Joint Ventures</w:t>
      </w:r>
    </w:p>
    <w:p>
      <w:pPr>
        <w:spacing w:after="0" w:line="90" w:lineRule="exact"/>
        <w:rPr>
          <w:sz w:val="20"/>
          <w:szCs w:val="20"/>
          <w:color w:val="auto"/>
        </w:rPr>
      </w:pPr>
    </w:p>
    <w:p>
      <w:pPr>
        <w:ind w:right="360" w:firstLine="456"/>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Amboy Aggregates. </w:t>
      </w:r>
      <w:r>
        <w:rPr>
          <w:rFonts w:ascii="Times New Roman" w:cs="Times New Roman" w:eastAsia="Times New Roman" w:hAnsi="Times New Roman"/>
          <w:sz w:val="18"/>
          <w:szCs w:val="18"/>
          <w:color w:val="auto"/>
        </w:rPr>
        <w:t>The Company and a New Jersey aggregates company each own 50% of Amboy Aggregates, or Amboy. Amboy was formed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December 1984 to mine sand from the entrance channel to New York Harbor to provide sand and aggregate for use in road and building construction and for clean land fill. Amboy also imports stone from upstate New York and Nova Scotia and distributes it throughout the New York area. The Company’s dredging expertise and its partner’s knowledge of the aggregate market form the basis for the joint venture.</w:t>
      </w:r>
    </w:p>
    <w:p>
      <w:pPr>
        <w:spacing w:after="0" w:line="135" w:lineRule="exact"/>
        <w:rPr>
          <w:sz w:val="20"/>
          <w:szCs w:val="20"/>
          <w:color w:val="auto"/>
        </w:rPr>
      </w:pPr>
    </w:p>
    <w:p>
      <w:pPr>
        <w:jc w:val="both"/>
        <w:ind w:right="160" w:firstLine="456"/>
        <w:spacing w:after="0" w:line="258" w:lineRule="auto"/>
        <w:rPr>
          <w:sz w:val="20"/>
          <w:szCs w:val="20"/>
          <w:color w:val="auto"/>
        </w:rPr>
      </w:pPr>
      <w:r>
        <w:rPr>
          <w:rFonts w:ascii="Times New Roman" w:cs="Times New Roman" w:eastAsia="Times New Roman" w:hAnsi="Times New Roman"/>
          <w:sz w:val="18"/>
          <w:szCs w:val="18"/>
          <w:color w:val="auto"/>
        </w:rPr>
        <w:t>Amboy is one of the only East Coast aggregate producers to mine sand from the ocean floor. Amboy has a specially designed dredge for sand mining, de-watering and dry delivery. No other vessel of this type operates in the U.S. Amboy’s ocean-based supply of sand provides a long-term competitive advantage in the Northeast as land-based sand deposits are depleted or rendered less cost competitive by escalating land values. Mining operations are performed pursuant to permits granted to Amboy by the federal government and the states of New York and New Jersey.</w:t>
      </w:r>
    </w:p>
    <w:p>
      <w:pPr>
        <w:spacing w:after="0" w:line="134" w:lineRule="exact"/>
        <w:rPr>
          <w:sz w:val="20"/>
          <w:szCs w:val="20"/>
          <w:color w:val="auto"/>
        </w:rPr>
      </w:pPr>
    </w:p>
    <w:p>
      <w:pPr>
        <w:ind w:right="80" w:firstLine="456"/>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TerraSea Environmental Solutions. </w:t>
      </w:r>
      <w:r>
        <w:rPr>
          <w:rFonts w:ascii="Times New Roman" w:cs="Times New Roman" w:eastAsia="Times New Roman" w:hAnsi="Times New Roman"/>
          <w:sz w:val="18"/>
          <w:szCs w:val="18"/>
          <w:color w:val="auto"/>
        </w:rPr>
        <w:t>The Company and a European based remediation company each own 50% of TerraSea Environmental Solutions,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remediation business. TerraSea provides water and land based environmental services in the area of clean up and remediation of sediments, soil and groundwater for both marine and land based projects. The joint venture was established to capitalize on the expertise of the two equal partners for projects in the United States offering optimally engineered global solutions for environmental cleanup needs.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Customers</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Dredging</w:t>
      </w:r>
    </w:p>
    <w:p>
      <w:pPr>
        <w:spacing w:after="0" w:line="94" w:lineRule="exact"/>
        <w:rPr>
          <w:sz w:val="20"/>
          <w:szCs w:val="20"/>
          <w:color w:val="auto"/>
        </w:rPr>
      </w:pPr>
    </w:p>
    <w:p>
      <w:pPr>
        <w:ind w:right="60" w:firstLine="456"/>
        <w:spacing w:after="0" w:line="255" w:lineRule="auto"/>
        <w:rPr>
          <w:sz w:val="20"/>
          <w:szCs w:val="20"/>
          <w:color w:val="auto"/>
        </w:rPr>
      </w:pPr>
      <w:r>
        <w:rPr>
          <w:rFonts w:ascii="Times New Roman" w:cs="Times New Roman" w:eastAsia="Times New Roman" w:hAnsi="Times New Roman"/>
          <w:sz w:val="18"/>
          <w:szCs w:val="18"/>
          <w:color w:val="auto"/>
        </w:rPr>
        <w:t>The dredging industry’s customers include federal, state and local governments, foreign governments and both domestic and foreign private concerns, such as utilities and oil companies. Most dredging projects are competitively bid, with the award going to the lowest qualified bidder. Customers generally have few economical alternatives to dredging services. The Corps is the largest dredging customer in the U.S. and has responsibility for federally funded projects related to navigation and flood control. In addition, the U.S. Coast Guard and the U.S. Navy are responsible for awarding federal contracts with respect to their own facilities. In 2012, approximately 69% of the Company’s dredging revenues were generated from approximately 61 different contracts with federal agencies or third parties operating under contracts with federal agencies.</w:t>
      </w:r>
    </w:p>
    <w:p>
      <w:pPr>
        <w:spacing w:after="0" w:line="139" w:lineRule="exact"/>
        <w:rPr>
          <w:sz w:val="20"/>
          <w:szCs w:val="20"/>
          <w:color w:val="auto"/>
        </w:rPr>
      </w:pPr>
    </w:p>
    <w:p>
      <w:pPr>
        <w:ind w:right="620" w:firstLine="456"/>
        <w:spacing w:after="0" w:line="339" w:lineRule="auto"/>
        <w:rPr>
          <w:sz w:val="20"/>
          <w:szCs w:val="20"/>
          <w:color w:val="auto"/>
        </w:rPr>
      </w:pPr>
      <w:r>
        <w:rPr>
          <w:rFonts w:ascii="Times New Roman" w:cs="Times New Roman" w:eastAsia="Times New Roman" w:hAnsi="Times New Roman"/>
          <w:sz w:val="16"/>
          <w:szCs w:val="16"/>
          <w:color w:val="auto"/>
        </w:rPr>
        <w:t>Foreign governments requiring infrastructure development are the primary dredging customers in international markets. Approximately 14% of the Company’s 2012 dredging revenues were earned from contracts with the government of Bahrain or entities supported by the government of Bahrain.</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Demolition</w:t>
      </w:r>
    </w:p>
    <w:p>
      <w:pPr>
        <w:spacing w:after="0" w:line="94" w:lineRule="exact"/>
        <w:rPr>
          <w:sz w:val="20"/>
          <w:szCs w:val="20"/>
          <w:color w:val="auto"/>
        </w:rPr>
      </w:pPr>
    </w:p>
    <w:p>
      <w:pPr>
        <w:ind w:firstLine="456"/>
        <w:spacing w:after="0" w:line="301" w:lineRule="auto"/>
        <w:rPr>
          <w:sz w:val="20"/>
          <w:szCs w:val="20"/>
          <w:color w:val="auto"/>
        </w:rPr>
      </w:pPr>
      <w:r>
        <w:rPr>
          <w:rFonts w:ascii="Times New Roman" w:cs="Times New Roman" w:eastAsia="Times New Roman" w:hAnsi="Times New Roman"/>
          <w:sz w:val="16"/>
          <w:szCs w:val="16"/>
          <w:color w:val="auto"/>
        </w:rPr>
        <w:t>Demolition customers include general contractors, corporations that commission projects, non-profit institutions such as universities and hospitals, and local government and municipal agencies. This segment benefits from key relationships with certain customers in the general contracting and public infrastructure industries. In 2012, one of the demolition segment’s customers was responsible for approximately 12% and another three customers were each responsible for 7% of the demolition segment’s annual revenues; however, the loss of any of these customers would not have a material adverse effect on Great Lakes as a whole.</w:t>
      </w:r>
    </w:p>
    <w:p>
      <w:pPr>
        <w:spacing w:after="0" w:line="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420"/>
          </w:cols>
          <w:pgMar w:left="240" w:top="455" w:right="239" w:bottom="1440" w:gutter="0" w:footer="0" w:header="0"/>
        </w:sectPr>
      </w:pPr>
    </w:p>
    <w:bookmarkStart w:id="8" w:name="page9"/>
    <w:bookmarkEnd w:id="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Bidding Process</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Dredging</w:t>
      </w:r>
    </w:p>
    <w:p>
      <w:pPr>
        <w:spacing w:after="0" w:line="94" w:lineRule="exact"/>
        <w:rPr>
          <w:sz w:val="20"/>
          <w:szCs w:val="20"/>
          <w:color w:val="auto"/>
        </w:rPr>
      </w:pPr>
    </w:p>
    <w:p>
      <w:pPr>
        <w:ind w:right="480" w:firstLine="456"/>
        <w:spacing w:after="0" w:line="262" w:lineRule="auto"/>
        <w:rPr>
          <w:sz w:val="20"/>
          <w:szCs w:val="20"/>
          <w:color w:val="auto"/>
        </w:rPr>
      </w:pPr>
      <w:r>
        <w:rPr>
          <w:rFonts w:ascii="Times New Roman" w:cs="Times New Roman" w:eastAsia="Times New Roman" w:hAnsi="Times New Roman"/>
          <w:sz w:val="18"/>
          <w:szCs w:val="18"/>
          <w:color w:val="auto"/>
        </w:rPr>
        <w:t>Most of the Company’s dredging contracts are obtained through competitive bidding on terms specified by the party inviting the bid. The types of equipment required to perform the specified service and the estimated project duration affect the cost of performing the contract and the price that dredging contractors will bid.</w:t>
      </w:r>
    </w:p>
    <w:p>
      <w:pPr>
        <w:spacing w:after="0" w:line="132"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For contracts under its jurisdiction, the Corps typically prepares a fair and reasonable cost estimate based on the specifications of the project. To be successful, a bidder must be determined by the Corps to be a responsible bidder (i.e., a bidder that generally has the necessary equipment and experience to successfully complete the project as well as the ability to obtain a surety bid bond) and submit the lowest responsive bid that does not exceed 125% of the Corps’ original estimate. Contracts for state and local governments are generally awarded to the lowest qualified bidder. Contracts for private customers are awarded based on the contractor’s experience, equipment and schedule, as well as price. While substantially all of the Company’s dredging contracts are competitively bid, some government contracts are awarded through a sole source procurement process involving negotiation between the contractor and the government, while other projects are bid by the Corps through a “request for proposal” process. The request for proposal process benefits both Great Lakes and its customers as customers can award contracts based on factors beyond price, including experience and skill.</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Demolition</w:t>
      </w:r>
    </w:p>
    <w:p>
      <w:pPr>
        <w:spacing w:after="0" w:line="94" w:lineRule="exact"/>
        <w:rPr>
          <w:sz w:val="20"/>
          <w:szCs w:val="20"/>
          <w:color w:val="auto"/>
        </w:rPr>
      </w:pPr>
    </w:p>
    <w:p>
      <w:pPr>
        <w:ind w:right="40" w:firstLine="456"/>
        <w:spacing w:after="0" w:line="255" w:lineRule="auto"/>
        <w:rPr>
          <w:sz w:val="20"/>
          <w:szCs w:val="20"/>
          <w:color w:val="auto"/>
        </w:rPr>
      </w:pPr>
      <w:r>
        <w:rPr>
          <w:rFonts w:ascii="Times New Roman" w:cs="Times New Roman" w:eastAsia="Times New Roman" w:hAnsi="Times New Roman"/>
          <w:sz w:val="18"/>
          <w:szCs w:val="18"/>
          <w:color w:val="auto"/>
        </w:rPr>
        <w:t>The demolition segment negotiates the majority of its demolition contracts, but the segment is participating to a greater extent with competitively bid municipal work projects. Significant revenue is generated in this segment from change orders on existing contracts. The Company has established a network of local contacts with developers and prime contractors that act as referral sources and enable the Company to procure demolition jobs on a sole-source basis. When the demolition segment bids on a project, it evaluates the contract specifications and develops a cost estimate to which it adds a reasonable margin. While there are numerous competitors in the demolition services market, the Company benefits from its size, relationships and reputation. Therefore, there are occasions where the Company is not the lowest bidder on a contract, but is still awarded the project based on its reputation and qualifications.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Bonding and Foreign Project Guarantees</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Dredging</w:t>
      </w:r>
    </w:p>
    <w:p>
      <w:pPr>
        <w:spacing w:after="0" w:line="94" w:lineRule="exact"/>
        <w:rPr>
          <w:sz w:val="20"/>
          <w:szCs w:val="20"/>
          <w:color w:val="auto"/>
        </w:rPr>
      </w:pPr>
    </w:p>
    <w:p>
      <w:pPr>
        <w:ind w:right="20" w:firstLine="456"/>
        <w:spacing w:after="0" w:line="253" w:lineRule="auto"/>
        <w:rPr>
          <w:sz w:val="20"/>
          <w:szCs w:val="20"/>
          <w:color w:val="auto"/>
        </w:rPr>
      </w:pPr>
      <w:r>
        <w:rPr>
          <w:rFonts w:ascii="Times New Roman" w:cs="Times New Roman" w:eastAsia="Times New Roman" w:hAnsi="Times New Roman"/>
          <w:sz w:val="18"/>
          <w:szCs w:val="18"/>
          <w:color w:val="auto"/>
        </w:rPr>
        <w:t>For most domestic projects and some foreign projects, dredging service providers are required to obtain three types of bonds: bid bonds, performance bonds and payment bonds. These bonds are typically provided by large insurance companies. A bid bond is required to serve as a guarantee that if a service provider’s bid is chosen, the service provider will sign the contract. The amount of the bond is typically 20% of the service provider’s bid, with a range generally between $1 and $10 million. After a contract is signed, the bid bond is replaced by a performance bond, the purpose of which is to guarantee that the job will be completed. If the service provider fails to complete a job, the bonding company would be required to complete the job and would be entitled to be paid the contract price directly by the customer. Additionally, the bonding company would be entitled to be paid by the service provider for any costs incurred in excess of the contract price. A service provider’s ability to obtain performance bonds with respect to a particular contract depends upon the size of the contract, as well as the size of the service provider and its financial position. A payment bond is required to protect the service provider’s suppliers and subcontractors in the event that the service provider cannot make timely payments. Payment bonds are generally written at 100% of the contract value.</w:t>
      </w:r>
    </w:p>
    <w:p>
      <w:pPr>
        <w:spacing w:after="0" w:line="143" w:lineRule="exact"/>
        <w:rPr>
          <w:sz w:val="20"/>
          <w:szCs w:val="20"/>
          <w:color w:val="auto"/>
        </w:rPr>
      </w:pPr>
    </w:p>
    <w:p>
      <w:pPr>
        <w:jc w:val="both"/>
        <w:ind w:right="200" w:firstLine="456"/>
        <w:spacing w:after="0" w:line="262" w:lineRule="auto"/>
        <w:rPr>
          <w:sz w:val="20"/>
          <w:szCs w:val="20"/>
          <w:color w:val="auto"/>
        </w:rPr>
      </w:pPr>
      <w:r>
        <w:rPr>
          <w:rFonts w:ascii="Times New Roman" w:cs="Times New Roman" w:eastAsia="Times New Roman" w:hAnsi="Times New Roman"/>
          <w:sz w:val="18"/>
          <w:szCs w:val="18"/>
          <w:color w:val="auto"/>
        </w:rPr>
        <w:t>In September 2011, Great Lakes entered into a new bonding agreement with Zurich American Insurance Company (“Zurich”) under which the Company can obtain performance, bid and payment bonds. Great Lakes has never experienced difficulty in obtaining bonding for any of its projects; and Great Lakes has never failed to complete a marine project in its 122-year history. For most foreign dredging projects, letters of credit or bank</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400"/>
          </w:cols>
          <w:pgMar w:left="240" w:top="455" w:right="259" w:bottom="1440" w:gutter="0" w:footer="0" w:header="0"/>
        </w:sectPr>
      </w:pPr>
    </w:p>
    <w:bookmarkStart w:id="9" w:name="page10"/>
    <w:bookmarkEnd w:id="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guarantees issued by foreign banks are required as security for the bid, performance and, if applicable, advance payment guarantees. The Company obtains its letters of credit under the Credit Agreement (as defined below) or its separate facility which is supported by the Export-Import Bank of the United States (“Ex-Im Bank”) under Ex-Im Bank’s Working Capital Guarantee Program. Foreign bid guarantees are usually 2% to 5% of the service provider’s bid. Foreign performance and advance payment guarantees are each typically 5% to 10% of the contract value.</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Demolition</w:t>
      </w:r>
    </w:p>
    <w:p>
      <w:pPr>
        <w:spacing w:after="0" w:line="94" w:lineRule="exact"/>
        <w:rPr>
          <w:sz w:val="20"/>
          <w:szCs w:val="20"/>
          <w:color w:val="auto"/>
        </w:rPr>
      </w:pPr>
    </w:p>
    <w:p>
      <w:pPr>
        <w:ind w:right="320"/>
        <w:spacing w:after="0" w:line="275" w:lineRule="auto"/>
        <w:rPr>
          <w:sz w:val="20"/>
          <w:szCs w:val="20"/>
          <w:color w:val="auto"/>
        </w:rPr>
      </w:pPr>
      <w:r>
        <w:rPr>
          <w:rFonts w:ascii="Times New Roman" w:cs="Times New Roman" w:eastAsia="Times New Roman" w:hAnsi="Times New Roman"/>
          <w:sz w:val="18"/>
          <w:szCs w:val="18"/>
          <w:color w:val="auto"/>
        </w:rPr>
        <w:t>The demolition segment contracts with both private, non-government customers and governmental entities. In general, it is not required to secure bonding for projects with non-governmental customers but is required to secure bonding for projects with governmental entities.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Dredging</w:t>
      </w:r>
    </w:p>
    <w:p>
      <w:pPr>
        <w:spacing w:after="0" w:line="94"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The U.S. dredging industry is highly fragmented with approximately 250 entities in the U.S. presently operating more than 850 dredges, primarily in maintenance dredging. Most of these dredges are smaller and service the inland, as opposed to coastal, waterways, and therefore do not generally compete with Great Lakes except in our rivers &amp; lakes market. Competition is determined by the size and complexity of the job; equipment bonding and certification requirements; and government regulations. Great Lakes and three other companies comprised approximately 79% of the Company’s defined bid market related to domestic capital, coastal protection and maintenance over the prior three years. The foregoing percentage excludes work in the rivers &amp; lakes market. Within the Company’s bid market, competition is determined primarily on the basis of price. In addition, the Foreign Dredge Act of 1906, or “Dredging Act”, and Section 27 of the Merchant Marine Act of 1920, or “Jones Act”, provide significant barriers to entry with respect to foreign competition. Together these two laws prohibit foreign-built, chartered or operated vessels from competing in the U.S. See “Business—Government Regulations” below.</w:t>
      </w:r>
    </w:p>
    <w:p>
      <w:pPr>
        <w:spacing w:after="0" w:line="138" w:lineRule="exact"/>
        <w:rPr>
          <w:sz w:val="20"/>
          <w:szCs w:val="20"/>
          <w:color w:val="auto"/>
        </w:rPr>
      </w:pPr>
    </w:p>
    <w:p>
      <w:pPr>
        <w:ind w:right="80" w:firstLine="456"/>
        <w:spacing w:after="0" w:line="275" w:lineRule="auto"/>
        <w:rPr>
          <w:sz w:val="20"/>
          <w:szCs w:val="20"/>
          <w:color w:val="auto"/>
        </w:rPr>
      </w:pPr>
      <w:r>
        <w:rPr>
          <w:rFonts w:ascii="Times New Roman" w:cs="Times New Roman" w:eastAsia="Times New Roman" w:hAnsi="Times New Roman"/>
          <w:sz w:val="18"/>
          <w:szCs w:val="18"/>
          <w:color w:val="auto"/>
        </w:rPr>
        <w:t>Great Lakes competes with several smaller competitors in the domestic rivers and lakes market. Competition is determined primarily based on the basis of geographic reach, project execution capability and price.</w:t>
      </w:r>
    </w:p>
    <w:p>
      <w:pPr>
        <w:spacing w:after="0" w:line="120"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Competition in the international market is dominated by four large European dredging companies all of which operate larger equipment and fleets that are more extensive than the Company’s. The Company targets opportunities that are well suited to its equipment and where it can be most competitive. Most recently, the Company has focused on opportunities in the Middle East where the Company has cultivated close customer relationships and has pursued contracts compatible with the size of the Company’s vessels.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Demolition</w:t>
      </w:r>
    </w:p>
    <w:p>
      <w:pPr>
        <w:spacing w:after="0" w:line="94" w:lineRule="exact"/>
        <w:rPr>
          <w:sz w:val="20"/>
          <w:szCs w:val="20"/>
          <w:color w:val="auto"/>
        </w:rPr>
      </w:pPr>
    </w:p>
    <w:p>
      <w:pPr>
        <w:ind w:right="140" w:firstLine="456"/>
        <w:spacing w:after="0" w:line="262" w:lineRule="auto"/>
        <w:rPr>
          <w:sz w:val="20"/>
          <w:szCs w:val="20"/>
          <w:color w:val="auto"/>
        </w:rPr>
      </w:pPr>
      <w:r>
        <w:rPr>
          <w:rFonts w:ascii="Times New Roman" w:cs="Times New Roman" w:eastAsia="Times New Roman" w:hAnsi="Times New Roman"/>
          <w:sz w:val="18"/>
          <w:szCs w:val="18"/>
          <w:color w:val="auto"/>
        </w:rPr>
        <w:t>The U.S. demolition and related services industry is highly fragmented and is comprised mostly of small regional companies. Unlike many of its competitors, the demolition segment is able to perform both smaller and larger, more complex projects. The demolition segment competes in the demolition and related services industry primarily on the basis of its experience, reputation, equipment, key client relationships and price.</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Equipment</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Dredging</w:t>
      </w:r>
    </w:p>
    <w:p>
      <w:pPr>
        <w:spacing w:after="0" w:line="94" w:lineRule="exact"/>
        <w:rPr>
          <w:sz w:val="20"/>
          <w:szCs w:val="20"/>
          <w:color w:val="auto"/>
        </w:rPr>
      </w:pPr>
    </w:p>
    <w:p>
      <w:pPr>
        <w:ind w:right="400" w:firstLine="456"/>
        <w:spacing w:after="0" w:line="275" w:lineRule="auto"/>
        <w:rPr>
          <w:sz w:val="20"/>
          <w:szCs w:val="20"/>
          <w:color w:val="auto"/>
        </w:rPr>
      </w:pPr>
      <w:r>
        <w:rPr>
          <w:rFonts w:ascii="Times New Roman" w:cs="Times New Roman" w:eastAsia="Times New Roman" w:hAnsi="Times New Roman"/>
          <w:sz w:val="18"/>
          <w:szCs w:val="18"/>
          <w:color w:val="auto"/>
        </w:rPr>
        <w:t>Great Lakes’ fleet of dredges, material barges and other specialized equipment is the largest and most diverse in the U.S. The Company operates three principal types of dredging equipment: hopper dredges, hydraulic dredges and mechanical dredges.</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400"/>
          </w:cols>
          <w:pgMar w:left="240" w:top="455" w:right="259" w:bottom="1440" w:gutter="0" w:footer="0" w:header="0"/>
        </w:sectPr>
      </w:pPr>
    </w:p>
    <w:bookmarkStart w:id="10" w:name="page11"/>
    <w:bookmarkEnd w:id="1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firstLine="456"/>
        <w:spacing w:after="0" w:line="291" w:lineRule="auto"/>
        <w:rPr>
          <w:sz w:val="20"/>
          <w:szCs w:val="20"/>
          <w:color w:val="auto"/>
        </w:rPr>
      </w:pPr>
      <w:r>
        <w:rPr>
          <w:rFonts w:ascii="Times New Roman" w:cs="Times New Roman" w:eastAsia="Times New Roman" w:hAnsi="Times New Roman"/>
          <w:sz w:val="16"/>
          <w:szCs w:val="16"/>
          <w:i w:val="1"/>
          <w:iCs w:val="1"/>
          <w:color w:val="auto"/>
        </w:rPr>
        <w:t>Hopper Dredges</w:t>
      </w:r>
      <w:r>
        <w:rPr>
          <w:rFonts w:ascii="Times New Roman" w:cs="Times New Roman" w:eastAsia="Times New Roman" w:hAnsi="Times New Roman"/>
          <w:sz w:val="16"/>
          <w:szCs w:val="16"/>
          <w:color w:val="auto"/>
        </w:rPr>
        <w:t>. Hopper dredges are typically self-propelled and have the general appearance of an ocean-going vessel. The dredge has hollow hulls, or</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“hoppers,” into which material is suctioned hydraulically through drag-arms. Once the hoppers are filled, the dredge sails to the designated disposal site and either</w:t>
      </w:r>
    </w:p>
    <w:p>
      <w:pPr>
        <w:ind w:right="40" w:firstLine="8"/>
        <w:spacing w:after="0" w:line="255" w:lineRule="auto"/>
        <w:tabs>
          <w:tab w:leader="none" w:pos="21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bottom dumps the material or (ii) pumps the material from the hoppers through a pipeline to a designated site. Hopper dredges can operate in rough waters, are less likely than other types of dredges to interfere with ship traffic, and can be relocated quickly from one project to another. Hopper dredges primarily work on coastal protection and maintenance projects.</w:t>
      </w:r>
    </w:p>
    <w:p>
      <w:pPr>
        <w:spacing w:after="0" w:line="136" w:lineRule="exact"/>
        <w:rPr>
          <w:sz w:val="20"/>
          <w:szCs w:val="20"/>
          <w:color w:val="auto"/>
        </w:rPr>
      </w:pPr>
    </w:p>
    <w:p>
      <w:pPr>
        <w:ind w:right="40" w:firstLine="456"/>
        <w:spacing w:after="0" w:line="253" w:lineRule="auto"/>
        <w:rPr>
          <w:sz w:val="20"/>
          <w:szCs w:val="20"/>
          <w:color w:val="auto"/>
        </w:rPr>
      </w:pPr>
      <w:r>
        <w:rPr>
          <w:rFonts w:ascii="Times New Roman" w:cs="Times New Roman" w:eastAsia="Times New Roman" w:hAnsi="Times New Roman"/>
          <w:sz w:val="18"/>
          <w:szCs w:val="18"/>
          <w:i w:val="1"/>
          <w:iCs w:val="1"/>
          <w:color w:val="auto"/>
        </w:rPr>
        <w:t>Hydraulic Dredges</w:t>
      </w:r>
      <w:r>
        <w:rPr>
          <w:rFonts w:ascii="Times New Roman" w:cs="Times New Roman" w:eastAsia="Times New Roman" w:hAnsi="Times New Roman"/>
          <w:sz w:val="18"/>
          <w:szCs w:val="18"/>
          <w:color w:val="auto"/>
        </w:rPr>
        <w:t>. Hydraulic dredges remove material using a revolving cutterhead which cuts and churns the sediment on the channel or ocean floor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hydraulically pumps the material by pipe to the disposal location. These dredges are very powerful and can dredge some types of rock. Certain dredged materials can be directly pumped as far as seven miles with the aid of a booster pump. Hydraulic dredges work with an assortment of support equipment, which help with the positioning and movement of the dredge, handling of the pipelines and the placement of the dredged material. Great Lakes operates the only two large electric hydraulic dredges in the U.S., which makes the Company particularly competitive in markets with stringent emissions standards, such as California and Houston. Unlike hopper dredges, relocating hydraulic dredges and all their ancillary equipment requires specialized vessels and additional time and their operations can be impacted by ship traffic and rough waters. There is a wide distribution of hydraulic dredges from our smaller rivers &amp; lakes vessels that use pipe sizes ranging from 10” to 22” and operate at between 365 and 3,200 total horsepower, while the Company’s other hydraulic dredges use pipe sizes ranging from 18” to 36” and operate at between 1,900 and 20,300 total horsepower.</w:t>
      </w:r>
    </w:p>
    <w:p>
      <w:pPr>
        <w:spacing w:after="0" w:line="143" w:lineRule="exact"/>
        <w:rPr>
          <w:sz w:val="20"/>
          <w:szCs w:val="20"/>
          <w:color w:val="auto"/>
        </w:rPr>
      </w:pPr>
    </w:p>
    <w:p>
      <w:pPr>
        <w:ind w:right="160" w:firstLine="456"/>
        <w:spacing w:after="0" w:line="255" w:lineRule="auto"/>
        <w:rPr>
          <w:sz w:val="20"/>
          <w:szCs w:val="20"/>
          <w:color w:val="auto"/>
        </w:rPr>
      </w:pPr>
      <w:r>
        <w:rPr>
          <w:rFonts w:ascii="Times New Roman" w:cs="Times New Roman" w:eastAsia="Times New Roman" w:hAnsi="Times New Roman"/>
          <w:sz w:val="18"/>
          <w:szCs w:val="18"/>
          <w:i w:val="1"/>
          <w:iCs w:val="1"/>
          <w:color w:val="auto"/>
        </w:rPr>
        <w:t>Mechanical Dredges</w:t>
      </w:r>
      <w:r>
        <w:rPr>
          <w:rFonts w:ascii="Times New Roman" w:cs="Times New Roman" w:eastAsia="Times New Roman" w:hAnsi="Times New Roman"/>
          <w:sz w:val="18"/>
          <w:szCs w:val="18"/>
          <w:color w:val="auto"/>
        </w:rPr>
        <w:t>. There are two basic types of mechanical dredges operating in the U.S.: clamshell and backhoe. In both types, the dredge uses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bucket to excavate material from the channel or ocean floor. The dredged material is placed by the bucket into material barges, or “scows,” for transport to the designated disposal area. The scows are emptied by bottom-dumping, direct pump-out or removal by a crane with a bucket. Mechanical dredges are capable of removing hard-packed sediments, blasted rock and debris and can work in tight areas such as along docks or terminals. Clamshell dredges with specialized buckets are ideally suited to handle material requiring environmentally controlled disposal. The Company has the largest fleet of material barges in the domestic industry, which provides cost advantages when dredged material is required to be disposed far offshore or when material requires controlled disposal. Additionally, the Company owns an electric clamshell dredge which provides an advantage in those markets with stringent emissions standards.</w:t>
      </w:r>
    </w:p>
    <w:p>
      <w:pPr>
        <w:spacing w:after="0" w:line="137" w:lineRule="exact"/>
        <w:rPr>
          <w:sz w:val="20"/>
          <w:szCs w:val="20"/>
          <w:color w:val="auto"/>
        </w:rPr>
      </w:pPr>
    </w:p>
    <w:p>
      <w:pPr>
        <w:jc w:val="both"/>
        <w:ind w:right="80" w:firstLine="456"/>
        <w:spacing w:after="0" w:line="301" w:lineRule="auto"/>
        <w:rPr>
          <w:sz w:val="20"/>
          <w:szCs w:val="20"/>
          <w:color w:val="auto"/>
        </w:rPr>
      </w:pPr>
      <w:r>
        <w:rPr>
          <w:rFonts w:ascii="Times New Roman" w:cs="Times New Roman" w:eastAsia="Times New Roman" w:hAnsi="Times New Roman"/>
          <w:sz w:val="16"/>
          <w:szCs w:val="16"/>
          <w:color w:val="auto"/>
        </w:rPr>
        <w:t>In addition, the Company has numerous pieces of smaller equipment that support its dredging operations. Great Lakes’ domestic dredging fleet is typically positioned on the East and Gulf Coasts, with a smaller number of vessels occasionally positioned on the West Coast, and with many of the rivers &amp; lakes dredges on inland rivers and lakes. The mobility of the fleet enables the Company to move equipment in response to changes in demand. Great Lakes’ fleet also includes vessels currently positioned in the Middle East. The Company currently estimates the replacement cost of its entire fleet to be in excess of $1.5 billion.</w:t>
      </w:r>
    </w:p>
    <w:p>
      <w:pPr>
        <w:spacing w:after="0" w:line="103" w:lineRule="exact"/>
        <w:rPr>
          <w:sz w:val="20"/>
          <w:szCs w:val="20"/>
          <w:color w:val="auto"/>
        </w:rPr>
      </w:pPr>
    </w:p>
    <w:p>
      <w:pPr>
        <w:ind w:right="120" w:firstLine="456"/>
        <w:spacing w:after="0" w:line="258" w:lineRule="auto"/>
        <w:rPr>
          <w:sz w:val="20"/>
          <w:szCs w:val="20"/>
          <w:color w:val="auto"/>
        </w:rPr>
      </w:pPr>
      <w:r>
        <w:rPr>
          <w:rFonts w:ascii="Times New Roman" w:cs="Times New Roman" w:eastAsia="Times New Roman" w:hAnsi="Times New Roman"/>
          <w:sz w:val="18"/>
          <w:szCs w:val="18"/>
          <w:color w:val="auto"/>
        </w:rPr>
        <w:t>The Company continually assesses its need to upgrade and expand its dredging fleet to take advantage of improving technology and to address the changing needs of the dredging market. The Company is also committed to preventive maintenance, which it believes is reflected in the long lives of most if its equipment and its low level of unscheduled downtime on jobs. To the extent that market conditions warrant the expenditures, Great Lakes can prolong the useful life of its vessels indefinitely.</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Demolition</w:t>
      </w:r>
    </w:p>
    <w:p>
      <w:pPr>
        <w:spacing w:after="0" w:line="94" w:lineRule="exact"/>
        <w:rPr>
          <w:sz w:val="20"/>
          <w:szCs w:val="20"/>
          <w:color w:val="auto"/>
        </w:rPr>
      </w:pPr>
    </w:p>
    <w:p>
      <w:pPr>
        <w:ind w:right="20" w:firstLine="456"/>
        <w:spacing w:after="0" w:line="262" w:lineRule="auto"/>
        <w:rPr>
          <w:sz w:val="20"/>
          <w:szCs w:val="20"/>
          <w:color w:val="auto"/>
        </w:rPr>
      </w:pPr>
      <w:r>
        <w:rPr>
          <w:rFonts w:ascii="Times New Roman" w:cs="Times New Roman" w:eastAsia="Times New Roman" w:hAnsi="Times New Roman"/>
          <w:sz w:val="18"/>
          <w:szCs w:val="18"/>
          <w:color w:val="auto"/>
        </w:rPr>
        <w:t>The demolition segment owns and operates specialized demolition equipment, including a fleet of excavators equipped with shears, pulverizers, processors, grapples, and hydraulic hammers that provide high-capacity processing of construction and demolition debris for recycling, reclamation and disposal. The Company also owns and maintains a large number of skid-steer loaders, heavy-duty large-capacity loaders, cranes,</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420"/>
          </w:cols>
          <w:pgMar w:left="240" w:top="455" w:right="239" w:bottom="1440" w:gutter="0" w:footer="0" w:header="0"/>
        </w:sectPr>
      </w:pPr>
    </w:p>
    <w:bookmarkStart w:id="11" w:name="page12"/>
    <w:bookmarkEnd w:id="1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320"/>
        <w:spacing w:after="0" w:line="275" w:lineRule="auto"/>
        <w:rPr>
          <w:sz w:val="20"/>
          <w:szCs w:val="20"/>
          <w:color w:val="auto"/>
        </w:rPr>
      </w:pPr>
      <w:r>
        <w:rPr>
          <w:rFonts w:ascii="Times New Roman" w:cs="Times New Roman" w:eastAsia="Times New Roman" w:hAnsi="Times New Roman"/>
          <w:sz w:val="18"/>
          <w:szCs w:val="18"/>
          <w:color w:val="auto"/>
        </w:rPr>
        <w:t>recycling crushers, off-highway hauling units and a fleet of tractor-trailers for transporting equipment and materials to and from job sites. The Company rents additional equipment on a project-by-project basis, which allows the Company flexibility to adjust costs to the level of project activity.</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Equipment Certification</w:t>
      </w:r>
    </w:p>
    <w:p>
      <w:pPr>
        <w:spacing w:after="0" w:line="92" w:lineRule="exact"/>
        <w:rPr>
          <w:sz w:val="20"/>
          <w:szCs w:val="20"/>
          <w:color w:val="auto"/>
        </w:rPr>
      </w:pPr>
    </w:p>
    <w:p>
      <w:pPr>
        <w:ind w:right="80" w:firstLine="456"/>
        <w:spacing w:after="0" w:line="255" w:lineRule="auto"/>
        <w:rPr>
          <w:sz w:val="20"/>
          <w:szCs w:val="20"/>
          <w:color w:val="auto"/>
        </w:rPr>
      </w:pPr>
      <w:r>
        <w:rPr>
          <w:rFonts w:ascii="Times New Roman" w:cs="Times New Roman" w:eastAsia="Times New Roman" w:hAnsi="Times New Roman"/>
          <w:sz w:val="18"/>
          <w:szCs w:val="18"/>
          <w:color w:val="auto"/>
        </w:rPr>
        <w:t>Certification of equipment by the U.S. Coast Guard and establishment of the permissible loading capacity by the American Bureau of Shipping (“A.B.S.”) are important factors in the Company’s dredging business. Many projects, such as coastal protection projects with offshore sand borrow sites and dredging projects in exposed entrance channels or with offshore disposal areas, are restricted by federal regulations to be performed only by dredges or scows that have U.S. Coast Guard certification and a load line established by the A.B.S. The certifications indicate that the dredge is structurally capable of operating in open waters. The Company has more certified dredging vessels than any of the Company’s domestic competitors and makes substantial investments to maintain these certifications.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92" w:lineRule="exact"/>
        <w:rPr>
          <w:sz w:val="20"/>
          <w:szCs w:val="20"/>
          <w:color w:val="auto"/>
        </w:rPr>
      </w:pPr>
    </w:p>
    <w:p>
      <w:pPr>
        <w:ind w:right="20" w:firstLine="456"/>
        <w:spacing w:after="0" w:line="256" w:lineRule="auto"/>
        <w:rPr>
          <w:sz w:val="20"/>
          <w:szCs w:val="20"/>
          <w:color w:val="auto"/>
        </w:rPr>
      </w:pPr>
      <w:r>
        <w:rPr>
          <w:rFonts w:ascii="Times New Roman" w:cs="Times New Roman" w:eastAsia="Times New Roman" w:hAnsi="Times New Roman"/>
          <w:sz w:val="18"/>
          <w:szCs w:val="18"/>
          <w:color w:val="auto"/>
        </w:rPr>
        <w:t>Seasonality does not generally have a significant impact on the Company’s dredging operations. However, many East Coast coastal protection projects are limited by environmental windows that require work to be performed in winter months to protect wildlife habitats. The Company can mitigate the impact of these environmental restrictions to a certain extent because the Company has the flexibility to reposition its equipment to project sites, if available, that are not limited by these restrictions. In addition, rivers and lakes in the northern U.S. freeze during the winter, significantly reducing the Company’s ability to operate and transport its equipment in the relevant geographies. Fish spawning and flooding can effect dredging operations as well.</w:t>
      </w:r>
    </w:p>
    <w:p>
      <w:pPr>
        <w:spacing w:after="0" w:line="13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Company’s demolition operations are not significantly impacted by seasonality.</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Weather</w:t>
      </w:r>
    </w:p>
    <w:p>
      <w:pPr>
        <w:spacing w:after="0" w:line="92" w:lineRule="exact"/>
        <w:rPr>
          <w:sz w:val="20"/>
          <w:szCs w:val="20"/>
          <w:color w:val="auto"/>
        </w:rPr>
      </w:pPr>
    </w:p>
    <w:p>
      <w:pPr>
        <w:ind w:firstLine="456"/>
        <w:spacing w:after="0" w:line="293" w:lineRule="auto"/>
        <w:rPr>
          <w:sz w:val="20"/>
          <w:szCs w:val="20"/>
          <w:color w:val="auto"/>
        </w:rPr>
      </w:pPr>
      <w:r>
        <w:rPr>
          <w:rFonts w:ascii="Times New Roman" w:cs="Times New Roman" w:eastAsia="Times New Roman" w:hAnsi="Times New Roman"/>
          <w:sz w:val="16"/>
          <w:szCs w:val="16"/>
          <w:color w:val="auto"/>
        </w:rPr>
        <w:t>The Company’s ability to perform its contracts may depend on weather conditions. Inclement weather can delay the completion of a project, thereby causing the Company to incur additional costs. As part of bidding on fixed price contracts, the Company makes allowances, consistent with historical weather data, for project downtime due to adverse weather conditions. In the event that the Company experiences adverse weather beyond these allowances, a project may require additional days to complete, resulting in additional costs and decreased gross profit margins. Conversely, favorable weather can accelerate the completion of the project, resulting in cost savings and increased gross profit margins. Typically, Great Lakes is exposed to significant weather in the first and fourth quarters, and certain projects are required to be performed in environmental windows that occur during these periods. See “Business-Seasonality” above.</w:t>
      </w:r>
    </w:p>
    <w:p>
      <w:pPr>
        <w:spacing w:after="0" w:line="111" w:lineRule="exact"/>
        <w:rPr>
          <w:sz w:val="20"/>
          <w:szCs w:val="20"/>
          <w:color w:val="auto"/>
        </w:rPr>
      </w:pPr>
    </w:p>
    <w:p>
      <w:pPr>
        <w:ind w:right="160" w:firstLine="456"/>
        <w:spacing w:after="0" w:line="258" w:lineRule="auto"/>
        <w:rPr>
          <w:sz w:val="20"/>
          <w:szCs w:val="20"/>
          <w:color w:val="auto"/>
        </w:rPr>
      </w:pPr>
      <w:r>
        <w:rPr>
          <w:rFonts w:ascii="Times New Roman" w:cs="Times New Roman" w:eastAsia="Times New Roman" w:hAnsi="Times New Roman"/>
          <w:sz w:val="18"/>
          <w:szCs w:val="18"/>
          <w:color w:val="auto"/>
        </w:rPr>
        <w:t>Weather is difficult to predict and historical records exist for only the last 100-125 years. Changes in weather patterns may cause a deviation from project weather allowances on a more frequent basis and consequently increase or decrease gross profit margin, as applicable, on a project-by-project basis. In a typical year, the Company works on many projects in multiple geographic locations and experiences both positive and negative deviations from project weather allowances. Accordingly, it is unlikely that future climate change will have a material adverse effect on the Company’s results of operations.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Backlog</w:t>
      </w:r>
    </w:p>
    <w:p>
      <w:pPr>
        <w:spacing w:after="0" w:line="92" w:lineRule="exact"/>
        <w:rPr>
          <w:sz w:val="20"/>
          <w:szCs w:val="20"/>
          <w:color w:val="auto"/>
        </w:rPr>
      </w:pPr>
    </w:p>
    <w:p>
      <w:pPr>
        <w:ind w:right="120" w:firstLine="456"/>
        <w:spacing w:after="0" w:line="262" w:lineRule="auto"/>
        <w:rPr>
          <w:sz w:val="20"/>
          <w:szCs w:val="20"/>
          <w:color w:val="auto"/>
        </w:rPr>
      </w:pPr>
      <w:r>
        <w:rPr>
          <w:rFonts w:ascii="Times New Roman" w:cs="Times New Roman" w:eastAsia="Times New Roman" w:hAnsi="Times New Roman"/>
          <w:sz w:val="18"/>
          <w:szCs w:val="18"/>
          <w:color w:val="auto"/>
        </w:rPr>
        <w:t>The Company’s contract backlog represents its estimate of the revenues that will be realized under the portion of the contracts remaining to be performed. For dredging contracts these estimates are based primarily upon the time and costs required to mobilize the necessary assets to and from the project site, the amount and type of material to be dredged and the expected production capabilities of the equipment performing the work.</w:t>
      </w:r>
    </w:p>
    <w:p>
      <w:pPr>
        <w:spacing w:after="0" w:line="1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400"/>
          </w:cols>
          <w:pgMar w:left="240" w:top="455" w:right="259" w:bottom="1440" w:gutter="0" w:footer="0" w:header="0"/>
        </w:sectPr>
      </w:pPr>
    </w:p>
    <w:bookmarkStart w:id="12" w:name="page13"/>
    <w:bookmarkEnd w:id="1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For demolition contracts, these estimates are based on the time and remaining costs required to complete the project, relative to total estimated project costs and project revenues agreed to with the customer. However, these estimates are necessarily subject to variances based upon actual circumstances. Because of these factors, as well as factors affecting the time required to complete each job, backlog is not always indicative of future revenues or profitability. In addition, a significant amount of the Company’s dredging backlog relates to federal government contracts, which can be canceled at any time without penalty, subject to the Company’s right, in some cases, to recover the Company’s actual committed costs and profit on work performed up to the date of cancellation. The Company’s backlog may fluctuate significantly from quarter to quarter based upon the type and size of the projects the Company is awarded from the bid market. A quarterly increase or decrease of the Company’s backlog does not necessarily result in an improvement or a deterioration of the Company’s business. The Company’s backlog includes only those projects for which the Company has obtained a signed contract with the customer. The components of the Company’s backlog and other related information are addressed in more detail in Item 7. “Management’s Discussion and Analysis of Financial Condition and Results of Operations— Bidding Activity and Backlog.”</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Employees</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Dredging</w:t>
      </w:r>
    </w:p>
    <w:p>
      <w:pPr>
        <w:spacing w:after="0" w:line="94" w:lineRule="exact"/>
        <w:rPr>
          <w:sz w:val="20"/>
          <w:szCs w:val="20"/>
          <w:color w:val="auto"/>
        </w:rPr>
      </w:pPr>
    </w:p>
    <w:p>
      <w:pPr>
        <w:jc w:val="both"/>
        <w:ind w:right="260" w:firstLine="456"/>
        <w:spacing w:after="0" w:line="262" w:lineRule="auto"/>
        <w:rPr>
          <w:sz w:val="20"/>
          <w:szCs w:val="20"/>
          <w:color w:val="auto"/>
        </w:rPr>
      </w:pPr>
      <w:r>
        <w:rPr>
          <w:rFonts w:ascii="Times New Roman" w:cs="Times New Roman" w:eastAsia="Times New Roman" w:hAnsi="Times New Roman"/>
          <w:sz w:val="18"/>
          <w:szCs w:val="18"/>
          <w:color w:val="auto"/>
        </w:rPr>
        <w:t>During 2012, the Company employed an average of 400 full-time salaried personnel in the U.S., including those in a corporate function. In addition, the Company employs U.S. hourly personnel, most of whom are unionized, on a project-by-project basis. Crews are generally available for hire on relatively short notice. During 2012, the Company employed a daily average of 580 hourly personnel to meet domestic project requirements.</w:t>
      </w:r>
    </w:p>
    <w:p>
      <w:pPr>
        <w:spacing w:after="0" w:line="132" w:lineRule="exact"/>
        <w:rPr>
          <w:sz w:val="20"/>
          <w:szCs w:val="20"/>
          <w:color w:val="auto"/>
        </w:rPr>
      </w:pPr>
    </w:p>
    <w:p>
      <w:pPr>
        <w:ind w:right="100" w:firstLine="456"/>
        <w:spacing w:after="0" w:line="339" w:lineRule="auto"/>
        <w:rPr>
          <w:sz w:val="20"/>
          <w:szCs w:val="20"/>
          <w:color w:val="auto"/>
        </w:rPr>
      </w:pPr>
      <w:r>
        <w:rPr>
          <w:rFonts w:ascii="Times New Roman" w:cs="Times New Roman" w:eastAsia="Times New Roman" w:hAnsi="Times New Roman"/>
          <w:sz w:val="16"/>
          <w:szCs w:val="16"/>
          <w:color w:val="auto"/>
        </w:rPr>
        <w:t>In addition, at December 31, 2012, the Company employed approximately 32 expatriates, 23 foreign nationals and 98 local staff to manage and administer its Middle East operations. During 2012, the Company also employed a daily average of 239 hourly personnel to meet project requirements in the Middle East.</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Demolition</w:t>
      </w:r>
    </w:p>
    <w:p>
      <w:pPr>
        <w:spacing w:after="0" w:line="94" w:lineRule="exact"/>
        <w:rPr>
          <w:sz w:val="20"/>
          <w:szCs w:val="20"/>
          <w:color w:val="auto"/>
        </w:rPr>
      </w:pPr>
    </w:p>
    <w:p>
      <w:pPr>
        <w:ind w:right="200" w:firstLine="456"/>
        <w:spacing w:after="0" w:line="262" w:lineRule="auto"/>
        <w:rPr>
          <w:sz w:val="20"/>
          <w:szCs w:val="20"/>
          <w:color w:val="auto"/>
        </w:rPr>
      </w:pPr>
      <w:r>
        <w:rPr>
          <w:rFonts w:ascii="Times New Roman" w:cs="Times New Roman" w:eastAsia="Times New Roman" w:hAnsi="Times New Roman"/>
          <w:sz w:val="18"/>
          <w:szCs w:val="18"/>
          <w:color w:val="auto"/>
        </w:rPr>
        <w:t>At December 31, 2012, the demolition segment employed approximately 51 full-time salaried administrative employees, in addition to an average of 175 hourly employees pursuant to four union agreements. The hourly employees are hired on a project-by-project basis and are generally available for hire on relatively short notice.</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Safety</w:t>
      </w:r>
    </w:p>
    <w:p>
      <w:pPr>
        <w:spacing w:after="0" w:line="92" w:lineRule="exact"/>
        <w:rPr>
          <w:sz w:val="20"/>
          <w:szCs w:val="20"/>
          <w:color w:val="auto"/>
        </w:rPr>
      </w:pPr>
    </w:p>
    <w:p>
      <w:pPr>
        <w:ind w:right="520" w:firstLine="456"/>
        <w:spacing w:after="0" w:line="262" w:lineRule="auto"/>
        <w:rPr>
          <w:sz w:val="20"/>
          <w:szCs w:val="20"/>
          <w:color w:val="auto"/>
        </w:rPr>
      </w:pPr>
      <w:r>
        <w:rPr>
          <w:rFonts w:ascii="Times New Roman" w:cs="Times New Roman" w:eastAsia="Times New Roman" w:hAnsi="Times New Roman"/>
          <w:sz w:val="18"/>
          <w:szCs w:val="18"/>
          <w:color w:val="auto"/>
        </w:rPr>
        <w:t>Safety of its employees is one of the highest priorities of Great Lakes. The Company promotes a safety culture committed to training, awareness and mutual responsibility for the wellbeing of workers. Accident prevention, safety and environmental protection have top priority in the Company’s business planning, in the overall conduct of its business, and in the operation and maintenance of our vessels and facilities.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Unions</w:t>
      </w:r>
    </w:p>
    <w:p>
      <w:pPr>
        <w:spacing w:after="0" w:line="92"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The Company is a party to numerous collective bargaining agreements in the U.S. that govern its relationships with its unionized hourly workforce. However, two unions represent a large majority of our dredging employees—the International Union of Operating Engineers (“IUOE”), Local 25 and the Seafarers International Union. The Company’s contract with IUOE, Local 25 expired in October 2012. Since then the Company and the Union have been in negotiations and have reached a tentative agreement on a new three year contract subject to ratification by the union membership. The ratification vote is expected to be completed in April, 2013. IUOE, Local 25 members continued to work as usual during negotiations and there has been no disruption to our operations. The Company’s collective bargaining agreement with the Seafarers International Union was renewed under a new three year agreement in 2012. The Company has not experienced any major</w:t>
      </w:r>
    </w:p>
    <w:p>
      <w:pPr>
        <w:spacing w:after="0" w:line="1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420"/>
          </w:cols>
          <w:pgMar w:left="240" w:top="455" w:right="239" w:bottom="1440" w:gutter="0" w:footer="0" w:header="0"/>
        </w:sectPr>
      </w:pPr>
    </w:p>
    <w:bookmarkStart w:id="13" w:name="page14"/>
    <w:bookmarkEnd w:id="1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200"/>
        <w:spacing w:after="0" w:line="275" w:lineRule="auto"/>
        <w:rPr>
          <w:sz w:val="20"/>
          <w:szCs w:val="20"/>
          <w:color w:val="auto"/>
        </w:rPr>
      </w:pPr>
      <w:r>
        <w:rPr>
          <w:rFonts w:ascii="Times New Roman" w:cs="Times New Roman" w:eastAsia="Times New Roman" w:hAnsi="Times New Roman"/>
          <w:sz w:val="18"/>
          <w:szCs w:val="18"/>
          <w:color w:val="auto"/>
        </w:rPr>
        <w:t>labor disputes in the past five years and believes it has good relationships with the unions that represent a significant number of its hourly employees; however, there can be no assurances that the Company will not experience labor strikes or disturbances in the future.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Regulations</w:t>
      </w:r>
    </w:p>
    <w:p>
      <w:pPr>
        <w:spacing w:after="0" w:line="92"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The Company is subject to government regulations pursuant to the Dredging Act, the Jones Act, the Shipping Act, 1916, or “Shipping Act”, and the vessel documentation laws set forth in Chapter 121 of Title 46 of the United States Code. These statutes require vessels engaged in dredging in the navigable waters of the United States to be documented with a coastwise endorsement, to be owned and controlled by U.S. citizens, to be manned by U.S. crews, and to be built in the United States. The U.S. citizen ownership and control standards require the vessel-owning entity to be at least 75% U.S. citizen owned and prohibit the chartering of the vessel to any entity that does not meet the 75% U.S. citizen ownership test.</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Environmental Matters</w:t>
      </w:r>
    </w:p>
    <w:p>
      <w:pPr>
        <w:spacing w:after="0" w:line="92" w:lineRule="exact"/>
        <w:rPr>
          <w:sz w:val="20"/>
          <w:szCs w:val="20"/>
          <w:color w:val="auto"/>
        </w:rPr>
      </w:pPr>
    </w:p>
    <w:p>
      <w:pPr>
        <w:ind w:right="80" w:firstLine="456"/>
        <w:spacing w:after="0" w:line="255" w:lineRule="auto"/>
        <w:rPr>
          <w:sz w:val="20"/>
          <w:szCs w:val="20"/>
          <w:color w:val="auto"/>
        </w:rPr>
      </w:pPr>
      <w:r>
        <w:rPr>
          <w:rFonts w:ascii="Times New Roman" w:cs="Times New Roman" w:eastAsia="Times New Roman" w:hAnsi="Times New Roman"/>
          <w:sz w:val="18"/>
          <w:szCs w:val="18"/>
          <w:color w:val="auto"/>
        </w:rPr>
        <w:t>The Company’s operations, facilities and vessels are subject to various environmental laws and regulations related to, among other things: dredging operations; the disposal of dredged material; protection of wetlands; storm water and waste water discharges; demolition activities; asbestos removal; transportation and disposal of wastes and materials; air emissions; and remediation of contaminated soil, sediments, surface water and groundwater. The Company is also subject to laws designed to protect certain marine species and habitats. Compliance with these statutes and regulations can delay appropriation and/or performance of particular projects and increase related project costs. Non-compliance can also result in fines, penalties and claims by third parties seeking damages for alleged personal injury, as well as damages to property and natural resources.</w:t>
      </w:r>
    </w:p>
    <w:p>
      <w:pPr>
        <w:spacing w:after="0" w:line="139"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Certain environmental laws such as the U.S. Comprehensive Environmental Response, Compensation and Liability Act of 1980, and the Oil Pollution Act of 1990 impose strict and, under some circumstances joint and several, liability on owners and operators of facilities and vessels for investigation and remediation of releases and discharges of regulated materials, and also impose liability for related damages to natural resources. The Company’s past and ongoing operations involve the use, and from time to time the release or discharge, of regulated materials which could result in liability under these and other environmental laws. The Company has remediated known releases and discharges as deemed necessary, but there can be no guarantee that additional costs will not be incurred if, for example, third party claims arise or new conditions are discovered.</w:t>
      </w:r>
    </w:p>
    <w:p>
      <w:pPr>
        <w:spacing w:after="0" w:line="139" w:lineRule="exact"/>
        <w:rPr>
          <w:sz w:val="20"/>
          <w:szCs w:val="20"/>
          <w:color w:val="auto"/>
        </w:rPr>
      </w:pPr>
    </w:p>
    <w:p>
      <w:pPr>
        <w:ind w:right="160" w:firstLine="456"/>
        <w:spacing w:after="0" w:line="255" w:lineRule="auto"/>
        <w:rPr>
          <w:sz w:val="20"/>
          <w:szCs w:val="20"/>
          <w:color w:val="auto"/>
        </w:rPr>
      </w:pPr>
      <w:r>
        <w:rPr>
          <w:rFonts w:ascii="Times New Roman" w:cs="Times New Roman" w:eastAsia="Times New Roman" w:hAnsi="Times New Roman"/>
          <w:sz w:val="18"/>
          <w:szCs w:val="18"/>
          <w:color w:val="auto"/>
        </w:rPr>
        <w:t>The Company’s projects may involve demolition, excavation, transportation, management and disposal of hazardous waste and other regulated materials. Various laws strictly regulate the removal, treatment and transportation of hazardous water and other regulated materials and impose liability for human health effects and environmental contamination caused by these materials. The Company’s demolition business, for example, requires it to transport and dispose of hazardous substances and other wastes, such as asbestos. The Company takes steps to limit its potential liability by hiring qualified asbestos abatement subcontractors from time to time to remove such materials from our projects and some project contracts require the client to retain liability for hazardous waste generation.</w:t>
      </w:r>
    </w:p>
    <w:p>
      <w:pPr>
        <w:spacing w:after="0" w:line="139" w:lineRule="exact"/>
        <w:rPr>
          <w:sz w:val="20"/>
          <w:szCs w:val="20"/>
          <w:color w:val="auto"/>
        </w:rPr>
      </w:pPr>
    </w:p>
    <w:p>
      <w:pPr>
        <w:spacing w:after="0" w:line="296" w:lineRule="auto"/>
        <w:rPr>
          <w:sz w:val="20"/>
          <w:szCs w:val="20"/>
          <w:color w:val="auto"/>
        </w:rPr>
      </w:pPr>
      <w:r>
        <w:rPr>
          <w:rFonts w:ascii="Times New Roman" w:cs="Times New Roman" w:eastAsia="Times New Roman" w:hAnsi="Times New Roman"/>
          <w:sz w:val="16"/>
          <w:szCs w:val="16"/>
          <w:color w:val="auto"/>
        </w:rPr>
        <w:t>Based on the Company’s experience and available information, the Company believes that the future cost of compliance with existing environmental laws and regulations (and liability for known environmental conditions) will not have a material adverse effect on the Company’s business, financial position, results of operations or cash flows. However, the Company cannot predict what environmental legislation or regulations will be enacted in the future, how existing or future laws or regulations will be enforced, administered or interpreted, or the amount of future expenditures that may be required to comply with these environmental or health and safety laws or regulations or to respond to newly discovered conditions, such as future cleanup matters or other environmental claims.</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400"/>
          </w:cols>
          <w:pgMar w:left="240" w:top="455" w:right="259" w:bottom="1440" w:gutter="0" w:footer="0" w:header="0"/>
        </w:sectPr>
      </w:pPr>
    </w:p>
    <w:bookmarkStart w:id="14" w:name="page15"/>
    <w:bookmarkEnd w:id="1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Officers</w:t>
      </w:r>
    </w:p>
    <w:p>
      <w:pPr>
        <w:spacing w:after="0" w:line="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sets forth the names and ages of all of the Company’s executive officers and the positions and offices presently held by them.</w:t>
      </w:r>
    </w:p>
    <w:p>
      <w:pPr>
        <w:spacing w:after="0" w:line="209" w:lineRule="exact"/>
        <w:rPr>
          <w:sz w:val="20"/>
          <w:szCs w:val="20"/>
          <w:color w:val="auto"/>
        </w:rPr>
      </w:pPr>
    </w:p>
    <w:tbl>
      <w:tblPr>
        <w:tblLayout w:type="fixed"/>
        <w:tblInd w:w="460" w:type="dxa"/>
        <w:tblCellMar>
          <w:top w:w="0" w:type="dxa"/>
          <w:left w:w="0" w:type="dxa"/>
          <w:bottom w:w="0" w:type="dxa"/>
          <w:right w:w="0" w:type="dxa"/>
        </w:tblCellMar>
      </w:tblPr>
      <w:tr>
        <w:trPr>
          <w:trHeight w:val="179"/>
        </w:trPr>
        <w:tc>
          <w:tcPr>
            <w:tcW w:w="50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Age</w:t>
            </w:r>
          </w:p>
        </w:tc>
        <w:tc>
          <w:tcPr>
            <w:tcW w:w="360" w:type="dxa"/>
            <w:vAlign w:val="bottom"/>
          </w:tcPr>
          <w:p>
            <w:pPr>
              <w:spacing w:after="0"/>
              <w:rPr>
                <w:sz w:val="15"/>
                <w:szCs w:val="15"/>
                <w:color w:val="auto"/>
              </w:rPr>
            </w:pPr>
          </w:p>
        </w:tc>
        <w:tc>
          <w:tcPr>
            <w:tcW w:w="4920" w:type="dxa"/>
            <w:vAlign w:val="bottom"/>
          </w:tcPr>
          <w:p>
            <w:pPr>
              <w:ind w:left="2240"/>
              <w:spacing w:after="0"/>
              <w:rPr>
                <w:sz w:val="20"/>
                <w:szCs w:val="20"/>
                <w:color w:val="auto"/>
              </w:rPr>
            </w:pPr>
            <w:r>
              <w:rPr>
                <w:rFonts w:ascii="Times New Roman" w:cs="Times New Roman" w:eastAsia="Times New Roman" w:hAnsi="Times New Roman"/>
                <w:sz w:val="14"/>
                <w:szCs w:val="14"/>
                <w:b w:val="1"/>
                <w:bCs w:val="1"/>
                <w:color w:val="auto"/>
              </w:rPr>
              <w:t>Position</w:t>
            </w:r>
          </w:p>
        </w:tc>
      </w:tr>
      <w:tr>
        <w:trPr>
          <w:trHeight w:val="195"/>
        </w:trPr>
        <w:tc>
          <w:tcPr>
            <w:tcW w:w="20" w:type="dxa"/>
            <w:vAlign w:val="bottom"/>
          </w:tcPr>
          <w:p>
            <w:pPr>
              <w:spacing w:after="0"/>
              <w:rPr>
                <w:sz w:val="16"/>
                <w:szCs w:val="16"/>
                <w:color w:val="auto"/>
              </w:rPr>
            </w:pPr>
          </w:p>
        </w:tc>
        <w:tc>
          <w:tcPr>
            <w:tcW w:w="4660" w:type="dxa"/>
            <w:vAlign w:val="bottom"/>
            <w:tcBorders>
              <w:top w:val="single" w:sz="8" w:color="auto"/>
            </w:tcBorders>
          </w:tcPr>
          <w:p>
            <w:pPr>
              <w:spacing w:after="0" w:line="195" w:lineRule="exact"/>
              <w:rPr>
                <w:sz w:val="20"/>
                <w:szCs w:val="20"/>
                <w:color w:val="auto"/>
              </w:rPr>
            </w:pPr>
            <w:r>
              <w:rPr>
                <w:rFonts w:ascii="Times New Roman" w:cs="Times New Roman" w:eastAsia="Times New Roman" w:hAnsi="Times New Roman"/>
                <w:sz w:val="18"/>
                <w:szCs w:val="18"/>
                <w:color w:val="auto"/>
              </w:rPr>
              <w:t>Jonathan W. Berger</w:t>
            </w:r>
          </w:p>
        </w:tc>
        <w:tc>
          <w:tcPr>
            <w:tcW w:w="320" w:type="dxa"/>
            <w:vAlign w:val="bottom"/>
          </w:tcPr>
          <w:p>
            <w:pPr>
              <w:spacing w:after="0"/>
              <w:rPr>
                <w:sz w:val="16"/>
                <w:szCs w:val="16"/>
                <w:color w:val="auto"/>
              </w:rPr>
            </w:pPr>
          </w:p>
        </w:tc>
        <w:tc>
          <w:tcPr>
            <w:tcW w:w="220" w:type="dxa"/>
            <w:vAlign w:val="bottom"/>
            <w:tcBorders>
              <w:top w:val="single" w:sz="8" w:color="auto"/>
            </w:tcBorders>
          </w:tcPr>
          <w:p>
            <w:pPr>
              <w:jc w:val="right"/>
              <w:spacing w:after="0" w:line="195" w:lineRule="exact"/>
              <w:rPr>
                <w:sz w:val="20"/>
                <w:szCs w:val="20"/>
                <w:color w:val="auto"/>
              </w:rPr>
            </w:pPr>
            <w:r>
              <w:rPr>
                <w:rFonts w:ascii="Times New Roman" w:cs="Times New Roman" w:eastAsia="Times New Roman" w:hAnsi="Times New Roman"/>
                <w:sz w:val="18"/>
                <w:szCs w:val="18"/>
                <w:color w:val="auto"/>
              </w:rPr>
              <w:t>54</w:t>
            </w:r>
          </w:p>
        </w:tc>
        <w:tc>
          <w:tcPr>
            <w:tcW w:w="360" w:type="dxa"/>
            <w:vAlign w:val="bottom"/>
          </w:tcPr>
          <w:p>
            <w:pPr>
              <w:spacing w:after="0"/>
              <w:rPr>
                <w:sz w:val="16"/>
                <w:szCs w:val="16"/>
                <w:color w:val="auto"/>
              </w:rPr>
            </w:pPr>
          </w:p>
        </w:tc>
        <w:tc>
          <w:tcPr>
            <w:tcW w:w="4920" w:type="dxa"/>
            <w:vAlign w:val="bottom"/>
            <w:tcBorders>
              <w:top w:val="single" w:sz="8" w:color="auto"/>
            </w:tcBorders>
          </w:tcPr>
          <w:p>
            <w:pPr>
              <w:spacing w:after="0" w:line="195" w:lineRule="exact"/>
              <w:rPr>
                <w:sz w:val="20"/>
                <w:szCs w:val="20"/>
                <w:color w:val="auto"/>
              </w:rPr>
            </w:pPr>
            <w:r>
              <w:rPr>
                <w:rFonts w:ascii="Times New Roman" w:cs="Times New Roman" w:eastAsia="Times New Roman" w:hAnsi="Times New Roman"/>
                <w:sz w:val="18"/>
                <w:szCs w:val="18"/>
                <w:color w:val="auto"/>
              </w:rPr>
              <w:t>Chief Executive Officer and Director</w:t>
            </w:r>
          </w:p>
        </w:tc>
      </w:tr>
      <w:tr>
        <w:trPr>
          <w:trHeight w:val="216"/>
        </w:trPr>
        <w:tc>
          <w:tcPr>
            <w:tcW w:w="5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William S. Steckel</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52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Senior Vice President—Chief Financial Officer</w:t>
            </w:r>
          </w:p>
        </w:tc>
      </w:tr>
      <w:tr>
        <w:trPr>
          <w:trHeight w:val="216"/>
        </w:trPr>
        <w:tc>
          <w:tcPr>
            <w:tcW w:w="5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David E. Simonelli</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52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President of Dredging Operations</w:t>
            </w:r>
          </w:p>
        </w:tc>
      </w:tr>
      <w:tr>
        <w:trPr>
          <w:trHeight w:val="216"/>
        </w:trPr>
        <w:tc>
          <w:tcPr>
            <w:tcW w:w="5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Kyle D. Johnson</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52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Senior Vice President—Operations</w:t>
            </w:r>
          </w:p>
        </w:tc>
      </w:tr>
      <w:tr>
        <w:trPr>
          <w:trHeight w:val="216"/>
        </w:trPr>
        <w:tc>
          <w:tcPr>
            <w:tcW w:w="5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John F. Karas</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52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Senior Vice President—Estimating</w:t>
            </w:r>
          </w:p>
        </w:tc>
      </w:tr>
      <w:tr>
        <w:trPr>
          <w:trHeight w:val="228"/>
        </w:trPr>
        <w:tc>
          <w:tcPr>
            <w:tcW w:w="5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Maryann Waryjas</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52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w w:val="98"/>
              </w:rPr>
              <w:t>Senior Vice President—Chief Legal Officer and Corporate Secretary</w:t>
            </w:r>
          </w:p>
        </w:tc>
      </w:tr>
    </w:tbl>
    <w:p>
      <w:pPr>
        <w:spacing w:after="0" w:line="15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annual appointment of each executive officer expires in May 2013.</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Jonathan W. Berger, Chief Executive Officer</w:t>
      </w:r>
    </w:p>
    <w:p>
      <w:pPr>
        <w:spacing w:after="0" w:line="92" w:lineRule="exact"/>
        <w:rPr>
          <w:sz w:val="20"/>
          <w:szCs w:val="20"/>
          <w:color w:val="auto"/>
        </w:rPr>
      </w:pPr>
    </w:p>
    <w:p>
      <w:pPr>
        <w:ind w:right="80" w:firstLine="456"/>
        <w:spacing w:after="0" w:line="258" w:lineRule="auto"/>
        <w:rPr>
          <w:sz w:val="20"/>
          <w:szCs w:val="20"/>
          <w:color w:val="auto"/>
        </w:rPr>
      </w:pPr>
      <w:r>
        <w:rPr>
          <w:rFonts w:ascii="Times New Roman" w:cs="Times New Roman" w:eastAsia="Times New Roman" w:hAnsi="Times New Roman"/>
          <w:sz w:val="18"/>
          <w:szCs w:val="18"/>
          <w:color w:val="auto"/>
        </w:rPr>
        <w:t>Mr. Berger was named Chief Executive Officer in September 2010. Mr. Berger was a Partner in KPMG’s Corporate Finance practice from 1991 through 1999 and was managing director and co-head of Corporate Finance for Navigant Consulting, Inc., a New York Stock Exchange-listed consulting firm, from 2001 to 2009. Currently, Mr. Berger is a Director and Chair of the Audit and Compensation Committees of Boise, Inc. He is a Certified Public Accountant and holds a Bachelor of Science from Cornell University and an M.B.A. from Emory University.</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William S. Steckel, Senior Vice President and Chief Financial Officer</w:t>
      </w:r>
    </w:p>
    <w:p>
      <w:pPr>
        <w:spacing w:after="0" w:line="92" w:lineRule="exact"/>
        <w:rPr>
          <w:sz w:val="20"/>
          <w:szCs w:val="20"/>
          <w:color w:val="auto"/>
        </w:rPr>
      </w:pPr>
    </w:p>
    <w:p>
      <w:pPr>
        <w:ind w:right="80" w:firstLine="456"/>
        <w:spacing w:after="0" w:line="254" w:lineRule="auto"/>
        <w:rPr>
          <w:sz w:val="20"/>
          <w:szCs w:val="20"/>
          <w:color w:val="auto"/>
        </w:rPr>
      </w:pPr>
      <w:r>
        <w:rPr>
          <w:rFonts w:ascii="Times New Roman" w:cs="Times New Roman" w:eastAsia="Times New Roman" w:hAnsi="Times New Roman"/>
          <w:sz w:val="18"/>
          <w:szCs w:val="18"/>
          <w:color w:val="auto"/>
        </w:rPr>
        <w:t>Mr. Steckel became Senior Vice President and Chief Financial Officer of Great Lakes in August 2012. From 2010 until joining Great Lakes, Mr. Steckel was the principal at WSS Strategic Advisors, a firm that provided financial and strategic advisory services to public and private companies. From 2008 to 2010, Mr. Steckel was with Daystar Technologies, Inc., a developer of technology for solar photovoltaic products, where he joined as CFO and Treasurer and progressed to become CEO, President and a member of the Board of Directors. From 2006 to 2008, he was with privately held Norwood Promotional Products, a supplier of custom imprinted products to the advertising and promotional products industry, where he served as Senior Vice President, CFO and Treasurer. Prior to 2006, Mr. Steckel served in senior financial and general management roles with Invensys, St. Jude Medical and CTS Corporation. Mr. Steckel earned his Bachelor of Science in Accounting (Industrial Administration) at Iowa State University and his Master of Business Administration from Western Illinois University. He is also a Certified Public Accountant.</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David E. Simonelli, President of Dredging Operations</w:t>
      </w:r>
    </w:p>
    <w:p>
      <w:pPr>
        <w:spacing w:after="0" w:line="92" w:lineRule="exact"/>
        <w:rPr>
          <w:sz w:val="20"/>
          <w:szCs w:val="20"/>
          <w:color w:val="auto"/>
        </w:rPr>
      </w:pPr>
    </w:p>
    <w:p>
      <w:pPr>
        <w:ind w:right="160" w:firstLine="456"/>
        <w:spacing w:after="0" w:line="256" w:lineRule="auto"/>
        <w:rPr>
          <w:sz w:val="20"/>
          <w:szCs w:val="20"/>
          <w:color w:val="auto"/>
        </w:rPr>
      </w:pPr>
      <w:r>
        <w:rPr>
          <w:rFonts w:ascii="Times New Roman" w:cs="Times New Roman" w:eastAsia="Times New Roman" w:hAnsi="Times New Roman"/>
          <w:sz w:val="18"/>
          <w:szCs w:val="18"/>
          <w:color w:val="auto"/>
        </w:rPr>
        <w:t>Mr. Simonelli was named President of Dredging Operations in April 2010. Mr. Simonelli is responsible for the Operations Support Group which includes estimating, engineering, operations, plant and equipment and foreign operations. He was named a Vice President of the Company in 2002 and Special Projects Manager in 1996. He joined the Company in 1978 as a Field Engineer. Mr. Simonelli earned a Bachelor of Science degree in Civil and Environmental Engineering from the University of Rhode Island. He is a member of the Hydrographic Society, the American Society of Civil Engineers and the Western Dredging Association.</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Kyle D. Johnson, Senior Vice President—Operations</w:t>
      </w:r>
    </w:p>
    <w:p>
      <w:pPr>
        <w:spacing w:after="0" w:line="92"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Mr. Johnson was named Senior Vice President in February 2009 and has been Chief Contract Manager of the Company since 2006. He joined the Company in 1983 as a Mechanical Engineer and has since held positions of increasing responsibility in domestic and international engineering and operations, including Area Engineer, Special Projects Manager and Manager of Production Engineering. Mr. Johnson was named Vice President in 2002. Mr. Johnson earned a Bachelor of Science degree in Engineering from Purdue University and a Master’s of Science degree in Construction Engineering &amp; Management from Stanford University.</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420"/>
          </w:cols>
          <w:pgMar w:left="240" w:top="455" w:right="239" w:bottom="1440" w:gutter="0" w:footer="0" w:header="0"/>
        </w:sectPr>
      </w:pPr>
    </w:p>
    <w:bookmarkStart w:id="15" w:name="page16"/>
    <w:bookmarkEnd w:id="1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John F. Karas, Senior Vice President—Estimating</w:t>
      </w:r>
    </w:p>
    <w:p>
      <w:pPr>
        <w:spacing w:after="0" w:line="92" w:lineRule="exact"/>
        <w:rPr>
          <w:sz w:val="20"/>
          <w:szCs w:val="20"/>
          <w:color w:val="auto"/>
        </w:rPr>
      </w:pPr>
    </w:p>
    <w:p>
      <w:pPr>
        <w:ind w:firstLine="456"/>
        <w:spacing w:after="0" w:line="310" w:lineRule="auto"/>
        <w:rPr>
          <w:sz w:val="20"/>
          <w:szCs w:val="20"/>
          <w:color w:val="auto"/>
        </w:rPr>
      </w:pPr>
      <w:r>
        <w:rPr>
          <w:rFonts w:ascii="Times New Roman" w:cs="Times New Roman" w:eastAsia="Times New Roman" w:hAnsi="Times New Roman"/>
          <w:sz w:val="16"/>
          <w:szCs w:val="16"/>
          <w:color w:val="auto"/>
        </w:rPr>
        <w:t>Mr. Karas has been Senior Vice President of the Company since February 2009. Previously, Mr. Karas served as a Vice President since 2002, and was named Chief Estimator in 1992. Mr. Karas joined the Company in 1983 as a Project Engineer in the Hopper Division. Mr. Karas earned a Bachelor’s degree in Finance from the University of Notre Dame and is a member of the Western Dredging Association and the Association for the Advancement of Cost Engineering.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Maryann Waryjas, Senior Vice President, Chief Legal Officer and Corporate Secretary</w:t>
      </w:r>
    </w:p>
    <w:p>
      <w:pPr>
        <w:spacing w:after="0" w:line="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Ms. Waryjas was named Senior Vice President, Chief Legal Officer and Corporate Secretary in July 2012. From 2000 until joining Great Lakes,</w:t>
      </w:r>
    </w:p>
    <w:p>
      <w:pPr>
        <w:spacing w:after="0" w:line="21"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Ms. Waryjas was a partner at Katten Muchin Rosenman, LLP (“Katten”), where she most recently was co-chair of the firm’s Corporate Governance and Mergers and Acquisitions Practices. Ms. Waryjas served two consecutive terms on Katten’s Board of Directors. Prior to Katten, Ms. Waryjas was a partner at the Chicago offices of Jenner &amp; Block and Kirkland &amp; Ellis. She received her Bachelor of Science degree, magna cum laude, from Loyola University and her Juris Doctor degree, cum laude, from Northwestern University School of Law.</w:t>
      </w:r>
    </w:p>
    <w:p>
      <w:pPr>
        <w:spacing w:after="0" w:line="257"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6"/>
          <w:szCs w:val="16"/>
          <w:b w:val="1"/>
          <w:bCs w:val="1"/>
          <w:color w:val="auto"/>
        </w:rPr>
        <w:t>Risk Factors</w:t>
      </w:r>
    </w:p>
    <w:p>
      <w:pPr>
        <w:spacing w:after="0" w:line="92" w:lineRule="exact"/>
        <w:rPr>
          <w:sz w:val="20"/>
          <w:szCs w:val="20"/>
          <w:color w:val="auto"/>
        </w:rPr>
      </w:pPr>
    </w:p>
    <w:p>
      <w:pPr>
        <w:ind w:right="40" w:firstLine="456"/>
        <w:spacing w:after="0" w:line="255" w:lineRule="auto"/>
        <w:rPr>
          <w:sz w:val="20"/>
          <w:szCs w:val="20"/>
          <w:color w:val="auto"/>
        </w:rPr>
      </w:pPr>
      <w:r>
        <w:rPr>
          <w:rFonts w:ascii="Times New Roman" w:cs="Times New Roman" w:eastAsia="Times New Roman" w:hAnsi="Times New Roman"/>
          <w:sz w:val="18"/>
          <w:szCs w:val="18"/>
          <w:color w:val="auto"/>
        </w:rPr>
        <w:t>The following risk factors address the material risks and uncertainties concerning our business. You should carefully consider the following risks and other information contained or incorporated by reference into this Annual Report on Form 10-K when evaluating our business and financial condition and an investment in our common stock. Should any of the following risks or uncertainties develop into actual events, such developments could have material adverse effects on our business, financial condition, cash flows and results of operations. We have grouped our Risk Factors under captions that we believe describe various categories of potential risk. For the reader’s convenience, we have not duplicated risk factors that could be considered to be included in more than one category.</w:t>
      </w:r>
    </w:p>
    <w:p>
      <w:pPr>
        <w:spacing w:after="0" w:line="2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Risks Related to our Business</w:t>
      </w:r>
    </w:p>
    <w:p>
      <w:pPr>
        <w:spacing w:after="0" w:line="169" w:lineRule="exact"/>
        <w:rPr>
          <w:sz w:val="20"/>
          <w:szCs w:val="20"/>
          <w:color w:val="auto"/>
        </w:rPr>
      </w:pPr>
    </w:p>
    <w:p>
      <w:pPr>
        <w:ind w:right="100"/>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We depend on our ability to continue to obtain federal government dredging and other contracts, and are therefore impacted by the amount of government funding for dredging and other projects. A reduction in government funding for dredging or other contracts, or our inability to qualify for certain contracts, could materially adversely affect our business operations, revenues and profits.</w:t>
      </w:r>
    </w:p>
    <w:p>
      <w:pPr>
        <w:spacing w:after="0" w:line="48" w:lineRule="exact"/>
        <w:rPr>
          <w:sz w:val="20"/>
          <w:szCs w:val="20"/>
          <w:color w:val="auto"/>
        </w:rPr>
      </w:pPr>
    </w:p>
    <w:p>
      <w:pPr>
        <w:ind w:right="100" w:firstLine="456"/>
        <w:spacing w:after="0" w:line="262" w:lineRule="auto"/>
        <w:rPr>
          <w:sz w:val="20"/>
          <w:szCs w:val="20"/>
          <w:color w:val="auto"/>
        </w:rPr>
      </w:pPr>
      <w:r>
        <w:rPr>
          <w:rFonts w:ascii="Times New Roman" w:cs="Times New Roman" w:eastAsia="Times New Roman" w:hAnsi="Times New Roman"/>
          <w:sz w:val="18"/>
          <w:szCs w:val="18"/>
          <w:color w:val="auto"/>
        </w:rPr>
        <w:t>A substantial portion of our revenue is derived from federal government contracts, particularly dredging contracts. Revenues related to dredging contracts with federal agencies or companies operating under contracts with federal agencies and the percentage as a total of dredging revenue for the years ended December 31, 2012, 2011 and 2010 were as follows:</w:t>
      </w:r>
    </w:p>
    <w:p>
      <w:pPr>
        <w:spacing w:after="0" w:line="171" w:lineRule="exact"/>
        <w:rPr>
          <w:sz w:val="20"/>
          <w:szCs w:val="20"/>
          <w:color w:val="auto"/>
        </w:rPr>
      </w:pPr>
    </w:p>
    <w:tbl>
      <w:tblPr>
        <w:tblLayout w:type="fixed"/>
        <w:tblInd w:w="920" w:type="dxa"/>
        <w:tblCellMar>
          <w:top w:w="0" w:type="dxa"/>
          <w:left w:w="0" w:type="dxa"/>
          <w:bottom w:w="0" w:type="dxa"/>
          <w:right w:w="0" w:type="dxa"/>
        </w:tblCellMar>
      </w:tblPr>
      <w:tr>
        <w:trPr>
          <w:trHeight w:val="165"/>
        </w:trPr>
        <w:tc>
          <w:tcPr>
            <w:tcW w:w="612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3"/>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w w:val="96"/>
              </w:rPr>
              <w:t>Year Ended December 31,</w:t>
            </w:r>
          </w:p>
        </w:tc>
        <w:tc>
          <w:tcPr>
            <w:tcW w:w="6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6120" w:type="dxa"/>
            <w:vAlign w:val="bottom"/>
          </w:tcPr>
          <w:p>
            <w:pPr>
              <w:spacing w:after="0"/>
              <w:rPr>
                <w:sz w:val="12"/>
                <w:szCs w:val="12"/>
                <w:color w:val="auto"/>
              </w:rPr>
            </w:pPr>
          </w:p>
        </w:tc>
        <w:tc>
          <w:tcPr>
            <w:tcW w:w="660" w:type="dxa"/>
            <w:vAlign w:val="bottom"/>
          </w:tcPr>
          <w:p>
            <w:pPr>
              <w:jc w:val="right"/>
              <w:ind w:right="119"/>
              <w:spacing w:after="0" w:line="142" w:lineRule="exact"/>
              <w:rPr>
                <w:sz w:val="20"/>
                <w:szCs w:val="20"/>
                <w:color w:val="auto"/>
              </w:rPr>
            </w:pPr>
            <w:r>
              <w:rPr>
                <w:rFonts w:ascii="Times New Roman" w:cs="Times New Roman" w:eastAsia="Times New Roman" w:hAnsi="Times New Roman"/>
                <w:sz w:val="14"/>
                <w:szCs w:val="14"/>
                <w:b w:val="1"/>
                <w:bCs w:val="1"/>
                <w:color w:val="auto"/>
              </w:rPr>
              <w:t>2012</w:t>
            </w:r>
          </w:p>
        </w:tc>
        <w:tc>
          <w:tcPr>
            <w:tcW w:w="180" w:type="dxa"/>
            <w:vAlign w:val="bottom"/>
          </w:tcPr>
          <w:p>
            <w:pPr>
              <w:spacing w:after="0"/>
              <w:rPr>
                <w:sz w:val="12"/>
                <w:szCs w:val="12"/>
                <w:color w:val="auto"/>
              </w:rPr>
            </w:pPr>
          </w:p>
        </w:tc>
        <w:tc>
          <w:tcPr>
            <w:tcW w:w="1120" w:type="dxa"/>
            <w:vAlign w:val="bottom"/>
            <w:gridSpan w:val="2"/>
          </w:tcPr>
          <w:p>
            <w:pPr>
              <w:jc w:val="right"/>
              <w:ind w:right="112"/>
              <w:spacing w:after="0" w:line="142" w:lineRule="exact"/>
              <w:rPr>
                <w:sz w:val="20"/>
                <w:szCs w:val="20"/>
                <w:color w:val="auto"/>
              </w:rPr>
            </w:pPr>
            <w:r>
              <w:rPr>
                <w:rFonts w:ascii="Times New Roman" w:cs="Times New Roman" w:eastAsia="Times New Roman" w:hAnsi="Times New Roman"/>
                <w:sz w:val="14"/>
                <w:szCs w:val="14"/>
                <w:b w:val="1"/>
                <w:bCs w:val="1"/>
                <w:color w:val="auto"/>
              </w:rPr>
              <w:t>2011</w:t>
            </w:r>
          </w:p>
        </w:tc>
        <w:tc>
          <w:tcPr>
            <w:tcW w:w="620" w:type="dxa"/>
            <w:vAlign w:val="bottom"/>
          </w:tcPr>
          <w:p>
            <w:pPr>
              <w:spacing w:after="0"/>
              <w:rPr>
                <w:sz w:val="12"/>
                <w:szCs w:val="12"/>
                <w:color w:val="auto"/>
              </w:rPr>
            </w:pPr>
          </w:p>
        </w:tc>
        <w:tc>
          <w:tcPr>
            <w:tcW w:w="680" w:type="dxa"/>
            <w:vAlign w:val="bottom"/>
          </w:tcPr>
          <w:p>
            <w:pPr>
              <w:jc w:val="right"/>
              <w:ind w:right="119"/>
              <w:spacing w:after="0" w:line="142" w:lineRule="exact"/>
              <w:rPr>
                <w:sz w:val="20"/>
                <w:szCs w:val="20"/>
                <w:color w:val="auto"/>
              </w:rPr>
            </w:pPr>
            <w:r>
              <w:rPr>
                <w:rFonts w:ascii="Times New Roman" w:cs="Times New Roman" w:eastAsia="Times New Roman" w:hAnsi="Times New Roman"/>
                <w:sz w:val="14"/>
                <w:szCs w:val="14"/>
                <w:b w:val="1"/>
                <w:bCs w:val="1"/>
                <w:color w:val="auto"/>
              </w:rPr>
              <w:t>2010</w:t>
            </w:r>
          </w:p>
        </w:tc>
        <w:tc>
          <w:tcPr>
            <w:tcW w:w="200" w:type="dxa"/>
            <w:vAlign w:val="bottom"/>
          </w:tcPr>
          <w:p>
            <w:pPr>
              <w:spacing w:after="0"/>
              <w:rPr>
                <w:sz w:val="12"/>
                <w:szCs w:val="12"/>
                <w:color w:val="auto"/>
              </w:rPr>
            </w:pPr>
          </w:p>
        </w:tc>
      </w:tr>
      <w:tr>
        <w:trPr>
          <w:trHeight w:val="210"/>
        </w:trPr>
        <w:tc>
          <w:tcPr>
            <w:tcW w:w="61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Federal government dredging revenue (in US $1,000)</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$405,434</w:t>
            </w:r>
          </w:p>
        </w:tc>
        <w:tc>
          <w:tcPr>
            <w:tcW w:w="18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$289,120</w:t>
            </w:r>
          </w:p>
        </w:tc>
        <w:tc>
          <w:tcPr>
            <w:tcW w:w="6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$367,320</w:t>
            </w:r>
          </w:p>
        </w:tc>
        <w:tc>
          <w:tcPr>
            <w:tcW w:w="200" w:type="dxa"/>
            <w:vAlign w:val="bottom"/>
            <w:tcBorders>
              <w:top w:val="single" w:sz="8" w:color="CCEEFF"/>
            </w:tcBorders>
            <w:shd w:val="clear" w:color="auto" w:fill="CCEEFF"/>
          </w:tcPr>
          <w:p>
            <w:pPr>
              <w:spacing w:after="0"/>
              <w:rPr>
                <w:sz w:val="18"/>
                <w:szCs w:val="18"/>
                <w:color w:val="auto"/>
              </w:rPr>
            </w:pPr>
          </w:p>
        </w:tc>
      </w:tr>
      <w:tr>
        <w:trPr>
          <w:trHeight w:val="228"/>
        </w:trPr>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Percent of dredging revenue from federal government</w:t>
            </w: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69%</w:t>
            </w:r>
          </w:p>
        </w:tc>
        <w:tc>
          <w:tcPr>
            <w:tcW w:w="1740" w:type="dxa"/>
            <w:vAlign w:val="bottom"/>
            <w:gridSpan w:val="3"/>
          </w:tcPr>
          <w:p>
            <w:pPr>
              <w:jc w:val="right"/>
              <w:ind w:right="480"/>
              <w:spacing w:after="0"/>
              <w:rPr>
                <w:sz w:val="20"/>
                <w:szCs w:val="20"/>
                <w:color w:val="auto"/>
              </w:rPr>
            </w:pPr>
            <w:r>
              <w:rPr>
                <w:rFonts w:ascii="Times New Roman" w:cs="Times New Roman" w:eastAsia="Times New Roman" w:hAnsi="Times New Roman"/>
                <w:sz w:val="18"/>
                <w:szCs w:val="18"/>
                <w:color w:val="auto"/>
              </w:rPr>
              <w:t>56%</w:t>
            </w: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60%</w:t>
            </w:r>
          </w:p>
        </w:tc>
      </w:tr>
    </w:tbl>
    <w:p>
      <w:pPr>
        <w:spacing w:after="0" w:line="135" w:lineRule="exact"/>
        <w:rPr>
          <w:sz w:val="20"/>
          <w:szCs w:val="20"/>
          <w:color w:val="auto"/>
        </w:rPr>
      </w:pPr>
    </w:p>
    <w:p>
      <w:pPr>
        <w:ind w:right="40" w:firstLine="456"/>
        <w:spacing w:after="0" w:line="256" w:lineRule="auto"/>
        <w:rPr>
          <w:sz w:val="20"/>
          <w:szCs w:val="20"/>
          <w:color w:val="auto"/>
        </w:rPr>
      </w:pPr>
      <w:r>
        <w:rPr>
          <w:rFonts w:ascii="Times New Roman" w:cs="Times New Roman" w:eastAsia="Times New Roman" w:hAnsi="Times New Roman"/>
          <w:sz w:val="18"/>
          <w:szCs w:val="18"/>
          <w:color w:val="auto"/>
        </w:rPr>
        <w:t>Amounts spent by the federal government on dredging and remediation are subject to the budgetary and legislative processes. We would expect the federal government to continue to improve and maintain ports as it has for many years, which will necessitate a certain level of federal spending. However, there can be no assurance that the federal government will allocate any particular amount or level of funds to be spent on dredging or remediation projects for any specified period. We face uncertainty with respect to our U.S. government contracts due to the fiscal and economic challenges facing the U.S. government, including the U.S. national debt ceiling, continuing resolutions to fund current year expenses, sequestration and budget cuts.</w:t>
      </w:r>
    </w:p>
    <w:p>
      <w:pPr>
        <w:spacing w:after="0" w:line="1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380"/>
          </w:cols>
          <w:pgMar w:left="240" w:top="455" w:right="279" w:bottom="1440" w:gutter="0" w:footer="0" w:header="0"/>
        </w:sectPr>
      </w:pPr>
    </w:p>
    <w:bookmarkStart w:id="16" w:name="page17"/>
    <w:bookmarkEnd w:id="1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jc w:val="both"/>
        <w:ind w:right="400"/>
        <w:spacing w:after="0" w:line="262" w:lineRule="auto"/>
        <w:rPr>
          <w:sz w:val="20"/>
          <w:szCs w:val="20"/>
          <w:color w:val="auto"/>
        </w:rPr>
      </w:pPr>
      <w:r>
        <w:rPr>
          <w:rFonts w:ascii="Times New Roman" w:cs="Times New Roman" w:eastAsia="Times New Roman" w:hAnsi="Times New Roman"/>
          <w:sz w:val="18"/>
          <w:szCs w:val="18"/>
          <w:color w:val="auto"/>
        </w:rPr>
        <w:t>Potential contract cancellations, modifications, protests, suspensions or terminations may arise from resolution of these issues and could cause our revenues, profits and cash flows to be lower. In addition, resolution of these issues could result in fewer and smaller new contract opportunities, lack of funding under incrementally funded contracts, or less flexibility by contracting officers regarding claims.</w:t>
      </w:r>
    </w:p>
    <w:p>
      <w:pPr>
        <w:spacing w:after="0" w:line="132" w:lineRule="exact"/>
        <w:rPr>
          <w:sz w:val="20"/>
          <w:szCs w:val="20"/>
          <w:color w:val="auto"/>
        </w:rPr>
      </w:pPr>
    </w:p>
    <w:p>
      <w:pPr>
        <w:ind w:right="120" w:firstLine="456"/>
        <w:spacing w:after="0" w:line="310" w:lineRule="auto"/>
        <w:rPr>
          <w:sz w:val="20"/>
          <w:szCs w:val="20"/>
          <w:color w:val="auto"/>
        </w:rPr>
      </w:pPr>
      <w:r>
        <w:rPr>
          <w:rFonts w:ascii="Times New Roman" w:cs="Times New Roman" w:eastAsia="Times New Roman" w:hAnsi="Times New Roman"/>
          <w:sz w:val="16"/>
          <w:szCs w:val="16"/>
          <w:color w:val="auto"/>
        </w:rPr>
        <w:t>The U.S. government conducts a rigorous competitive process for awarding most contracts. Some contracts include multiple award task order contracts in which several contractors are selected as eligible bidders for future work. We will face strong competition and pricing pressures for any additional contract awards from the U.S. government, and we may be required to qualify or continue to qualify under various multiple award task order contract criteria.</w:t>
      </w:r>
    </w:p>
    <w:p>
      <w:pPr>
        <w:spacing w:after="0" w:line="97" w:lineRule="exact"/>
        <w:rPr>
          <w:sz w:val="20"/>
          <w:szCs w:val="20"/>
          <w:color w:val="auto"/>
        </w:rPr>
      </w:pPr>
    </w:p>
    <w:p>
      <w:pPr>
        <w:ind w:right="60" w:firstLine="456"/>
        <w:spacing w:after="0" w:line="255" w:lineRule="auto"/>
        <w:rPr>
          <w:sz w:val="20"/>
          <w:szCs w:val="20"/>
          <w:color w:val="auto"/>
        </w:rPr>
      </w:pPr>
      <w:r>
        <w:rPr>
          <w:rFonts w:ascii="Times New Roman" w:cs="Times New Roman" w:eastAsia="Times New Roman" w:hAnsi="Times New Roman"/>
          <w:sz w:val="18"/>
          <w:szCs w:val="18"/>
          <w:color w:val="auto"/>
        </w:rPr>
        <w:t>Federal government contracts can be canceled at any time without penalty to the government, subject to, in most cases, our contractual right to recover our actual committed costs and profit on work performed up to the date of cancellation. Accordingly, there can be no assurance that the federal government will not cancel any federal government contracts that have been or are awarded to us. In addition, even if a contract is not cancelled, the government may elect to not award further work pursuant to a contract. Our inability to win and successfully perform federal government contracts in accordance with our estimates, or a significant reduction in government funding for dredging or remediation contracts, could materially adversely affect our business, operations, revenues and profits.</w:t>
      </w:r>
    </w:p>
    <w:p>
      <w:pPr>
        <w:spacing w:after="0" w:line="216" w:lineRule="exact"/>
        <w:rPr>
          <w:sz w:val="20"/>
          <w:szCs w:val="20"/>
          <w:color w:val="auto"/>
        </w:rPr>
      </w:pPr>
    </w:p>
    <w:p>
      <w:pPr>
        <w:ind w:right="18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The nature of our contracts, particularly those that are fixed-price, subjects us to risks associated with cost over-runs, operating cost inflation and potential claims for liquidated damages. If we are unable to accurately estimate our costs to complete our projects, our profitability could suffer.</w:t>
      </w:r>
    </w:p>
    <w:p>
      <w:pPr>
        <w:spacing w:after="0" w:line="34" w:lineRule="exact"/>
        <w:rPr>
          <w:sz w:val="20"/>
          <w:szCs w:val="20"/>
          <w:color w:val="auto"/>
        </w:rPr>
      </w:pPr>
    </w:p>
    <w:p>
      <w:pPr>
        <w:ind w:firstLine="456"/>
        <w:spacing w:after="0" w:line="287" w:lineRule="auto"/>
        <w:rPr>
          <w:sz w:val="20"/>
          <w:szCs w:val="20"/>
          <w:color w:val="auto"/>
        </w:rPr>
      </w:pPr>
      <w:r>
        <w:rPr>
          <w:rFonts w:ascii="Times New Roman" w:cs="Times New Roman" w:eastAsia="Times New Roman" w:hAnsi="Times New Roman"/>
          <w:sz w:val="16"/>
          <w:szCs w:val="16"/>
          <w:color w:val="auto"/>
        </w:rPr>
        <w:t>We conduct our business under various types of contracts where costs are estimated in advance of our performance. Most dredging contracts are fixed-price contracts where the customer pays a fixed price per unit (e.g., cubic yard) of material dredged. In addition, most of our demolition and remediation contracts carry similar risks to our fixed-price dredging contracts. Fixed-price contracts carry inherent risks, including risks of losses from underestimating costs, operational difficulties, and other changes that sometimes occur over the contract period. If our estimates prove inaccurate, if there are errors or ambiguities as to contract specifications, or if circumstances change due to, among other things, unanticipated technical problems, difficulties in obtaining permits or approvals, changes in local laws or labor conditions, inclement or hazardous weather conditions, changes in cost of equipment or materials, or our suppliers’ or subcontractor’s inability to perform, then cost over-runs and delays in performance are likely to occur. We may not be able to obtain compensation for additional work performed or expenses incurred. Additionally, we may be required to pay liquidated damages upon our failure to meet schedule or performance requirements of our contracts. Our failure to accurately estimate the resources and time required for fixed-price contracts or our failure to complete our contractual obligations within the time frame and costs committed could result in reduced profits or, in certain cases, a loss for that contract. If we were to significantly underestimate the costs on one or more significant contracts, the resulting losses could have a material adverse effect on our business, operating results, cash flows or financial condition.</w:t>
      </w:r>
    </w:p>
    <w:p>
      <w:pPr>
        <w:spacing w:after="0" w:line="196" w:lineRule="exact"/>
        <w:rPr>
          <w:sz w:val="20"/>
          <w:szCs w:val="20"/>
          <w:color w:val="auto"/>
        </w:rPr>
      </w:pPr>
    </w:p>
    <w:p>
      <w:pPr>
        <w:ind w:right="32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Our results of operations depend on the award of new contracts and the timing of the performance of these contracts. As a result, our quarterly operating results may vary significantly.</w:t>
      </w:r>
    </w:p>
    <w:p>
      <w:pPr>
        <w:spacing w:after="0" w:line="34" w:lineRule="exact"/>
        <w:rPr>
          <w:sz w:val="20"/>
          <w:szCs w:val="20"/>
          <w:color w:val="auto"/>
        </w:rPr>
      </w:pPr>
    </w:p>
    <w:p>
      <w:pPr>
        <w:ind w:right="40" w:firstLine="456"/>
        <w:spacing w:after="0" w:line="262" w:lineRule="auto"/>
        <w:rPr>
          <w:sz w:val="20"/>
          <w:szCs w:val="20"/>
          <w:color w:val="auto"/>
        </w:rPr>
      </w:pPr>
      <w:r>
        <w:rPr>
          <w:rFonts w:ascii="Times New Roman" w:cs="Times New Roman" w:eastAsia="Times New Roman" w:hAnsi="Times New Roman"/>
          <w:sz w:val="18"/>
          <w:szCs w:val="18"/>
          <w:color w:val="auto"/>
        </w:rPr>
        <w:t>Our quarterly results of operations have fluctuated in the past and may continue to fluctuate in the future. Accordingly, you should not rely on the results of any past quarter or quarters as an indication of future performance in our business operations or valuation of our stock. Our operating results could vary greatly from quarter to quarter due to factors such as:</w:t>
      </w:r>
    </w:p>
    <w:p>
      <w:pPr>
        <w:spacing w:after="0" w:line="51" w:lineRule="exact"/>
        <w:rPr>
          <w:sz w:val="20"/>
          <w:szCs w:val="20"/>
          <w:color w:val="auto"/>
        </w:rPr>
      </w:pPr>
    </w:p>
    <w:p>
      <w:pPr>
        <w:ind w:left="900" w:hanging="325"/>
        <w:spacing w:after="0"/>
        <w:tabs>
          <w:tab w:leader="none" w:pos="9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contract awards and the commencement or progress of work under awarded contracts;</w:t>
      </w:r>
    </w:p>
    <w:p>
      <w:pPr>
        <w:spacing w:after="0" w:line="90" w:lineRule="exact"/>
        <w:rPr>
          <w:rFonts w:ascii="Times New Roman" w:cs="Times New Roman" w:eastAsia="Times New Roman" w:hAnsi="Times New Roman"/>
          <w:sz w:val="18"/>
          <w:szCs w:val="18"/>
          <w:color w:val="auto"/>
        </w:rPr>
      </w:pPr>
    </w:p>
    <w:p>
      <w:pPr>
        <w:ind w:left="900" w:right="180" w:hanging="325"/>
        <w:spacing w:after="0" w:line="275" w:lineRule="auto"/>
        <w:tabs>
          <w:tab w:leader="none" w:pos="9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inclement or hazardous weather conditions that may result in underestimated delays in dredging, demolition or remediation and additional contract expenses;</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400"/>
          </w:cols>
          <w:pgMar w:left="240" w:top="455" w:right="259" w:bottom="1440" w:gutter="0" w:footer="0" w:header="0"/>
        </w:sectPr>
      </w:pPr>
    </w:p>
    <w:bookmarkStart w:id="17" w:name="page18"/>
    <w:bookmarkEnd w:id="1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900" w:hanging="325"/>
        <w:spacing w:after="0"/>
        <w:tabs>
          <w:tab w:leader="none" w:pos="9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unplanned equipment downtime;</w:t>
      </w:r>
    </w:p>
    <w:p>
      <w:pPr>
        <w:spacing w:after="0" w:line="90" w:lineRule="exact"/>
        <w:rPr>
          <w:rFonts w:ascii="Times New Roman" w:cs="Times New Roman" w:eastAsia="Times New Roman" w:hAnsi="Times New Roman"/>
          <w:sz w:val="18"/>
          <w:szCs w:val="18"/>
          <w:color w:val="auto"/>
        </w:rPr>
      </w:pPr>
    </w:p>
    <w:p>
      <w:pPr>
        <w:ind w:left="900" w:right="180" w:hanging="325"/>
        <w:spacing w:after="0" w:line="275" w:lineRule="auto"/>
        <w:tabs>
          <w:tab w:leader="none" w:pos="9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recognize revenue from pending change orders, which is not recognized until the recovery is probable and collectability is reasonably assured;</w:t>
      </w:r>
    </w:p>
    <w:p>
      <w:pPr>
        <w:spacing w:after="0" w:line="38"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environmental restrictions requiring that certain projects be performed in winter months to protect wildlife habitats; and</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equipment mobilization to and from projects.</w:t>
      </w:r>
    </w:p>
    <w:p>
      <w:pPr>
        <w:spacing w:after="0" w:line="171" w:lineRule="exact"/>
        <w:rPr>
          <w:sz w:val="20"/>
          <w:szCs w:val="20"/>
          <w:color w:val="auto"/>
        </w:rPr>
      </w:pPr>
    </w:p>
    <w:p>
      <w:pPr>
        <w:ind w:right="80" w:firstLine="456"/>
        <w:spacing w:after="0" w:line="262" w:lineRule="auto"/>
        <w:rPr>
          <w:sz w:val="20"/>
          <w:szCs w:val="20"/>
          <w:color w:val="auto"/>
        </w:rPr>
      </w:pPr>
      <w:r>
        <w:rPr>
          <w:rFonts w:ascii="Times New Roman" w:cs="Times New Roman" w:eastAsia="Times New Roman" w:hAnsi="Times New Roman"/>
          <w:sz w:val="18"/>
          <w:szCs w:val="18"/>
          <w:color w:val="auto"/>
        </w:rPr>
        <w:t>If our results of operations from quarter to quarter fail to meet the expectations of public market analysts and investors, our stock price could be negatively impacted. See Item 7. “Management’s Discussion and Analysis of Financial Condition and Results of Operations—Primary Factors that Determine Operating Profitability.”</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fail to comply with government contracting regulations, our revenue could suffer, and we could be subject to significant potential liabilities.</w:t>
      </w:r>
    </w:p>
    <w:p>
      <w:pPr>
        <w:spacing w:after="0" w:line="94" w:lineRule="exact"/>
        <w:rPr>
          <w:sz w:val="20"/>
          <w:szCs w:val="20"/>
          <w:color w:val="auto"/>
        </w:rPr>
      </w:pPr>
    </w:p>
    <w:p>
      <w:pPr>
        <w:ind w:right="260" w:firstLine="456"/>
        <w:spacing w:after="0" w:line="256" w:lineRule="auto"/>
        <w:rPr>
          <w:sz w:val="20"/>
          <w:szCs w:val="20"/>
          <w:color w:val="auto"/>
        </w:rPr>
      </w:pPr>
      <w:r>
        <w:rPr>
          <w:rFonts w:ascii="Times New Roman" w:cs="Times New Roman" w:eastAsia="Times New Roman" w:hAnsi="Times New Roman"/>
          <w:sz w:val="18"/>
          <w:szCs w:val="18"/>
          <w:color w:val="auto"/>
        </w:rPr>
        <w:t>Our contracts with federal, state and local governmental customers are subject to various procurement regulations and other contract provisions. These regulations also subject us to examinations by government auditors and investigators, from time to time, to ensure compliance and to review costs. Serious violations of government contracting regulations could result in the imposition of civil and criminal penalties, which may include termination of contracts, forfeiture of profits, imposition of payments and fines and suspension or debarment from future government contracting. If we fail to continue to qualify for or are suspended from work under a government contract for any reason, we could suffer a material reduction in revenue and cash flows.</w:t>
      </w:r>
    </w:p>
    <w:p>
      <w:pPr>
        <w:spacing w:after="0" w:line="139"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 xml:space="preserve">In addition, we may be subject to litigation brought by private individuals on behalf of the government relating to our government contracts, referred to in this annual report as </w:t>
      </w:r>
      <w:r>
        <w:rPr>
          <w:rFonts w:ascii="Times New Roman" w:cs="Times New Roman" w:eastAsia="Times New Roman" w:hAnsi="Times New Roman"/>
          <w:sz w:val="18"/>
          <w:szCs w:val="18"/>
          <w:i w:val="1"/>
          <w:iCs w:val="1"/>
          <w:color w:val="auto"/>
        </w:rPr>
        <w:t>“qui tam”</w:t>
      </w:r>
      <w:r>
        <w:rPr>
          <w:rFonts w:ascii="Times New Roman" w:cs="Times New Roman" w:eastAsia="Times New Roman" w:hAnsi="Times New Roman"/>
          <w:sz w:val="18"/>
          <w:szCs w:val="18"/>
          <w:color w:val="auto"/>
        </w:rPr>
        <w:t xml:space="preserve"> actions, which could include claims for up to treble damages. </w:t>
      </w:r>
      <w:r>
        <w:rPr>
          <w:rFonts w:ascii="Times New Roman" w:cs="Times New Roman" w:eastAsia="Times New Roman" w:hAnsi="Times New Roman"/>
          <w:sz w:val="18"/>
          <w:szCs w:val="18"/>
          <w:i w:val="1"/>
          <w:iCs w:val="1"/>
          <w:color w:val="auto"/>
        </w:rPr>
        <w:t>Qui tam</w:t>
      </w:r>
      <w:r>
        <w:rPr>
          <w:rFonts w:ascii="Times New Roman" w:cs="Times New Roman" w:eastAsia="Times New Roman" w:hAnsi="Times New Roman"/>
          <w:sz w:val="18"/>
          <w:szCs w:val="18"/>
          <w:color w:val="auto"/>
        </w:rPr>
        <w:t xml:space="preserve"> actions are sealed by the court at the time of filing. The only parties privy to the information in the complaint are the complainant, the U.S. government and the court. Therefore, it is possible that </w:t>
      </w:r>
      <w:r>
        <w:rPr>
          <w:rFonts w:ascii="Times New Roman" w:cs="Times New Roman" w:eastAsia="Times New Roman" w:hAnsi="Times New Roman"/>
          <w:sz w:val="18"/>
          <w:szCs w:val="18"/>
          <w:i w:val="1"/>
          <w:iCs w:val="1"/>
          <w:color w:val="auto"/>
        </w:rPr>
        <w:t>qui tam</w:t>
      </w:r>
      <w:r>
        <w:rPr>
          <w:rFonts w:ascii="Times New Roman" w:cs="Times New Roman" w:eastAsia="Times New Roman" w:hAnsi="Times New Roman"/>
          <w:sz w:val="18"/>
          <w:szCs w:val="18"/>
          <w:color w:val="auto"/>
        </w:rPr>
        <w:t xml:space="preserve"> actions have been filed against us and that we are not aware of such actions or have been ordered by the court not to discuss them until the seal is lifted. Thus, it is possible that we are subject to liability exposure for </w:t>
      </w:r>
      <w:r>
        <w:rPr>
          <w:rFonts w:ascii="Times New Roman" w:cs="Times New Roman" w:eastAsia="Times New Roman" w:hAnsi="Times New Roman"/>
          <w:sz w:val="18"/>
          <w:szCs w:val="18"/>
          <w:i w:val="1"/>
          <w:iCs w:val="1"/>
          <w:color w:val="auto"/>
        </w:rPr>
        <w:t>qui tam</w:t>
      </w:r>
      <w:r>
        <w:rPr>
          <w:rFonts w:ascii="Times New Roman" w:cs="Times New Roman" w:eastAsia="Times New Roman" w:hAnsi="Times New Roman"/>
          <w:sz w:val="18"/>
          <w:szCs w:val="18"/>
          <w:color w:val="auto"/>
        </w:rPr>
        <w:t xml:space="preserve"> actions.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risks related to our international dredging operations.</w:t>
      </w:r>
    </w:p>
    <w:p>
      <w:pPr>
        <w:spacing w:after="0" w:line="9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Revenue from foreign contracts and its percentage to total dredging revenue for the years ended December 31, 2012, 2011 and 2010 were as follows:</w:t>
      </w:r>
    </w:p>
    <w:p>
      <w:pPr>
        <w:spacing w:after="0" w:line="209" w:lineRule="exact"/>
        <w:rPr>
          <w:sz w:val="20"/>
          <w:szCs w:val="20"/>
          <w:color w:val="auto"/>
        </w:rPr>
      </w:pPr>
    </w:p>
    <w:tbl>
      <w:tblPr>
        <w:tblLayout w:type="fixed"/>
        <w:tblInd w:w="920" w:type="dxa"/>
        <w:tblCellMar>
          <w:top w:w="0" w:type="dxa"/>
          <w:left w:w="0" w:type="dxa"/>
          <w:bottom w:w="0" w:type="dxa"/>
          <w:right w:w="0" w:type="dxa"/>
        </w:tblCellMar>
      </w:tblPr>
      <w:tr>
        <w:trPr>
          <w:trHeight w:val="165"/>
        </w:trPr>
        <w:tc>
          <w:tcPr>
            <w:tcW w:w="48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3"/>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w w:val="96"/>
              </w:rPr>
              <w:t>Year Ended December 31,</w:t>
            </w:r>
          </w:p>
        </w:tc>
        <w:tc>
          <w:tcPr>
            <w:tcW w:w="1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48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660" w:type="dxa"/>
            <w:vAlign w:val="bottom"/>
          </w:tcPr>
          <w:p>
            <w:pPr>
              <w:jc w:val="right"/>
              <w:ind w:right="102"/>
              <w:spacing w:after="0" w:line="142" w:lineRule="exact"/>
              <w:rPr>
                <w:sz w:val="20"/>
                <w:szCs w:val="20"/>
                <w:color w:val="auto"/>
              </w:rPr>
            </w:pPr>
            <w:r>
              <w:rPr>
                <w:rFonts w:ascii="Times New Roman" w:cs="Times New Roman" w:eastAsia="Times New Roman" w:hAnsi="Times New Roman"/>
                <w:sz w:val="14"/>
                <w:szCs w:val="14"/>
                <w:b w:val="1"/>
                <w:bCs w:val="1"/>
                <w:color w:val="auto"/>
              </w:rPr>
              <w:t>2012</w:t>
            </w:r>
          </w:p>
        </w:tc>
        <w:tc>
          <w:tcPr>
            <w:tcW w:w="180" w:type="dxa"/>
            <w:vAlign w:val="bottom"/>
          </w:tcPr>
          <w:p>
            <w:pPr>
              <w:spacing w:after="0"/>
              <w:rPr>
                <w:sz w:val="12"/>
                <w:szCs w:val="12"/>
                <w:color w:val="auto"/>
              </w:rPr>
            </w:pPr>
          </w:p>
        </w:tc>
        <w:tc>
          <w:tcPr>
            <w:tcW w:w="1120" w:type="dxa"/>
            <w:vAlign w:val="bottom"/>
            <w:gridSpan w:val="2"/>
          </w:tcPr>
          <w:p>
            <w:pPr>
              <w:jc w:val="right"/>
              <w:ind w:right="72"/>
              <w:spacing w:after="0" w:line="142" w:lineRule="exact"/>
              <w:rPr>
                <w:sz w:val="20"/>
                <w:szCs w:val="20"/>
                <w:color w:val="auto"/>
              </w:rPr>
            </w:pPr>
            <w:r>
              <w:rPr>
                <w:rFonts w:ascii="Times New Roman" w:cs="Times New Roman" w:eastAsia="Times New Roman" w:hAnsi="Times New Roman"/>
                <w:sz w:val="14"/>
                <w:szCs w:val="14"/>
                <w:b w:val="1"/>
                <w:bCs w:val="1"/>
                <w:color w:val="auto"/>
              </w:rPr>
              <w:t>2011</w:t>
            </w:r>
          </w:p>
        </w:tc>
        <w:tc>
          <w:tcPr>
            <w:tcW w:w="560" w:type="dxa"/>
            <w:vAlign w:val="bottom"/>
          </w:tcPr>
          <w:p>
            <w:pPr>
              <w:spacing w:after="0"/>
              <w:rPr>
                <w:sz w:val="12"/>
                <w:szCs w:val="12"/>
                <w:color w:val="auto"/>
              </w:rPr>
            </w:pPr>
          </w:p>
        </w:tc>
        <w:tc>
          <w:tcPr>
            <w:tcW w:w="740" w:type="dxa"/>
            <w:vAlign w:val="bottom"/>
            <w:gridSpan w:val="2"/>
          </w:tcPr>
          <w:p>
            <w:pPr>
              <w:jc w:val="right"/>
              <w:ind w:right="72"/>
              <w:spacing w:after="0" w:line="142" w:lineRule="exact"/>
              <w:rPr>
                <w:sz w:val="20"/>
                <w:szCs w:val="20"/>
                <w:color w:val="auto"/>
              </w:rPr>
            </w:pPr>
            <w:r>
              <w:rPr>
                <w:rFonts w:ascii="Times New Roman" w:cs="Times New Roman" w:eastAsia="Times New Roman" w:hAnsi="Times New Roman"/>
                <w:sz w:val="14"/>
                <w:szCs w:val="14"/>
                <w:b w:val="1"/>
                <w:bCs w:val="1"/>
                <w:color w:val="auto"/>
              </w:rPr>
              <w:t>2010</w:t>
            </w:r>
          </w:p>
        </w:tc>
        <w:tc>
          <w:tcPr>
            <w:tcW w:w="200" w:type="dxa"/>
            <w:vAlign w:val="bottom"/>
          </w:tcPr>
          <w:p>
            <w:pPr>
              <w:spacing w:after="0"/>
              <w:rPr>
                <w:sz w:val="12"/>
                <w:szCs w:val="12"/>
                <w:color w:val="auto"/>
              </w:rPr>
            </w:pPr>
          </w:p>
        </w:tc>
      </w:tr>
      <w:tr>
        <w:trPr>
          <w:trHeight w:val="210"/>
        </w:trPr>
        <w:tc>
          <w:tcPr>
            <w:tcW w:w="48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revenue (in US $1,000)</w:t>
            </w:r>
          </w:p>
        </w:tc>
        <w:tc>
          <w:tcPr>
            <w:tcW w:w="126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$112,242</w:t>
            </w:r>
          </w:p>
        </w:tc>
        <w:tc>
          <w:tcPr>
            <w:tcW w:w="18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$77,232</w:t>
            </w:r>
          </w:p>
        </w:tc>
        <w:tc>
          <w:tcPr>
            <w:tcW w:w="5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$82,898</w:t>
            </w:r>
          </w:p>
        </w:tc>
        <w:tc>
          <w:tcPr>
            <w:tcW w:w="200" w:type="dxa"/>
            <w:vAlign w:val="bottom"/>
            <w:tcBorders>
              <w:top w:val="single" w:sz="8" w:color="CCEEFF"/>
            </w:tcBorders>
            <w:shd w:val="clear" w:color="auto" w:fill="CCEEFF"/>
          </w:tcPr>
          <w:p>
            <w:pPr>
              <w:spacing w:after="0"/>
              <w:rPr>
                <w:sz w:val="18"/>
                <w:szCs w:val="18"/>
                <w:color w:val="auto"/>
              </w:rPr>
            </w:pPr>
          </w:p>
        </w:tc>
      </w:tr>
      <w:tr>
        <w:trPr>
          <w:trHeight w:val="228"/>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Percent of dredging revenue from foreign countries</w:t>
            </w:r>
          </w:p>
        </w:tc>
        <w:tc>
          <w:tcPr>
            <w:tcW w:w="21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19%</w:t>
            </w:r>
          </w:p>
        </w:tc>
        <w:tc>
          <w:tcPr>
            <w:tcW w:w="1680" w:type="dxa"/>
            <w:vAlign w:val="bottom"/>
            <w:gridSpan w:val="3"/>
          </w:tcPr>
          <w:p>
            <w:pPr>
              <w:jc w:val="right"/>
              <w:ind w:right="420"/>
              <w:spacing w:after="0"/>
              <w:rPr>
                <w:sz w:val="20"/>
                <w:szCs w:val="20"/>
                <w:color w:val="auto"/>
              </w:rPr>
            </w:pPr>
            <w:r>
              <w:rPr>
                <w:rFonts w:ascii="Times New Roman" w:cs="Times New Roman" w:eastAsia="Times New Roman" w:hAnsi="Times New Roman"/>
                <w:sz w:val="18"/>
                <w:szCs w:val="18"/>
                <w:color w:val="auto"/>
              </w:rPr>
              <w:t>15%</w:t>
            </w:r>
          </w:p>
        </w:tc>
        <w:tc>
          <w:tcPr>
            <w:tcW w:w="9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14%</w:t>
            </w:r>
          </w:p>
        </w:tc>
      </w:tr>
    </w:tbl>
    <w:p>
      <w:pPr>
        <w:spacing w:after="0" w:line="135" w:lineRule="exact"/>
        <w:rPr>
          <w:sz w:val="20"/>
          <w:szCs w:val="20"/>
          <w:color w:val="auto"/>
        </w:rPr>
      </w:pPr>
    </w:p>
    <w:p>
      <w:pPr>
        <w:ind w:right="80" w:firstLine="456"/>
        <w:spacing w:after="0" w:line="258" w:lineRule="auto"/>
        <w:rPr>
          <w:sz w:val="20"/>
          <w:szCs w:val="20"/>
          <w:color w:val="auto"/>
        </w:rPr>
      </w:pPr>
      <w:r>
        <w:rPr>
          <w:rFonts w:ascii="Times New Roman" w:cs="Times New Roman" w:eastAsia="Times New Roman" w:hAnsi="Times New Roman"/>
          <w:sz w:val="18"/>
          <w:szCs w:val="18"/>
          <w:color w:val="auto"/>
        </w:rPr>
        <w:t>The international dredging market is highly competitive and competition in the international market is dominated by four large European dredging companies all of which operate larger equipment and fleets that are more extensive than the Company’s. Competing for international dredging projects requires a substantial investment of resources, skilled personnel and capital investment in equipment and technology, and may adversely affect our ability to deploy resources for domestic dredging projects.</w:t>
      </w:r>
    </w:p>
    <w:p>
      <w:pPr>
        <w:spacing w:after="0" w:line="13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International operations subject us to additional potential risks, including:</w:t>
      </w:r>
    </w:p>
    <w:p>
      <w:pPr>
        <w:spacing w:after="0" w:line="90" w:lineRule="exact"/>
        <w:rPr>
          <w:sz w:val="20"/>
          <w:szCs w:val="20"/>
          <w:color w:val="auto"/>
        </w:rPr>
      </w:pPr>
    </w:p>
    <w:p>
      <w:pPr>
        <w:ind w:left="900" w:hanging="325"/>
        <w:spacing w:after="0"/>
        <w:tabs>
          <w:tab w:leader="none" w:pos="9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uncertainties concerning import and export license requirements, tariffs and other trade barriers;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and economic instability;</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Middle Eastern demand as a result of fluctuations in the price of oil, the primary export in the Middle East;</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420"/>
          </w:cols>
          <w:pgMar w:left="240" w:top="455" w:right="239" w:bottom="1440" w:gutter="0" w:footer="0" w:header="0"/>
        </w:sectPr>
      </w:pPr>
    </w:p>
    <w:bookmarkStart w:id="18" w:name="page19"/>
    <w:bookmarkEnd w:id="1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900" w:hanging="325"/>
        <w:spacing w:after="0"/>
        <w:tabs>
          <w:tab w:leader="none" w:pos="9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repatriating foreign profits back to the United States;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enforcing agreements through certain foreign legal systems;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requirements of, and changes in, foreign laws, policies and regulations;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staffing and managing international operations without additional expense;</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taxation issues;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greater difficulty in accounts receivable collection and longer collection periods;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the U.S. Foreign Corrupt Practices Act;</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in enforcing our contractual rights;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currency fluctuations;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logistical and communication challenges; and</w:t>
      </w:r>
    </w:p>
    <w:p>
      <w:pPr>
        <w:spacing w:after="0" w:line="90" w:lineRule="exact"/>
        <w:rPr>
          <w:rFonts w:ascii="Times New Roman" w:cs="Times New Roman" w:eastAsia="Times New Roman" w:hAnsi="Times New Roman"/>
          <w:sz w:val="18"/>
          <w:szCs w:val="18"/>
          <w:color w:val="auto"/>
        </w:rPr>
      </w:pPr>
    </w:p>
    <w:p>
      <w:pPr>
        <w:ind w:left="900" w:right="480" w:hanging="325"/>
        <w:spacing w:after="0" w:line="275" w:lineRule="auto"/>
        <w:tabs>
          <w:tab w:leader="none" w:pos="9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effectively insure against political, cultural and economic uncertainties, including acts of terrorism, civil unrest, war or other armed conflict.</w:t>
      </w:r>
    </w:p>
    <w:p>
      <w:pPr>
        <w:spacing w:after="0" w:line="120"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In addition, our international operations are subject to U.S. and other laws and regulations regarding operations in foreign jurisdictions. These numerous and sometimes conflicting laws and regulations include anti-boycott laws, anti-competition laws, anti-corruption laws, tax laws, immigration laws and accounting requirements. There is a risk that some provisions may be inadvertently breached, for example through fraudulent or negligent behavior of individual employees, or failure to comply with certain formal documentation requirements or otherwise. Violations of these laws and regulations could result in fines and penalties, criminal sanctions against us, our officers, or our employees, prohibitions on the conduct of our business and on our ability to operate in one or more countries, and could have a material adverse effect on our business, results of operations or financial condition. In addition, military action or continued unrest in the Middle East could affect the safety of our personnel in the region and significantly increase the costs of, or disrupt our operations in, the region and could have a material adverse effect on our business operations, revenues and profits.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One customer currently accounts for a significant portion of our international revenue.</w:t>
      </w:r>
    </w:p>
    <w:p>
      <w:pPr>
        <w:spacing w:after="0" w:line="94" w:lineRule="exact"/>
        <w:rPr>
          <w:sz w:val="20"/>
          <w:szCs w:val="20"/>
          <w:color w:val="auto"/>
        </w:rPr>
      </w:pPr>
    </w:p>
    <w:p>
      <w:pPr>
        <w:ind w:right="240" w:firstLine="456"/>
        <w:spacing w:after="0" w:line="275" w:lineRule="auto"/>
        <w:rPr>
          <w:sz w:val="20"/>
          <w:szCs w:val="20"/>
          <w:color w:val="auto"/>
        </w:rPr>
      </w:pPr>
      <w:r>
        <w:rPr>
          <w:rFonts w:ascii="Times New Roman" w:cs="Times New Roman" w:eastAsia="Times New Roman" w:hAnsi="Times New Roman"/>
          <w:sz w:val="18"/>
          <w:szCs w:val="18"/>
          <w:color w:val="auto"/>
        </w:rPr>
        <w:t>Revenue from contracts with the government of Bahrain and entities with which it does business and its percentage to total foreign dredging revenue for the years ended December 31, 2012, 2011 and 2010 were as follows:</w:t>
      </w:r>
    </w:p>
    <w:p>
      <w:pPr>
        <w:spacing w:after="0" w:line="158" w:lineRule="exact"/>
        <w:rPr>
          <w:sz w:val="20"/>
          <w:szCs w:val="20"/>
          <w:color w:val="auto"/>
        </w:rPr>
      </w:pPr>
    </w:p>
    <w:tbl>
      <w:tblPr>
        <w:tblLayout w:type="fixed"/>
        <w:tblInd w:w="460" w:type="dxa"/>
        <w:tblCellMar>
          <w:top w:w="0" w:type="dxa"/>
          <w:left w:w="0" w:type="dxa"/>
          <w:bottom w:w="0" w:type="dxa"/>
          <w:right w:w="0" w:type="dxa"/>
        </w:tblCellMar>
      </w:tblPr>
      <w:tr>
        <w:trPr>
          <w:trHeight w:val="165"/>
        </w:trPr>
        <w:tc>
          <w:tcPr>
            <w:tcW w:w="58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3"/>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w w:val="99"/>
              </w:rPr>
              <w:t>Year Ended December 31,</w:t>
            </w:r>
          </w:p>
        </w:tc>
        <w:tc>
          <w:tcPr>
            <w:tcW w:w="1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58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580" w:type="dxa"/>
            <w:vAlign w:val="bottom"/>
          </w:tcPr>
          <w:p>
            <w:pPr>
              <w:jc w:val="right"/>
              <w:ind w:right="82"/>
              <w:spacing w:after="0" w:line="142" w:lineRule="exact"/>
              <w:rPr>
                <w:sz w:val="20"/>
                <w:szCs w:val="20"/>
                <w:color w:val="auto"/>
              </w:rPr>
            </w:pPr>
            <w:r>
              <w:rPr>
                <w:rFonts w:ascii="Times New Roman" w:cs="Times New Roman" w:eastAsia="Times New Roman" w:hAnsi="Times New Roman"/>
                <w:sz w:val="14"/>
                <w:szCs w:val="14"/>
                <w:b w:val="1"/>
                <w:bCs w:val="1"/>
                <w:color w:val="auto"/>
              </w:rPr>
              <w:t>2012</w:t>
            </w:r>
          </w:p>
        </w:tc>
        <w:tc>
          <w:tcPr>
            <w:tcW w:w="220" w:type="dxa"/>
            <w:vAlign w:val="bottom"/>
          </w:tcPr>
          <w:p>
            <w:pPr>
              <w:spacing w:after="0"/>
              <w:rPr>
                <w:sz w:val="12"/>
                <w:szCs w:val="12"/>
                <w:color w:val="auto"/>
              </w:rPr>
            </w:pPr>
          </w:p>
        </w:tc>
        <w:tc>
          <w:tcPr>
            <w:tcW w:w="1120" w:type="dxa"/>
            <w:vAlign w:val="bottom"/>
            <w:gridSpan w:val="2"/>
          </w:tcPr>
          <w:p>
            <w:pPr>
              <w:jc w:val="right"/>
              <w:ind w:right="72"/>
              <w:spacing w:after="0" w:line="142" w:lineRule="exact"/>
              <w:rPr>
                <w:sz w:val="20"/>
                <w:szCs w:val="20"/>
                <w:color w:val="auto"/>
              </w:rPr>
            </w:pPr>
            <w:r>
              <w:rPr>
                <w:rFonts w:ascii="Times New Roman" w:cs="Times New Roman" w:eastAsia="Times New Roman" w:hAnsi="Times New Roman"/>
                <w:sz w:val="14"/>
                <w:szCs w:val="14"/>
                <w:b w:val="1"/>
                <w:bCs w:val="1"/>
                <w:color w:val="auto"/>
              </w:rPr>
              <w:t>2011</w:t>
            </w:r>
          </w:p>
        </w:tc>
        <w:tc>
          <w:tcPr>
            <w:tcW w:w="600" w:type="dxa"/>
            <w:vAlign w:val="bottom"/>
          </w:tcPr>
          <w:p>
            <w:pPr>
              <w:spacing w:after="0"/>
              <w:rPr>
                <w:sz w:val="12"/>
                <w:szCs w:val="12"/>
                <w:color w:val="auto"/>
              </w:rPr>
            </w:pPr>
          </w:p>
        </w:tc>
        <w:tc>
          <w:tcPr>
            <w:tcW w:w="740" w:type="dxa"/>
            <w:vAlign w:val="bottom"/>
            <w:gridSpan w:val="2"/>
          </w:tcPr>
          <w:p>
            <w:pPr>
              <w:jc w:val="right"/>
              <w:ind w:right="72"/>
              <w:spacing w:after="0" w:line="142" w:lineRule="exact"/>
              <w:rPr>
                <w:sz w:val="20"/>
                <w:szCs w:val="20"/>
                <w:color w:val="auto"/>
              </w:rPr>
            </w:pPr>
            <w:r>
              <w:rPr>
                <w:rFonts w:ascii="Times New Roman" w:cs="Times New Roman" w:eastAsia="Times New Roman" w:hAnsi="Times New Roman"/>
                <w:sz w:val="14"/>
                <w:szCs w:val="14"/>
                <w:b w:val="1"/>
                <w:bCs w:val="1"/>
                <w:color w:val="auto"/>
              </w:rPr>
              <w:t>2010</w:t>
            </w:r>
          </w:p>
        </w:tc>
        <w:tc>
          <w:tcPr>
            <w:tcW w:w="200" w:type="dxa"/>
            <w:vAlign w:val="bottom"/>
          </w:tcPr>
          <w:p>
            <w:pPr>
              <w:spacing w:after="0"/>
              <w:rPr>
                <w:sz w:val="12"/>
                <w:szCs w:val="12"/>
                <w:color w:val="auto"/>
              </w:rPr>
            </w:pPr>
          </w:p>
        </w:tc>
      </w:tr>
      <w:tr>
        <w:trPr>
          <w:trHeight w:val="210"/>
        </w:trPr>
        <w:tc>
          <w:tcPr>
            <w:tcW w:w="58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Bahrain government dredging revenue (in US $1,000)</w:t>
            </w:r>
          </w:p>
        </w:tc>
        <w:tc>
          <w:tcPr>
            <w:tcW w:w="118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$80,238</w:t>
            </w:r>
          </w:p>
        </w:tc>
        <w:tc>
          <w:tcPr>
            <w:tcW w:w="22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$47,311</w:t>
            </w:r>
          </w:p>
        </w:tc>
        <w:tc>
          <w:tcPr>
            <w:tcW w:w="6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$55,399</w:t>
            </w:r>
          </w:p>
        </w:tc>
        <w:tc>
          <w:tcPr>
            <w:tcW w:w="200" w:type="dxa"/>
            <w:vAlign w:val="bottom"/>
            <w:tcBorders>
              <w:top w:val="single" w:sz="8" w:color="CCEEFF"/>
            </w:tcBorders>
            <w:shd w:val="clear" w:color="auto" w:fill="CCEEFF"/>
          </w:tcPr>
          <w:p>
            <w:pPr>
              <w:spacing w:after="0"/>
              <w:rPr>
                <w:sz w:val="18"/>
                <w:szCs w:val="18"/>
                <w:color w:val="auto"/>
              </w:rPr>
            </w:pPr>
          </w:p>
        </w:tc>
      </w:tr>
      <w:tr>
        <w:trPr>
          <w:trHeight w:val="228"/>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Percent of foreign dredging revenue from the Bahrain government</w:t>
            </w:r>
          </w:p>
        </w:tc>
        <w:tc>
          <w:tcPr>
            <w:tcW w:w="19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71%</w:t>
            </w:r>
          </w:p>
        </w:tc>
        <w:tc>
          <w:tcPr>
            <w:tcW w:w="1720" w:type="dxa"/>
            <w:vAlign w:val="bottom"/>
            <w:gridSpan w:val="3"/>
          </w:tcPr>
          <w:p>
            <w:pPr>
              <w:jc w:val="right"/>
              <w:ind w:right="460"/>
              <w:spacing w:after="0"/>
              <w:rPr>
                <w:sz w:val="20"/>
                <w:szCs w:val="20"/>
                <w:color w:val="auto"/>
              </w:rPr>
            </w:pPr>
            <w:r>
              <w:rPr>
                <w:rFonts w:ascii="Times New Roman" w:cs="Times New Roman" w:eastAsia="Times New Roman" w:hAnsi="Times New Roman"/>
                <w:sz w:val="18"/>
                <w:szCs w:val="18"/>
                <w:color w:val="auto"/>
              </w:rPr>
              <w:t>61%</w:t>
            </w:r>
          </w:p>
        </w:tc>
        <w:tc>
          <w:tcPr>
            <w:tcW w:w="9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67%</w:t>
            </w:r>
          </w:p>
        </w:tc>
      </w:tr>
    </w:tbl>
    <w:p>
      <w:pPr>
        <w:spacing w:after="0" w:line="135" w:lineRule="exact"/>
        <w:rPr>
          <w:sz w:val="20"/>
          <w:szCs w:val="20"/>
          <w:color w:val="auto"/>
        </w:rPr>
      </w:pPr>
    </w:p>
    <w:p>
      <w:pPr>
        <w:ind w:right="40" w:firstLine="456"/>
        <w:spacing w:after="0" w:line="262" w:lineRule="auto"/>
        <w:rPr>
          <w:sz w:val="20"/>
          <w:szCs w:val="20"/>
          <w:color w:val="auto"/>
        </w:rPr>
      </w:pPr>
      <w:r>
        <w:rPr>
          <w:rFonts w:ascii="Times New Roman" w:cs="Times New Roman" w:eastAsia="Times New Roman" w:hAnsi="Times New Roman"/>
          <w:sz w:val="18"/>
          <w:szCs w:val="18"/>
          <w:color w:val="auto"/>
        </w:rPr>
        <w:t>Revenue from foreign projects over the last three years has been concentrated in Bahrain and primarily with the government of Bahrain. The contraction in the Middle East real estate market has slowed the rate of the region’s infrastructure development. If the government of Bahrain further curtails its infrastructure investment or diversifies its use of dredging vendors, our revenue from this customer could decline further.</w:t>
      </w:r>
    </w:p>
    <w:p>
      <w:pPr>
        <w:spacing w:after="0" w:line="132" w:lineRule="exact"/>
        <w:rPr>
          <w:sz w:val="20"/>
          <w:szCs w:val="20"/>
          <w:color w:val="auto"/>
        </w:rPr>
      </w:pPr>
    </w:p>
    <w:p>
      <w:pPr>
        <w:ind w:right="60" w:firstLine="456"/>
        <w:spacing w:after="0" w:line="296" w:lineRule="auto"/>
        <w:rPr>
          <w:sz w:val="20"/>
          <w:szCs w:val="20"/>
          <w:color w:val="auto"/>
        </w:rPr>
      </w:pPr>
      <w:r>
        <w:rPr>
          <w:rFonts w:ascii="Times New Roman" w:cs="Times New Roman" w:eastAsia="Times New Roman" w:hAnsi="Times New Roman"/>
          <w:sz w:val="16"/>
          <w:szCs w:val="16"/>
          <w:color w:val="auto"/>
        </w:rPr>
        <w:t>Bahrain continues to experience civil unrest and political protests that could result in governmental instability. In response thereto, the government of Bahrain may institute measures, such as a national curfew, that may impact our ability to execute on projects in Bahrain. It is uncertain whether civil unrest will continue, whether the current protests and other activities may lead to any meaningful government changes, and what restrictions, if any, the Bahrain government may establish. If the government changes or significant restrictions are established, our Bahrain dredging operations, including the value of our assets related to such operations, may be adversely affected. In addition, such events may affect the Bahrain government’s plans for infrastructure investment.</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400"/>
          </w:cols>
          <w:pgMar w:left="240" w:top="455" w:right="259" w:bottom="1440" w:gutter="0" w:footer="0" w:header="0"/>
        </w:sectPr>
      </w:pPr>
    </w:p>
    <w:bookmarkStart w:id="19" w:name="page20"/>
    <w:bookmarkEnd w:id="1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use of the percentage-of-completion method of accounting could result in a change in previously recorded revenue and profit.</w:t>
      </w:r>
    </w:p>
    <w:p>
      <w:pPr>
        <w:spacing w:after="0" w:line="94" w:lineRule="exact"/>
        <w:rPr>
          <w:sz w:val="20"/>
          <w:szCs w:val="20"/>
          <w:color w:val="auto"/>
        </w:rPr>
      </w:pPr>
    </w:p>
    <w:p>
      <w:pPr>
        <w:ind w:right="20" w:firstLine="456"/>
        <w:spacing w:after="0" w:line="254" w:lineRule="auto"/>
        <w:rPr>
          <w:sz w:val="20"/>
          <w:szCs w:val="20"/>
          <w:color w:val="auto"/>
        </w:rPr>
      </w:pPr>
      <w:r>
        <w:rPr>
          <w:rFonts w:ascii="Times New Roman" w:cs="Times New Roman" w:eastAsia="Times New Roman" w:hAnsi="Times New Roman"/>
          <w:sz w:val="18"/>
          <w:szCs w:val="18"/>
          <w:color w:val="auto"/>
        </w:rPr>
        <w:t>We recognize contract revenue using the percentage-of-completion method. The majority of our work is performed on a fixed-price basis. Contract revenue is accrued based on engineering estimates for the physical percent complete for dredging and estimates of remaining costs to complete for demolition. We use generally accepted accounting principles in the United States relating to the percentage-of-completion method, estimating costs, revenue recognition, combining and segmenting contracts and change order/claim recognition. Percentage-of-completion accounting relies on the use of estimates in the process of determining income earned. The cumulative impact of revisions to estimates is reflected in the period in which these changes are experienced or become known. Given the risks associated with the variables in these types of estimates, it is possible for actual costs to vary from estimates previously made, which may result in reductions or reversals of previously recorded net revenues and profits.</w:t>
      </w:r>
    </w:p>
    <w:p>
      <w:pPr>
        <w:spacing w:after="0" w:line="218"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During the preparation of our year-end financial statements, we identified a material weakness and determined that there was a failure of internal controls to detect or prevent misstatements in the financial statements and that such misstatements were material to our results of operations, in each case, for the quarterly and year-to-date periods ended June 30, 2012 and September 30, 2012. Future lapses in disclosure controls and procedures or internal control over financial reporting could materially and adversely affect our operations, profitability or reputation.</w:t>
      </w:r>
    </w:p>
    <w:p>
      <w:pPr>
        <w:spacing w:after="0" w:line="52" w:lineRule="exact"/>
        <w:rPr>
          <w:sz w:val="20"/>
          <w:szCs w:val="20"/>
          <w:color w:val="auto"/>
        </w:rPr>
      </w:pPr>
    </w:p>
    <w:p>
      <w:pPr>
        <w:ind w:right="20" w:firstLine="456"/>
        <w:spacing w:after="0" w:line="253" w:lineRule="auto"/>
        <w:rPr>
          <w:sz w:val="20"/>
          <w:szCs w:val="20"/>
          <w:color w:val="auto"/>
        </w:rPr>
      </w:pPr>
      <w:r>
        <w:rPr>
          <w:rFonts w:ascii="Times New Roman" w:cs="Times New Roman" w:eastAsia="Times New Roman" w:hAnsi="Times New Roman"/>
          <w:sz w:val="18"/>
          <w:szCs w:val="18"/>
          <w:color w:val="auto"/>
        </w:rPr>
        <w:t>On March 14, 2013, we reported that we had identified a material weakness and determined that there was a failure of internal controls to detect or prevent misstatements in our financial statements and that such misstatements were material to our results of operations for the quarterly and year-to-date periods ended June 30, 2012 and September 30, 2012. This determination related to instances in our demolition segment for which revenue was recognized in a manner not consistent with our accounting policy regarding pending change orders to immediately recognize the costs, but to defer the recognition of the related revenue until the recovery is probable and collectability is reasonably assured. After a review, we concluded 2012 second and third quarter demolition segment revenues were overstated. Restatements of the Quarterly Reports on Form 10-Q for the second and third quarters of 2012 were filed on March 29, 2013 and also included adjustments to dredging operating income to record expenses previously capitalized and incurred in the preparation of vessels for the Wheatstone Australia LNG project. As a result of the material weakness, management also concluded that our disclosure controls and procedures were not effective. Management has developed a plan to remediate the internal control deficiency, as further described in Item 9A. “Disclosure Controls and Procedures” in this Annual Report on Form 10-K.</w:t>
      </w:r>
    </w:p>
    <w:p>
      <w:pPr>
        <w:spacing w:after="0" w:line="141" w:lineRule="exact"/>
        <w:rPr>
          <w:sz w:val="20"/>
          <w:szCs w:val="20"/>
          <w:color w:val="auto"/>
        </w:rPr>
      </w:pPr>
    </w:p>
    <w:p>
      <w:pPr>
        <w:ind w:right="40" w:firstLine="456"/>
        <w:spacing w:after="0" w:line="256" w:lineRule="auto"/>
        <w:rPr>
          <w:sz w:val="20"/>
          <w:szCs w:val="20"/>
          <w:color w:val="auto"/>
        </w:rPr>
      </w:pPr>
      <w:r>
        <w:rPr>
          <w:rFonts w:ascii="Times New Roman" w:cs="Times New Roman" w:eastAsia="Times New Roman" w:hAnsi="Times New Roman"/>
          <w:sz w:val="18"/>
          <w:szCs w:val="18"/>
          <w:color w:val="auto"/>
        </w:rPr>
        <w:t>Nevertheless, there can be no assurance that our disclosure controls and procedures will be effective in the future or that a material weakness or significant deficiency in internal control over financial reporting could not occur again. Any such lapses or deficiencies may materially and adversely affect our business and results of operations or financial condition, restrict our ability to access the capital markets, require us to expend significant resources to correct the lapses or deficiencies, expose us to regulatory or legal proceedings, including litigation brought by private individuals, subject us to fines, penalties or judgments, harm our reputation, or otherwise cause a decline in investor confidence and our stock price.</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amount of our estimated backlog is subject to change and not necessarily indicative of future revenues.</w:t>
      </w:r>
    </w:p>
    <w:p>
      <w:pPr>
        <w:spacing w:after="0" w:line="94" w:lineRule="exact"/>
        <w:rPr>
          <w:sz w:val="20"/>
          <w:szCs w:val="20"/>
          <w:color w:val="auto"/>
        </w:rPr>
      </w:pPr>
    </w:p>
    <w:p>
      <w:pPr>
        <w:ind w:firstLine="456"/>
        <w:spacing w:after="0" w:line="296" w:lineRule="auto"/>
        <w:rPr>
          <w:sz w:val="20"/>
          <w:szCs w:val="20"/>
          <w:color w:val="auto"/>
        </w:rPr>
      </w:pPr>
      <w:r>
        <w:rPr>
          <w:rFonts w:ascii="Times New Roman" w:cs="Times New Roman" w:eastAsia="Times New Roman" w:hAnsi="Times New Roman"/>
          <w:sz w:val="16"/>
          <w:szCs w:val="16"/>
          <w:color w:val="auto"/>
        </w:rPr>
        <w:t>Our contract backlog represents our estimate of the revenues that we will realize under the portion of the contracts remaining to be performed. For dredging contracts these estimates are based primarily upon the time and costs required to mobilize the necessary assets to and from the project site, the amount and type of material to be dredged and the expected production capabilities of the equipment performing the work. For demolition and remediation contracts, these estimates are based on the time and remaining costs required to complete the project relative to total estimated project costs and project revenues agreed to with the customer. However, these estimates are necessarily subject to variances based upon actual circumstances. From time to time, changes in</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420"/>
          </w:cols>
          <w:pgMar w:left="240" w:top="455" w:right="239" w:bottom="1440" w:gutter="0" w:footer="0" w:header="0"/>
        </w:sectPr>
      </w:pPr>
    </w:p>
    <w:bookmarkStart w:id="20" w:name="page21"/>
    <w:bookmarkEnd w:id="2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160"/>
        <w:spacing w:after="0" w:line="262" w:lineRule="auto"/>
        <w:rPr>
          <w:sz w:val="20"/>
          <w:szCs w:val="20"/>
          <w:color w:val="auto"/>
        </w:rPr>
      </w:pPr>
      <w:r>
        <w:rPr>
          <w:rFonts w:ascii="Times New Roman" w:cs="Times New Roman" w:eastAsia="Times New Roman" w:hAnsi="Times New Roman"/>
          <w:sz w:val="18"/>
          <w:szCs w:val="18"/>
          <w:color w:val="auto"/>
        </w:rPr>
        <w:t>project scope may occur with respect to contracts reflected in our backlog and could reduce the dollar amount of our backlog and the timing of the revenue and profits that we actually earn. Projects may remain in our backlog for an extended period of time because of the nature of the project and the timing of the particular services or equipment required by the project.</w:t>
      </w:r>
    </w:p>
    <w:p>
      <w:pPr>
        <w:spacing w:after="0" w:line="132" w:lineRule="exact"/>
        <w:rPr>
          <w:sz w:val="20"/>
          <w:szCs w:val="20"/>
          <w:color w:val="auto"/>
        </w:rPr>
      </w:pPr>
    </w:p>
    <w:p>
      <w:pPr>
        <w:ind w:right="60" w:firstLine="456"/>
        <w:spacing w:after="0" w:line="258" w:lineRule="auto"/>
        <w:rPr>
          <w:sz w:val="20"/>
          <w:szCs w:val="20"/>
          <w:color w:val="auto"/>
        </w:rPr>
      </w:pPr>
      <w:r>
        <w:rPr>
          <w:rFonts w:ascii="Times New Roman" w:cs="Times New Roman" w:eastAsia="Times New Roman" w:hAnsi="Times New Roman"/>
          <w:sz w:val="18"/>
          <w:szCs w:val="18"/>
          <w:color w:val="auto"/>
        </w:rPr>
        <w:t>Because of these factors, as well as factors affecting the time required to complete each job, backlog is not necessarily indicative of future revenues or profitability. In addition, a significant amount of our dredging backlog (22% in 2012) relates to federal government contracts, which can be canceled at any time without penalty to the government, subject, in most cases, to our contractual right to recover our actual committed costs and profit on work performed up to the date of cancellation.</w:t>
      </w:r>
    </w:p>
    <w:p>
      <w:pPr>
        <w:spacing w:after="0" w:line="136" w:lineRule="exact"/>
        <w:rPr>
          <w:sz w:val="20"/>
          <w:szCs w:val="20"/>
          <w:color w:val="auto"/>
        </w:rPr>
      </w:pPr>
    </w:p>
    <w:p>
      <w:pPr>
        <w:ind w:right="80" w:firstLine="456"/>
        <w:spacing w:after="0" w:line="275" w:lineRule="auto"/>
        <w:rPr>
          <w:sz w:val="20"/>
          <w:szCs w:val="20"/>
          <w:color w:val="auto"/>
        </w:rPr>
      </w:pPr>
      <w:r>
        <w:rPr>
          <w:rFonts w:ascii="Times New Roman" w:cs="Times New Roman" w:eastAsia="Times New Roman" w:hAnsi="Times New Roman"/>
          <w:sz w:val="18"/>
          <w:szCs w:val="18"/>
          <w:color w:val="auto"/>
        </w:rPr>
        <w:t>Below is our dredging backlog from federal government contracts as of December 31, 2012, 2011, and 2010 and the percentage of those contracts to total backlog as of the same date.</w:t>
      </w:r>
    </w:p>
    <w:p>
      <w:pPr>
        <w:spacing w:after="0" w:line="158" w:lineRule="exact"/>
        <w:rPr>
          <w:sz w:val="20"/>
          <w:szCs w:val="20"/>
          <w:color w:val="auto"/>
        </w:rPr>
      </w:pPr>
    </w:p>
    <w:tbl>
      <w:tblPr>
        <w:tblLayout w:type="fixed"/>
        <w:tblInd w:w="920" w:type="dxa"/>
        <w:tblCellMar>
          <w:top w:w="0" w:type="dxa"/>
          <w:left w:w="0" w:type="dxa"/>
          <w:bottom w:w="0" w:type="dxa"/>
          <w:right w:w="0" w:type="dxa"/>
        </w:tblCellMar>
      </w:tblPr>
      <w:tr>
        <w:trPr>
          <w:trHeight w:val="165"/>
        </w:trPr>
        <w:tc>
          <w:tcPr>
            <w:tcW w:w="5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w w:val="96"/>
              </w:rPr>
              <w:t>Year Ended December 31,</w:t>
            </w:r>
          </w:p>
        </w:tc>
        <w:tc>
          <w:tcPr>
            <w:tcW w:w="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5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580" w:type="dxa"/>
            <w:vAlign w:val="bottom"/>
          </w:tcPr>
          <w:p>
            <w:pPr>
              <w:jc w:val="right"/>
              <w:ind w:right="82"/>
              <w:spacing w:after="0" w:line="142" w:lineRule="exact"/>
              <w:rPr>
                <w:sz w:val="20"/>
                <w:szCs w:val="20"/>
                <w:color w:val="auto"/>
              </w:rPr>
            </w:pPr>
            <w:r>
              <w:rPr>
                <w:rFonts w:ascii="Times New Roman" w:cs="Times New Roman" w:eastAsia="Times New Roman" w:hAnsi="Times New Roman"/>
                <w:sz w:val="14"/>
                <w:szCs w:val="14"/>
                <w:b w:val="1"/>
                <w:bCs w:val="1"/>
                <w:color w:val="auto"/>
              </w:rPr>
              <w:t>2012</w:t>
            </w:r>
          </w:p>
        </w:tc>
        <w:tc>
          <w:tcPr>
            <w:tcW w:w="200" w:type="dxa"/>
            <w:vAlign w:val="bottom"/>
          </w:tcPr>
          <w:p>
            <w:pPr>
              <w:spacing w:after="0"/>
              <w:rPr>
                <w:sz w:val="12"/>
                <w:szCs w:val="12"/>
                <w:color w:val="auto"/>
              </w:rPr>
            </w:pPr>
          </w:p>
        </w:tc>
        <w:tc>
          <w:tcPr>
            <w:tcW w:w="1100" w:type="dxa"/>
            <w:vAlign w:val="bottom"/>
            <w:gridSpan w:val="2"/>
          </w:tcPr>
          <w:p>
            <w:pPr>
              <w:jc w:val="right"/>
              <w:ind w:right="132"/>
              <w:spacing w:after="0" w:line="142" w:lineRule="exact"/>
              <w:rPr>
                <w:sz w:val="20"/>
                <w:szCs w:val="20"/>
                <w:color w:val="auto"/>
              </w:rPr>
            </w:pPr>
            <w:r>
              <w:rPr>
                <w:rFonts w:ascii="Times New Roman" w:cs="Times New Roman" w:eastAsia="Times New Roman" w:hAnsi="Times New Roman"/>
                <w:sz w:val="14"/>
                <w:szCs w:val="14"/>
                <w:b w:val="1"/>
                <w:bCs w:val="1"/>
                <w:color w:val="auto"/>
              </w:rPr>
              <w:t>2011</w:t>
            </w:r>
          </w:p>
        </w:tc>
        <w:tc>
          <w:tcPr>
            <w:tcW w:w="540" w:type="dxa"/>
            <w:vAlign w:val="bottom"/>
          </w:tcPr>
          <w:p>
            <w:pPr>
              <w:spacing w:after="0"/>
              <w:rPr>
                <w:sz w:val="12"/>
                <w:szCs w:val="12"/>
                <w:color w:val="auto"/>
              </w:rPr>
            </w:pPr>
          </w:p>
        </w:tc>
        <w:tc>
          <w:tcPr>
            <w:tcW w:w="740" w:type="dxa"/>
            <w:vAlign w:val="bottom"/>
            <w:gridSpan w:val="2"/>
          </w:tcPr>
          <w:p>
            <w:pPr>
              <w:jc w:val="right"/>
              <w:ind w:right="112"/>
              <w:spacing w:after="0" w:line="142" w:lineRule="exact"/>
              <w:rPr>
                <w:sz w:val="20"/>
                <w:szCs w:val="20"/>
                <w:color w:val="auto"/>
              </w:rPr>
            </w:pPr>
            <w:r>
              <w:rPr>
                <w:rFonts w:ascii="Times New Roman" w:cs="Times New Roman" w:eastAsia="Times New Roman" w:hAnsi="Times New Roman"/>
                <w:sz w:val="14"/>
                <w:szCs w:val="14"/>
                <w:b w:val="1"/>
                <w:bCs w:val="1"/>
                <w:color w:val="auto"/>
              </w:rPr>
              <w:t>2010</w:t>
            </w:r>
          </w:p>
        </w:tc>
        <w:tc>
          <w:tcPr>
            <w:tcW w:w="200" w:type="dxa"/>
            <w:vAlign w:val="bottom"/>
          </w:tcPr>
          <w:p>
            <w:pPr>
              <w:spacing w:after="0"/>
              <w:rPr>
                <w:sz w:val="12"/>
                <w:szCs w:val="12"/>
                <w:color w:val="auto"/>
              </w:rPr>
            </w:pPr>
          </w:p>
        </w:tc>
      </w:tr>
      <w:tr>
        <w:trPr>
          <w:trHeight w:val="210"/>
        </w:trPr>
        <w:tc>
          <w:tcPr>
            <w:tcW w:w="51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Federal government dredging backlog (in US $1,000)</w:t>
            </w:r>
          </w:p>
        </w:tc>
        <w:tc>
          <w:tcPr>
            <w:tcW w:w="11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$85,675</w:t>
            </w:r>
          </w:p>
        </w:tc>
        <w:tc>
          <w:tcPr>
            <w:tcW w:w="2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$234,830</w:t>
            </w:r>
          </w:p>
        </w:tc>
        <w:tc>
          <w:tcPr>
            <w:tcW w:w="5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$141,411</w:t>
            </w:r>
          </w:p>
        </w:tc>
        <w:tc>
          <w:tcPr>
            <w:tcW w:w="200" w:type="dxa"/>
            <w:vAlign w:val="bottom"/>
            <w:tcBorders>
              <w:top w:val="single" w:sz="8" w:color="CCEEFF"/>
            </w:tcBorders>
            <w:shd w:val="clear" w:color="auto" w:fill="CCEEFF"/>
          </w:tcPr>
          <w:p>
            <w:pPr>
              <w:spacing w:after="0"/>
              <w:rPr>
                <w:sz w:val="18"/>
                <w:szCs w:val="18"/>
                <w:color w:val="auto"/>
              </w:rPr>
            </w:pPr>
          </w:p>
        </w:tc>
      </w:tr>
      <w:tr>
        <w:trPr>
          <w:trHeight w:val="228"/>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Percentage of dredging backlog from federal government</w:t>
            </w:r>
          </w:p>
        </w:tc>
        <w:tc>
          <w:tcPr>
            <w:tcW w:w="18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22%</w:t>
            </w:r>
          </w:p>
        </w:tc>
        <w:tc>
          <w:tcPr>
            <w:tcW w:w="1640" w:type="dxa"/>
            <w:vAlign w:val="bottom"/>
            <w:gridSpan w:val="3"/>
          </w:tcPr>
          <w:p>
            <w:pPr>
              <w:jc w:val="right"/>
              <w:ind w:right="400"/>
              <w:spacing w:after="0"/>
              <w:rPr>
                <w:sz w:val="20"/>
                <w:szCs w:val="20"/>
                <w:color w:val="auto"/>
              </w:rPr>
            </w:pPr>
            <w:r>
              <w:rPr>
                <w:rFonts w:ascii="Times New Roman" w:cs="Times New Roman" w:eastAsia="Times New Roman" w:hAnsi="Times New Roman"/>
                <w:sz w:val="18"/>
                <w:szCs w:val="18"/>
                <w:color w:val="auto"/>
              </w:rPr>
              <w:t>74%</w:t>
            </w:r>
          </w:p>
        </w:tc>
        <w:tc>
          <w:tcPr>
            <w:tcW w:w="9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50%</w:t>
            </w:r>
          </w:p>
        </w:tc>
      </w:tr>
    </w:tbl>
    <w:p>
      <w:pPr>
        <w:spacing w:after="0" w:line="135" w:lineRule="exact"/>
        <w:rPr>
          <w:sz w:val="20"/>
          <w:szCs w:val="20"/>
          <w:color w:val="auto"/>
        </w:rPr>
      </w:pPr>
    </w:p>
    <w:p>
      <w:pPr>
        <w:ind w:right="80" w:firstLine="456"/>
        <w:spacing w:after="0" w:line="275" w:lineRule="auto"/>
        <w:rPr>
          <w:sz w:val="20"/>
          <w:szCs w:val="20"/>
          <w:color w:val="auto"/>
        </w:rPr>
      </w:pPr>
      <w:r>
        <w:rPr>
          <w:rFonts w:ascii="Times New Roman" w:cs="Times New Roman" w:eastAsia="Times New Roman" w:hAnsi="Times New Roman"/>
          <w:sz w:val="18"/>
          <w:szCs w:val="18"/>
          <w:color w:val="auto"/>
        </w:rPr>
        <w:t>In addition, 33% of our total backlog relates to a single customer in an international market. Our contract with this customer has certain contractual rights that, if invoked, limit our scope in the project.</w:t>
      </w:r>
    </w:p>
    <w:p>
      <w:pPr>
        <w:spacing w:after="0" w:line="120" w:lineRule="exact"/>
        <w:rPr>
          <w:sz w:val="20"/>
          <w:szCs w:val="20"/>
          <w:color w:val="auto"/>
        </w:rPr>
      </w:pPr>
    </w:p>
    <w:p>
      <w:pPr>
        <w:ind w:right="360" w:firstLine="456"/>
        <w:spacing w:after="0" w:line="275" w:lineRule="auto"/>
        <w:rPr>
          <w:sz w:val="20"/>
          <w:szCs w:val="20"/>
          <w:color w:val="auto"/>
        </w:rPr>
      </w:pPr>
      <w:r>
        <w:rPr>
          <w:rFonts w:ascii="Times New Roman" w:cs="Times New Roman" w:eastAsia="Times New Roman" w:hAnsi="Times New Roman"/>
          <w:sz w:val="18"/>
          <w:szCs w:val="18"/>
          <w:color w:val="auto"/>
        </w:rPr>
        <w:t>The termination, modification or suspension of projects currently in backlog could have a material adverse effect on our financial condition, business, operations and profits.</w:t>
      </w:r>
    </w:p>
    <w:p>
      <w:pPr>
        <w:spacing w:after="0" w:line="197" w:lineRule="exact"/>
        <w:rPr>
          <w:sz w:val="20"/>
          <w:szCs w:val="20"/>
          <w:color w:val="auto"/>
        </w:rPr>
      </w:pPr>
    </w:p>
    <w:p>
      <w:pPr>
        <w:ind w:right="38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Our business would be adversely affected if we failed to comply with the Jones Act provisions on coastwise trade, or if those provisions were modified or repealed.</w:t>
      </w:r>
    </w:p>
    <w:p>
      <w:pPr>
        <w:spacing w:after="0" w:line="34" w:lineRule="exact"/>
        <w:rPr>
          <w:sz w:val="20"/>
          <w:szCs w:val="20"/>
          <w:color w:val="auto"/>
        </w:rPr>
      </w:pPr>
    </w:p>
    <w:p>
      <w:pPr>
        <w:ind w:right="20" w:firstLine="456"/>
        <w:spacing w:after="0" w:line="256" w:lineRule="auto"/>
        <w:rPr>
          <w:sz w:val="20"/>
          <w:szCs w:val="20"/>
          <w:color w:val="auto"/>
        </w:rPr>
      </w:pPr>
      <w:r>
        <w:rPr>
          <w:rFonts w:ascii="Times New Roman" w:cs="Times New Roman" w:eastAsia="Times New Roman" w:hAnsi="Times New Roman"/>
          <w:sz w:val="18"/>
          <w:szCs w:val="18"/>
          <w:color w:val="auto"/>
        </w:rPr>
        <w:t>We are subject to the Jones Act and other federal laws that restrict dredging in U.S. waters and maritime transportation between points in the United States to vessels operating under the U.S. flag, built in the United States, at least 75% owned and operated by U.S. citizens and manned by U.S. crews. We are responsible for monitoring the ownership of our common stock to ensure compliance with these laws. If we do not comply with these restrictions, we would be prohibited from operating our vessels in the U.S. market, and under certain circumstances we would be deemed to have undertaken an unapproved foreign transfer, resulting in severe penalties, including permanent loss of U.S. dredging rights for our vessels, fines or forfeiture of the vessels.</w:t>
      </w:r>
    </w:p>
    <w:p>
      <w:pPr>
        <w:spacing w:after="0" w:line="139" w:lineRule="exact"/>
        <w:rPr>
          <w:sz w:val="20"/>
          <w:szCs w:val="20"/>
          <w:color w:val="auto"/>
        </w:rPr>
      </w:pPr>
    </w:p>
    <w:p>
      <w:pPr>
        <w:ind w:right="200" w:firstLine="456"/>
        <w:spacing w:after="0" w:line="258" w:lineRule="auto"/>
        <w:rPr>
          <w:sz w:val="20"/>
          <w:szCs w:val="20"/>
          <w:color w:val="auto"/>
        </w:rPr>
      </w:pPr>
      <w:r>
        <w:rPr>
          <w:rFonts w:ascii="Times New Roman" w:cs="Times New Roman" w:eastAsia="Times New Roman" w:hAnsi="Times New Roman"/>
          <w:sz w:val="18"/>
          <w:szCs w:val="18"/>
          <w:color w:val="auto"/>
        </w:rPr>
        <w:t>In the past, interest groups have unsuccessfully lobbied Congress to modify or repeal the Jones Act to facilitate foreign flag competition for trades and cargoes currently reserved for U.S. flag vessels under the Jones Act. We believe that continued efforts may be made to modify or repeal the Jones Act or other federal laws currently benefiting U.S. flag vessels. If these efforts are ever successful, it could result in significantly increased competition and have a material adverse effect on our business, results of operations, cash flows or financial condition.</w:t>
      </w:r>
    </w:p>
    <w:p>
      <w:pPr>
        <w:spacing w:after="0" w:line="213" w:lineRule="exact"/>
        <w:rPr>
          <w:sz w:val="20"/>
          <w:szCs w:val="20"/>
          <w:color w:val="auto"/>
        </w:rPr>
      </w:pPr>
    </w:p>
    <w:p>
      <w:pPr>
        <w:ind w:right="8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If we are unable, in the future, to obtain bonding or letters of credit for our contracts, our ability to obtain future contracts will be limited, thereby adversely affecting our business operations, revenues and profits.</w:t>
      </w:r>
    </w:p>
    <w:p>
      <w:pPr>
        <w:spacing w:after="0" w:line="34"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We, like all dredging, remediation and demolition service providers and other contractors, are generally required to post bonds in connection with our domestic dredging, remediation or demolition contracts and bonds or letters of credit with our foreign dredging contracts to ensure job completion if we ever fail to finish a project. We have entered into a bonding agreement with Zurich, pursuant to which Zurich acts as surety, issues bid bonds, performance bonds and payment bonds, and provides guarantees required by us in the day-to-day operations of our dredging business. However, under certain circumstances as specified in the agreement, Zurich</w:t>
      </w:r>
    </w:p>
    <w:p>
      <w:pPr>
        <w:spacing w:after="0" w:line="12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340"/>
          </w:cols>
          <w:pgMar w:left="240" w:top="455" w:right="319" w:bottom="1440" w:gutter="0" w:footer="0" w:header="0"/>
        </w:sectPr>
      </w:pPr>
    </w:p>
    <w:bookmarkStart w:id="21" w:name="page22"/>
    <w:bookmarkEnd w:id="2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is not obligated under the bonding agreement to issue future bonds for us. Historically, we have had a strong bonding capacity, but surety companies issue bonds on a project-by-project basis and can decline to issue bonds at any time or require the posting of collateral as a condition to issuing any bonds. In addition to our bonds outstanding with Zurich, we also have surety bonds outstanding with Travelers Casualty and Surety Company of America. With respect to our foreign dredging business, we generally obtain letters of credit under our senior credit facility and a separate facility which is supported by Ex-Im under Ex-Im’s Working Capital Guarantee Program. However, the amount of letters of credit under these facilities is limited. In addition, access to our senior credit facility and the Ex-Im facility may be limited by failure to meet certain financial requirements or other defined requirements. If we are unable to obtain bonds or letters of credit on terms reasonably acceptable to us, our ability to take on future work would be severely limited.</w:t>
      </w:r>
    </w:p>
    <w:p>
      <w:pPr>
        <w:spacing w:after="0" w:line="218" w:lineRule="exact"/>
        <w:rPr>
          <w:sz w:val="20"/>
          <w:szCs w:val="20"/>
          <w:color w:val="auto"/>
        </w:rPr>
      </w:pPr>
    </w:p>
    <w:p>
      <w:pPr>
        <w:ind w:right="24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Capital expenditures and other costs necessary to operate and maintain our vessels tend to increase with the age of the vessel and may also increase due to changes in governmental regulations, safety or other equipment standards, which could result in a decrease in our profits.</w:t>
      </w:r>
    </w:p>
    <w:p>
      <w:pPr>
        <w:spacing w:after="0" w:line="34" w:lineRule="exact"/>
        <w:rPr>
          <w:sz w:val="20"/>
          <w:szCs w:val="20"/>
          <w:color w:val="auto"/>
        </w:rPr>
      </w:pPr>
    </w:p>
    <w:p>
      <w:pPr>
        <w:ind w:right="120" w:firstLine="456"/>
        <w:spacing w:after="0" w:line="275" w:lineRule="auto"/>
        <w:rPr>
          <w:sz w:val="20"/>
          <w:szCs w:val="20"/>
          <w:color w:val="auto"/>
        </w:rPr>
      </w:pPr>
      <w:r>
        <w:rPr>
          <w:rFonts w:ascii="Times New Roman" w:cs="Times New Roman" w:eastAsia="Times New Roman" w:hAnsi="Times New Roman"/>
          <w:sz w:val="18"/>
          <w:szCs w:val="18"/>
          <w:color w:val="auto"/>
        </w:rPr>
        <w:t>Capital expenditures and other costs necessary to operate and maintain our vessels tend to increase with the age of the vessel. Accordingly, it is likely that the operating costs of our vessels will increase.</w:t>
      </w:r>
    </w:p>
    <w:p>
      <w:pPr>
        <w:spacing w:after="0" w:line="12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average age of our more significant vessels as of December 31, 2012, by equipment type, is as follows:</w:t>
      </w:r>
    </w:p>
    <w:p>
      <w:pPr>
        <w:spacing w:after="0" w:line="19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12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Type of Equipment</w:t>
            </w:r>
          </w:p>
        </w:tc>
        <w:tc>
          <w:tcPr>
            <w:tcW w:w="2820" w:type="dxa"/>
            <w:vAlign w:val="bottom"/>
            <w:vMerge w:val="restart"/>
          </w:tcPr>
          <w:p>
            <w:pPr>
              <w:spacing w:after="0"/>
              <w:rPr>
                <w:sz w:val="13"/>
                <w:szCs w:val="13"/>
                <w:color w:val="auto"/>
              </w:rPr>
            </w:pPr>
          </w:p>
        </w:tc>
        <w:tc>
          <w:tcPr>
            <w:tcW w:w="21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96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Average Age in</w:t>
            </w:r>
          </w:p>
        </w:tc>
        <w:tc>
          <w:tcPr>
            <w:tcW w:w="0" w:type="dxa"/>
            <w:vAlign w:val="bottom"/>
          </w:tcPr>
          <w:p>
            <w:pPr>
              <w:spacing w:after="0"/>
              <w:rPr>
                <w:sz w:val="1"/>
                <w:szCs w:val="1"/>
                <w:color w:val="auto"/>
              </w:rPr>
            </w:pPr>
          </w:p>
        </w:tc>
      </w:tr>
      <w:tr>
        <w:trPr>
          <w:trHeight w:val="172"/>
        </w:trPr>
        <w:tc>
          <w:tcPr>
            <w:tcW w:w="1200" w:type="dxa"/>
            <w:vAlign w:val="bottom"/>
            <w:tcBorders>
              <w:bottom w:val="single" w:sz="8" w:color="auto"/>
            </w:tcBorders>
            <w:vMerge w:val="continue"/>
          </w:tcPr>
          <w:p>
            <w:pPr>
              <w:spacing w:after="0"/>
              <w:rPr>
                <w:sz w:val="14"/>
                <w:szCs w:val="14"/>
                <w:color w:val="auto"/>
              </w:rPr>
            </w:pPr>
          </w:p>
        </w:tc>
        <w:tc>
          <w:tcPr>
            <w:tcW w:w="2820" w:type="dxa"/>
            <w:vAlign w:val="bottom"/>
            <w:vMerge w:val="continue"/>
          </w:tcPr>
          <w:p>
            <w:pPr>
              <w:spacing w:after="0"/>
              <w:rPr>
                <w:sz w:val="14"/>
                <w:szCs w:val="14"/>
                <w:color w:val="auto"/>
              </w:rPr>
            </w:pPr>
          </w:p>
        </w:tc>
        <w:tc>
          <w:tcPr>
            <w:tcW w:w="2700" w:type="dxa"/>
            <w:vAlign w:val="bottom"/>
            <w:gridSpan w:val="2"/>
          </w:tcPr>
          <w:p>
            <w:pPr>
              <w:jc w:val="right"/>
              <w:spacing w:after="0" w:line="152" w:lineRule="exact"/>
              <w:rPr>
                <w:sz w:val="20"/>
                <w:szCs w:val="20"/>
                <w:color w:val="auto"/>
              </w:rPr>
            </w:pPr>
            <w:r>
              <w:rPr>
                <w:rFonts w:ascii="Times New Roman" w:cs="Times New Roman" w:eastAsia="Times New Roman" w:hAnsi="Times New Roman"/>
                <w:sz w:val="14"/>
                <w:szCs w:val="14"/>
                <w:b w:val="1"/>
                <w:bCs w:val="1"/>
                <w:color w:val="auto"/>
              </w:rPr>
              <w:t>Quantity</w:t>
            </w:r>
          </w:p>
        </w:tc>
        <w:tc>
          <w:tcPr>
            <w:tcW w:w="1020" w:type="dxa"/>
            <w:vAlign w:val="bottom"/>
          </w:tcPr>
          <w:p>
            <w:pPr>
              <w:spacing w:after="0"/>
              <w:rPr>
                <w:sz w:val="14"/>
                <w:szCs w:val="14"/>
                <w:color w:val="auto"/>
              </w:rPr>
            </w:pPr>
          </w:p>
        </w:tc>
        <w:tc>
          <w:tcPr>
            <w:tcW w:w="940" w:type="dxa"/>
            <w:vAlign w:val="bottom"/>
            <w:gridSpan w:val="2"/>
          </w:tcPr>
          <w:p>
            <w:pPr>
              <w:ind w:left="280"/>
              <w:spacing w:after="0" w:line="152" w:lineRule="exact"/>
              <w:rPr>
                <w:sz w:val="20"/>
                <w:szCs w:val="20"/>
                <w:color w:val="auto"/>
              </w:rPr>
            </w:pPr>
            <w:r>
              <w:rPr>
                <w:rFonts w:ascii="Times New Roman" w:cs="Times New Roman" w:eastAsia="Times New Roman" w:hAnsi="Times New Roman"/>
                <w:sz w:val="14"/>
                <w:szCs w:val="14"/>
                <w:b w:val="1"/>
                <w:bCs w:val="1"/>
                <w:color w:val="auto"/>
              </w:rPr>
              <w:t>Years</w:t>
            </w:r>
          </w:p>
        </w:tc>
        <w:tc>
          <w:tcPr>
            <w:tcW w:w="0" w:type="dxa"/>
            <w:vAlign w:val="bottom"/>
          </w:tcPr>
          <w:p>
            <w:pPr>
              <w:spacing w:after="0"/>
              <w:rPr>
                <w:sz w:val="1"/>
                <w:szCs w:val="1"/>
                <w:color w:val="auto"/>
              </w:rPr>
            </w:pPr>
          </w:p>
        </w:tc>
      </w:tr>
      <w:tr>
        <w:trPr>
          <w:trHeight w:val="203"/>
        </w:trPr>
        <w:tc>
          <w:tcPr>
            <w:tcW w:w="402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Hydraulic Dredges</w:t>
            </w:r>
          </w:p>
        </w:tc>
        <w:tc>
          <w:tcPr>
            <w:tcW w:w="218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20</w:t>
            </w:r>
          </w:p>
        </w:tc>
        <w:tc>
          <w:tcPr>
            <w:tcW w:w="102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37</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Hopper Dredges</w:t>
            </w:r>
          </w:p>
        </w:tc>
        <w:tc>
          <w:tcPr>
            <w:tcW w:w="2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Mechanical Dredges</w:t>
            </w:r>
          </w:p>
        </w:tc>
        <w:tc>
          <w:tcPr>
            <w:tcW w:w="2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Unloaders</w:t>
            </w:r>
          </w:p>
        </w:tc>
        <w:tc>
          <w:tcPr>
            <w:tcW w:w="2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Drillboats</w:t>
            </w:r>
          </w:p>
        </w:tc>
        <w:tc>
          <w:tcPr>
            <w:tcW w:w="2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Material and Other Barges</w:t>
            </w:r>
          </w:p>
        </w:tc>
        <w:tc>
          <w:tcPr>
            <w:tcW w:w="2180" w:type="dxa"/>
            <w:vAlign w:val="bottom"/>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1020" w:type="dxa"/>
            <w:vAlign w:val="bottom"/>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02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Total</w:t>
            </w:r>
          </w:p>
        </w:tc>
        <w:tc>
          <w:tcPr>
            <w:tcW w:w="2180" w:type="dxa"/>
            <w:vAlign w:val="bottom"/>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1020" w:type="dxa"/>
            <w:vAlign w:val="bottom"/>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ind w:right="40" w:firstLine="456"/>
        <w:spacing w:after="0" w:line="262" w:lineRule="auto"/>
        <w:rPr>
          <w:sz w:val="20"/>
          <w:szCs w:val="20"/>
          <w:color w:val="auto"/>
        </w:rPr>
      </w:pPr>
      <w:r>
        <w:rPr>
          <w:rFonts w:ascii="Times New Roman" w:cs="Times New Roman" w:eastAsia="Times New Roman" w:hAnsi="Times New Roman"/>
          <w:sz w:val="18"/>
          <w:szCs w:val="18"/>
          <w:color w:val="auto"/>
        </w:rPr>
        <w:t>Remaining economic life has not been presented because it is not reasonably quantifiable because, to the extent that market conditions warrant the expenditures, we can prolong the vessels’ lives indefinitely. We operate in an industry where a significant portion of competitors’ equipment is of a similar age. It is common in the dredging industry to make maintenance and capital expenditures in order to extend the economic life of equipment.</w:t>
      </w:r>
    </w:p>
    <w:p>
      <w:pPr>
        <w:spacing w:after="0" w:line="132" w:lineRule="exact"/>
        <w:rPr>
          <w:sz w:val="20"/>
          <w:szCs w:val="20"/>
          <w:color w:val="auto"/>
        </w:rPr>
      </w:pPr>
    </w:p>
    <w:p>
      <w:pPr>
        <w:ind w:right="60" w:firstLine="456"/>
        <w:spacing w:after="0" w:line="256" w:lineRule="auto"/>
        <w:rPr>
          <w:sz w:val="20"/>
          <w:szCs w:val="20"/>
          <w:color w:val="auto"/>
        </w:rPr>
      </w:pPr>
      <w:r>
        <w:rPr>
          <w:rFonts w:ascii="Times New Roman" w:cs="Times New Roman" w:eastAsia="Times New Roman" w:hAnsi="Times New Roman"/>
          <w:sz w:val="18"/>
          <w:szCs w:val="18"/>
          <w:color w:val="auto"/>
        </w:rPr>
        <w:t>In addition, changes in governmental regulations, safety or other equipment standards, as well as compliance with standards imposed by maritime self-regulatory organizations and customer requirements or competition, may require us, along with others in our industry, to make additional expenditures. For example, if the U.S. Coast Guard enacts new standards, we may be required to incur expenditures for alterations or the addition of new equipment (e.g. more fuel efficient engines). Other new standard requirements could be significant and would affect other industry participants as well. In order to satisfy any such requirement, we may need to take our vessels out of service for extended periods of time, with corresponding losses of revenues.</w:t>
      </w:r>
    </w:p>
    <w:p>
      <w:pPr>
        <w:spacing w:after="0" w:line="216" w:lineRule="exact"/>
        <w:rPr>
          <w:sz w:val="20"/>
          <w:szCs w:val="20"/>
          <w:color w:val="auto"/>
        </w:rPr>
      </w:pPr>
    </w:p>
    <w:p>
      <w:pPr>
        <w:ind w:right="70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We may experience equipment or mechanical failures, which could increase costs, reduce revenues and result in penalties for failure to meet project completion requirements.</w:t>
      </w:r>
    </w:p>
    <w:p>
      <w:pPr>
        <w:spacing w:after="0" w:line="34" w:lineRule="exact"/>
        <w:rPr>
          <w:sz w:val="20"/>
          <w:szCs w:val="20"/>
          <w:color w:val="auto"/>
        </w:rPr>
      </w:pPr>
    </w:p>
    <w:p>
      <w:pPr>
        <w:ind w:right="240" w:firstLine="456"/>
        <w:spacing w:after="0" w:line="258" w:lineRule="auto"/>
        <w:rPr>
          <w:sz w:val="20"/>
          <w:szCs w:val="20"/>
          <w:color w:val="auto"/>
        </w:rPr>
      </w:pPr>
      <w:r>
        <w:rPr>
          <w:rFonts w:ascii="Times New Roman" w:cs="Times New Roman" w:eastAsia="Times New Roman" w:hAnsi="Times New Roman"/>
          <w:sz w:val="18"/>
          <w:szCs w:val="18"/>
          <w:color w:val="auto"/>
        </w:rPr>
        <w:t>The successful performance of contracts requires a high degree of reliability of our vessels, barges and equipment. The average age of our fleet as of December 31, 2012 was 34 years. Breakdowns not only add to the costs of executing a project, but they can also delay the completion of subsequent contracts, which are scheduled to utilize the same assets. We operate a scheduled maintenance program in order to keep all assets in good working order, but despite this, breakdowns can and do occur.</w:t>
      </w:r>
    </w:p>
    <w:p>
      <w:pPr>
        <w:spacing w:after="0" w:line="1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400"/>
          </w:cols>
          <w:pgMar w:left="240" w:top="455" w:right="259" w:bottom="1440" w:gutter="0" w:footer="0" w:header="0"/>
        </w:sectPr>
      </w:pPr>
    </w:p>
    <w:bookmarkStart w:id="22" w:name="page23"/>
    <w:bookmarkEnd w:id="2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could face liabilities and/or damage to our reputation as a result of some of our currently pending litigation.</w:t>
      </w:r>
    </w:p>
    <w:p>
      <w:pPr>
        <w:spacing w:after="0" w:line="94" w:lineRule="exact"/>
        <w:rPr>
          <w:sz w:val="20"/>
          <w:szCs w:val="20"/>
          <w:color w:val="auto"/>
        </w:rPr>
      </w:pPr>
    </w:p>
    <w:p>
      <w:pPr>
        <w:ind w:right="120" w:firstLine="456"/>
        <w:spacing w:after="0" w:line="255" w:lineRule="auto"/>
        <w:rPr>
          <w:sz w:val="20"/>
          <w:szCs w:val="20"/>
          <w:color w:val="auto"/>
        </w:rPr>
      </w:pPr>
      <w:r>
        <w:rPr>
          <w:rFonts w:ascii="Times New Roman" w:cs="Times New Roman" w:eastAsia="Times New Roman" w:hAnsi="Times New Roman"/>
          <w:sz w:val="18"/>
          <w:szCs w:val="18"/>
          <w:color w:val="auto"/>
        </w:rPr>
        <w:t>From time to time, we are subject to legal and regulatory proceedings in the ordinary course of our business. These include proceedings relating to aspects of our businesses that are specific to us and proceedings that are typical in the businesses in which we operate. We are currently a defendant in a number of litigation matters, including those described in Item 3. “Legal Proceedings” of this Annual Report on Form 10-K. In certain of these matters, the plaintiffs are seeking large and/or indeterminate amounts of damages. These matters are subject to many uncertainties, and it is possible that some of these matters could ultimately be decided, resolved or settled adversely to the Company. An adverse outcome in a litigation matter could, depending on the facts, have an adverse effect on our business, results of operations and profits.</w:t>
      </w:r>
    </w:p>
    <w:p>
      <w:pPr>
        <w:spacing w:after="0" w:line="139" w:lineRule="exact"/>
        <w:rPr>
          <w:sz w:val="20"/>
          <w:szCs w:val="20"/>
          <w:color w:val="auto"/>
        </w:rPr>
      </w:pPr>
    </w:p>
    <w:p>
      <w:pPr>
        <w:jc w:val="both"/>
        <w:ind w:right="100" w:firstLine="456"/>
        <w:spacing w:after="0" w:line="262" w:lineRule="auto"/>
        <w:rPr>
          <w:sz w:val="20"/>
          <w:szCs w:val="20"/>
          <w:color w:val="auto"/>
        </w:rPr>
      </w:pPr>
      <w:r>
        <w:rPr>
          <w:rFonts w:ascii="Times New Roman" w:cs="Times New Roman" w:eastAsia="Times New Roman" w:hAnsi="Times New Roman"/>
          <w:sz w:val="18"/>
          <w:szCs w:val="18"/>
          <w:color w:val="auto"/>
        </w:rPr>
        <w:t>In addition to its potential financial impact, litigation can have a significant adverse reputational impact. Allegations of improper conduct made by private litigants or regulators, whether the ultimate outcome is favorable or unfavorable to us, as well as negative publicity and press speculation about us, whether valid or not, may harm our reputation, which may be damaging to our business, results of operations and profits.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become liable for the obligations of our joint ventures, partners and subcontractors.</w:t>
      </w:r>
    </w:p>
    <w:p>
      <w:pPr>
        <w:spacing w:after="0" w:line="94" w:lineRule="exact"/>
        <w:rPr>
          <w:sz w:val="20"/>
          <w:szCs w:val="20"/>
          <w:color w:val="auto"/>
        </w:rPr>
      </w:pPr>
    </w:p>
    <w:p>
      <w:pPr>
        <w:ind w:firstLine="456"/>
        <w:spacing w:after="0" w:line="253" w:lineRule="auto"/>
        <w:rPr>
          <w:sz w:val="20"/>
          <w:szCs w:val="20"/>
          <w:color w:val="auto"/>
        </w:rPr>
      </w:pPr>
      <w:r>
        <w:rPr>
          <w:rFonts w:ascii="Times New Roman" w:cs="Times New Roman" w:eastAsia="Times New Roman" w:hAnsi="Times New Roman"/>
          <w:sz w:val="18"/>
          <w:szCs w:val="18"/>
          <w:color w:val="auto"/>
        </w:rPr>
        <w:t>Some of our projects are performed through joint ventures and similar arrangements with other parties. In addition to the usual liability of contractors for the completion of contracts and the warranty of our work, where work is performed through a joint venture or similar arrangement, we also have potential liability for the work performed by the joint venture or arrangement. In these projects, even if we satisfactorily complete our project responsibilities within budget, we may incur additional unforeseen costs due to the failure of the other party or parties to the arrangement to perform or complete work in accordance with contract specifications. In some joint ventures and similar arrangements, we may not be the controlling partner. In these cases, we may have limited control over the actions of the joint venture. In addition, these joint ventures or arrangements may not be subject to the same requirements regarding internal controls and internal control over financial reporting that we follow. To the extent the controlling partner makes decisions that negatively impact the joint venture or arrangement or internal control problems arise within the joint venture or arrangement, it could have a material adverse impact on our business, financial condition, and results of operations.</w:t>
      </w:r>
    </w:p>
    <w:p>
      <w:pPr>
        <w:spacing w:after="0" w:line="143" w:lineRule="exact"/>
        <w:rPr>
          <w:sz w:val="20"/>
          <w:szCs w:val="20"/>
          <w:color w:val="auto"/>
        </w:rPr>
      </w:pPr>
    </w:p>
    <w:p>
      <w:pPr>
        <w:jc w:val="both"/>
        <w:ind w:right="340" w:firstLine="456"/>
        <w:spacing w:after="0" w:line="310" w:lineRule="auto"/>
        <w:rPr>
          <w:sz w:val="20"/>
          <w:szCs w:val="20"/>
          <w:color w:val="auto"/>
        </w:rPr>
      </w:pPr>
      <w:r>
        <w:rPr>
          <w:rFonts w:ascii="Times New Roman" w:cs="Times New Roman" w:eastAsia="Times New Roman" w:hAnsi="Times New Roman"/>
          <w:sz w:val="16"/>
          <w:szCs w:val="16"/>
          <w:color w:val="auto"/>
        </w:rPr>
        <w:t>We act as prime contractor on many of the projects we undertake. Depending on the nature of work required to complete the project, we may choose to subcontract a portion of the project. In our industry, the prime contractor is often responsible for the performance of the entire contract, including subcontract work. Thus, when acting as a prime contractor, we are subject to the risk associated with the failure of one or more subcontractors to perform as anticipated.</w:t>
      </w:r>
    </w:p>
    <w:p>
      <w:pPr>
        <w:spacing w:after="0" w:line="174" w:lineRule="exact"/>
        <w:rPr>
          <w:sz w:val="20"/>
          <w:szCs w:val="20"/>
          <w:color w:val="auto"/>
        </w:rPr>
      </w:pPr>
    </w:p>
    <w:p>
      <w:pPr>
        <w:ind w:right="20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Our current business strategy includes the construction of new vessels. There are substantial uncertainties associated with such construction, including the possibility of unforeseen delays and cost overruns.</w:t>
      </w:r>
    </w:p>
    <w:p>
      <w:pPr>
        <w:spacing w:after="0" w:line="34" w:lineRule="exact"/>
        <w:rPr>
          <w:sz w:val="20"/>
          <w:szCs w:val="20"/>
          <w:color w:val="auto"/>
        </w:rPr>
      </w:pPr>
    </w:p>
    <w:p>
      <w:pPr>
        <w:ind w:right="60" w:firstLine="456"/>
        <w:spacing w:after="0" w:line="253" w:lineRule="auto"/>
        <w:rPr>
          <w:sz w:val="20"/>
          <w:szCs w:val="20"/>
          <w:color w:val="auto"/>
        </w:rPr>
      </w:pPr>
      <w:r>
        <w:rPr>
          <w:rFonts w:ascii="Times New Roman" w:cs="Times New Roman" w:eastAsia="Times New Roman" w:hAnsi="Times New Roman"/>
          <w:sz w:val="18"/>
          <w:szCs w:val="18"/>
          <w:color w:val="auto"/>
        </w:rPr>
        <w:t>We have previously disclosed our plans to build several new vessels, including a new hopper dredge and two new scows. Our future revenues and profitability will be impacted to some extent by our ability to complete the construction of these vessels, secure financing for them and bring them into service. The Company contracts with shipyards to build new vessels and currently has vessels under construction. Construction projects are subject to risks of delay and cost overruns, resulting from shortages of equipment, materials and skilled labor; lack of shipyard availability; unforeseen design and engineering problems; work stoppages; weather interference; unanticipated cost increases; unscheduled delays in the delivery of material and equipment; and financial and other difficulties at shipyards including labor disputes, shipyard insolvency and inability to obtain necessary certifications and approvals. A significant delay in the construction of new vessels or a shipyard’s inability to perform under the construction contract could negatively impact the Company’s ability to fulfill contract commitments and to realize timely revenues with respect to vessels under construction. Significant cost overruns or delays for vessels under construction could also adversely affect the Company’s financial condition, results of operations and cash flows. Changes in governmental regulations, safety or other equipment standards, as well as</w:t>
      </w:r>
    </w:p>
    <w:p>
      <w:pPr>
        <w:spacing w:after="0" w:line="1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420"/>
          </w:cols>
          <w:pgMar w:left="240" w:top="455" w:right="239" w:bottom="1440" w:gutter="0" w:footer="0" w:header="0"/>
        </w:sectPr>
      </w:pPr>
    </w:p>
    <w:bookmarkStart w:id="23" w:name="page24"/>
    <w:bookmarkEnd w:id="2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100"/>
        <w:spacing w:after="0" w:line="275" w:lineRule="auto"/>
        <w:rPr>
          <w:sz w:val="20"/>
          <w:szCs w:val="20"/>
          <w:color w:val="auto"/>
        </w:rPr>
      </w:pPr>
      <w:r>
        <w:rPr>
          <w:rFonts w:ascii="Times New Roman" w:cs="Times New Roman" w:eastAsia="Times New Roman" w:hAnsi="Times New Roman"/>
          <w:sz w:val="18"/>
          <w:szCs w:val="18"/>
          <w:color w:val="auto"/>
        </w:rPr>
        <w:t>compliance with standards imposed by maritime self-regulatory organizations and customer requirements or competition, could substantially increase the cost of such construction beyond what we currently expects such costs to be.</w:t>
      </w:r>
    </w:p>
    <w:p>
      <w:pPr>
        <w:spacing w:after="0" w:line="120" w:lineRule="exact"/>
        <w:rPr>
          <w:sz w:val="20"/>
          <w:szCs w:val="20"/>
          <w:color w:val="auto"/>
        </w:rPr>
      </w:pPr>
    </w:p>
    <w:p>
      <w:pPr>
        <w:ind w:right="40" w:firstLine="456"/>
        <w:spacing w:after="0" w:line="262" w:lineRule="auto"/>
        <w:rPr>
          <w:sz w:val="20"/>
          <w:szCs w:val="20"/>
          <w:color w:val="auto"/>
        </w:rPr>
      </w:pPr>
      <w:r>
        <w:rPr>
          <w:rFonts w:ascii="Times New Roman" w:cs="Times New Roman" w:eastAsia="Times New Roman" w:hAnsi="Times New Roman"/>
          <w:sz w:val="18"/>
          <w:szCs w:val="18"/>
          <w:color w:val="auto"/>
        </w:rPr>
        <w:t>Specifically, we have previously disclosed that we have contracted with a shipbuilder for the construction of a new hopper dredge. Recently we delivered a notice to the shipbuilder of our intent to terminate that contract if certain defaults are not timely cured. We cannot predict whether and to what extent this development will increase the costs associated with building this dredge or result in further delays in its completion.</w:t>
      </w:r>
    </w:p>
    <w:p>
      <w:pPr>
        <w:spacing w:after="0" w:line="209" w:lineRule="exact"/>
        <w:rPr>
          <w:sz w:val="20"/>
          <w:szCs w:val="20"/>
          <w:color w:val="auto"/>
        </w:rPr>
      </w:pPr>
    </w:p>
    <w:p>
      <w:pPr>
        <w:ind w:right="240"/>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Our current business strategy includes acquisitions which present certain risks and uncertainties. There are integration and consolidation risks associated with our acquisitions. Future acquisitions may result in significant transaction expenses, unexpected liabilities and risks associated with entering new markets, and we may be unable to profitably operate these businesses.</w:t>
      </w:r>
    </w:p>
    <w:p>
      <w:pPr>
        <w:spacing w:after="0" w:line="48" w:lineRule="exact"/>
        <w:rPr>
          <w:sz w:val="20"/>
          <w:szCs w:val="20"/>
          <w:color w:val="auto"/>
        </w:rPr>
      </w:pPr>
    </w:p>
    <w:p>
      <w:pPr>
        <w:ind w:firstLine="456"/>
        <w:spacing w:after="0" w:line="262" w:lineRule="auto"/>
        <w:rPr>
          <w:sz w:val="20"/>
          <w:szCs w:val="20"/>
          <w:color w:val="auto"/>
        </w:rPr>
      </w:pPr>
      <w:r>
        <w:rPr>
          <w:rFonts w:ascii="Times New Roman" w:cs="Times New Roman" w:eastAsia="Times New Roman" w:hAnsi="Times New Roman"/>
          <w:sz w:val="18"/>
          <w:szCs w:val="18"/>
          <w:color w:val="auto"/>
        </w:rPr>
        <w:t>We seek business acquisition activities as a means of broadening our offerings and capturing additional market opportunities by our business units. We may be exposed to certain additional risks resulting from these activities. The Terra acquisition and future acquisitions may expose us to operational challenges and risks, including:</w:t>
      </w:r>
    </w:p>
    <w:p>
      <w:pPr>
        <w:spacing w:after="0" w:line="51" w:lineRule="exact"/>
        <w:rPr>
          <w:sz w:val="20"/>
          <w:szCs w:val="20"/>
          <w:color w:val="auto"/>
        </w:rPr>
      </w:pPr>
    </w:p>
    <w:p>
      <w:pPr>
        <w:ind w:left="900" w:hanging="325"/>
        <w:spacing w:after="0"/>
        <w:tabs>
          <w:tab w:leader="none" w:pos="9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valuation methodologies which may not accurately capture the value proposition;</w:t>
      </w:r>
    </w:p>
    <w:p>
      <w:pPr>
        <w:spacing w:after="0" w:line="90" w:lineRule="exact"/>
        <w:rPr>
          <w:rFonts w:ascii="Times New Roman" w:cs="Times New Roman" w:eastAsia="Times New Roman" w:hAnsi="Times New Roman"/>
          <w:sz w:val="18"/>
          <w:szCs w:val="18"/>
          <w:color w:val="auto"/>
        </w:rPr>
      </w:pPr>
    </w:p>
    <w:p>
      <w:pPr>
        <w:ind w:left="900" w:right="520" w:hanging="325"/>
        <w:spacing w:after="0" w:line="275" w:lineRule="auto"/>
        <w:tabs>
          <w:tab w:leader="none" w:pos="9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to integrate acquired businesses into our operations with the efficiency and effectiveness initially expected resulting in a potentially significant detriment to the associated business line’s financial results and our operations as a whole;</w:t>
      </w:r>
    </w:p>
    <w:p>
      <w:pPr>
        <w:spacing w:after="0" w:line="38"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management of the growth resulting from acquisition activities;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capitalized on expected synergies;</w:t>
      </w:r>
    </w:p>
    <w:p>
      <w:pPr>
        <w:spacing w:after="0" w:line="90" w:lineRule="exact"/>
        <w:rPr>
          <w:rFonts w:ascii="Times New Roman" w:cs="Times New Roman" w:eastAsia="Times New Roman" w:hAnsi="Times New Roman"/>
          <w:sz w:val="18"/>
          <w:szCs w:val="18"/>
          <w:color w:val="auto"/>
        </w:rPr>
      </w:pPr>
    </w:p>
    <w:p>
      <w:pPr>
        <w:ind w:left="900" w:right="200" w:hanging="325"/>
        <w:spacing w:after="0" w:line="262" w:lineRule="auto"/>
        <w:tabs>
          <w:tab w:leader="none" w:pos="9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assumption of liabilities of an acquired business (for example, litigation, tax liabilities, environmental liabilities); including liabilities that were contingent or unknown at the time of the acquisition that pose future risks to our working capital needs, cash flows and the profitability of related operations;</w:t>
      </w:r>
    </w:p>
    <w:p>
      <w:pPr>
        <w:spacing w:after="0" w:line="51"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assumption of unprofitable projects that pose future risks to our working capital needs, cash flows and the profitability of related operations;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risks associated with entering new markets;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management’s attention from our existing business;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retain key personnel, customers or contracts of any acquired business;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adverse effects on our ability to comply with covenants in our existing debt financing;</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impairment of acquired intangible assets; and</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debt financing, which may not be available on attractive terms.</w:t>
      </w:r>
    </w:p>
    <w:p>
      <w:pPr>
        <w:spacing w:after="0" w:line="171" w:lineRule="exact"/>
        <w:rPr>
          <w:sz w:val="20"/>
          <w:szCs w:val="20"/>
          <w:color w:val="auto"/>
        </w:rPr>
      </w:pPr>
    </w:p>
    <w:p>
      <w:pPr>
        <w:ind w:firstLine="456"/>
        <w:spacing w:after="0" w:line="275" w:lineRule="auto"/>
        <w:rPr>
          <w:sz w:val="20"/>
          <w:szCs w:val="20"/>
          <w:color w:val="auto"/>
        </w:rPr>
      </w:pPr>
      <w:r>
        <w:rPr>
          <w:rFonts w:ascii="Times New Roman" w:cs="Times New Roman" w:eastAsia="Times New Roman" w:hAnsi="Times New Roman"/>
          <w:sz w:val="18"/>
          <w:szCs w:val="18"/>
          <w:color w:val="auto"/>
        </w:rPr>
        <w:t>We may not have the appropriate management, financial or other resources needed to integrate any businesses that we acquire. Any future acquisitions may result in significant transaction expenses and unexpected liabilities.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Environmental regulations could force us to incur capital and operational costs.</w:t>
      </w:r>
    </w:p>
    <w:p>
      <w:pPr>
        <w:spacing w:after="0" w:line="94" w:lineRule="exact"/>
        <w:rPr>
          <w:sz w:val="20"/>
          <w:szCs w:val="20"/>
          <w:color w:val="auto"/>
        </w:rPr>
      </w:pPr>
    </w:p>
    <w:p>
      <w:pPr>
        <w:ind w:right="380" w:firstLine="456"/>
        <w:spacing w:after="0" w:line="262" w:lineRule="auto"/>
        <w:rPr>
          <w:sz w:val="20"/>
          <w:szCs w:val="20"/>
          <w:color w:val="auto"/>
        </w:rPr>
      </w:pPr>
      <w:r>
        <w:rPr>
          <w:rFonts w:ascii="Times New Roman" w:cs="Times New Roman" w:eastAsia="Times New Roman" w:hAnsi="Times New Roman"/>
          <w:sz w:val="18"/>
          <w:szCs w:val="18"/>
          <w:color w:val="auto"/>
        </w:rPr>
        <w:t>Our industry, and more specifically, our operations, facilities and vessels, are subject to various environmental laws and regulations relating to, among other things: dredging operations; the disposal of dredged material; protection of wetlands; storm water and waste water discharges; demolition activities; asbestos removal; transportation and disposal of wastes and other regulated materials; air emissions; and remediation of</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400"/>
          </w:cols>
          <w:pgMar w:left="240" w:top="455" w:right="259" w:bottom="1440" w:gutter="0" w:footer="0" w:header="0"/>
        </w:sectPr>
      </w:pPr>
    </w:p>
    <w:bookmarkStart w:id="24" w:name="page25"/>
    <w:bookmarkEnd w:id="2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jc w:val="both"/>
        <w:ind w:right="200"/>
        <w:spacing w:after="0" w:line="301" w:lineRule="auto"/>
        <w:rPr>
          <w:sz w:val="20"/>
          <w:szCs w:val="20"/>
          <w:color w:val="auto"/>
        </w:rPr>
      </w:pPr>
      <w:r>
        <w:rPr>
          <w:rFonts w:ascii="Times New Roman" w:cs="Times New Roman" w:eastAsia="Times New Roman" w:hAnsi="Times New Roman"/>
          <w:sz w:val="16"/>
          <w:szCs w:val="16"/>
          <w:color w:val="auto"/>
        </w:rPr>
        <w:t>contaminated soil, sediments, surface water and groundwater. We, and others who participate in the marine industry, are also subject to laws designed to protect certain marine species and habitats. Compliance with these statutes and regulations can delay permitting and/or performance of particular projects and increase related project costs. These delays and increased costs could have a material adverse effect on our results of operations or cash flows. Non-compliance can also result in fines, penalties and claims by third parties seeking damages for alleged personal injury, as well as damages to property and natural resources.</w:t>
      </w:r>
    </w:p>
    <w:p>
      <w:pPr>
        <w:spacing w:after="0" w:line="103" w:lineRule="exact"/>
        <w:rPr>
          <w:sz w:val="20"/>
          <w:szCs w:val="20"/>
          <w:color w:val="auto"/>
        </w:rPr>
      </w:pPr>
    </w:p>
    <w:p>
      <w:pPr>
        <w:ind w:right="20" w:firstLine="456"/>
        <w:spacing w:after="0" w:line="255" w:lineRule="auto"/>
        <w:rPr>
          <w:sz w:val="20"/>
          <w:szCs w:val="20"/>
          <w:color w:val="auto"/>
        </w:rPr>
      </w:pPr>
      <w:r>
        <w:rPr>
          <w:rFonts w:ascii="Times New Roman" w:cs="Times New Roman" w:eastAsia="Times New Roman" w:hAnsi="Times New Roman"/>
          <w:sz w:val="18"/>
          <w:szCs w:val="18"/>
          <w:color w:val="auto"/>
        </w:rPr>
        <w:t>Certain environmental laws such as the U.S. Comprehensive Environmental Response, Compensation and Liability Act of 1980 and the Oil Pollution Act of 1990 impose strict and, under some circumstances, joint and several, liability on owners and operators of facilities and vessels for investigation and remediation of releases and discharges of regulated materials, and also impose liability for related damages to natural resources. Our past and ongoing operations involve the use, and from time to time the release or discharge, of regulated materials which could result in liability under these and other environmental laws. We have remediated known releases and discharges as deemed necessary, but there can be no guarantee that additional costs will not be incurred if, for example, third party claims arise or new conditions are discovered.</w:t>
      </w:r>
    </w:p>
    <w:p>
      <w:pPr>
        <w:spacing w:after="0" w:line="139" w:lineRule="exact"/>
        <w:rPr>
          <w:sz w:val="20"/>
          <w:szCs w:val="20"/>
          <w:color w:val="auto"/>
        </w:rPr>
      </w:pPr>
    </w:p>
    <w:p>
      <w:pPr>
        <w:ind w:right="60" w:firstLine="456"/>
        <w:spacing w:after="0" w:line="289" w:lineRule="auto"/>
        <w:rPr>
          <w:sz w:val="20"/>
          <w:szCs w:val="20"/>
          <w:color w:val="auto"/>
        </w:rPr>
      </w:pPr>
      <w:r>
        <w:rPr>
          <w:rFonts w:ascii="Times New Roman" w:cs="Times New Roman" w:eastAsia="Times New Roman" w:hAnsi="Times New Roman"/>
          <w:sz w:val="16"/>
          <w:szCs w:val="16"/>
          <w:color w:val="auto"/>
        </w:rPr>
        <w:t>Our projects may involve demolition, excavation, remediation, transportation, management and disposal of hazardous waste and other regulated materials. Various laws strictly regulate the removal, treatment and transportation of hazardous waste and other regulated materials and impose liability for human health effects and environmental contamination caused by these materials. Our demolition business, for example, requires us to transport and dispose of hazardous substances and other wastes, such as asbestos. Services rendered in connection with hazardous substance and material removal and site development may involve professional judgments by licensed experts about the nature of soil conditions and other physical conditions, including the extent to which hazardous substances and materials are present, and about the probable effect of procedures to mitigate problems or otherwise affect those conditions. If the judgments and the recommendations based upon those judgments are incorrect, we may be liable for resulting damages, which may be material. The failure of certain contractual protections to protect us from incurring such liability, such as staying out of the ownership chain for hazardous waste and other regulated materials and securing indemnification obligations from our customers or subcontractors, could have a material adverse effect on our business, results of operations, revenues or profits.</w:t>
      </w:r>
    </w:p>
    <w:p>
      <w:pPr>
        <w:spacing w:after="0" w:line="113" w:lineRule="exact"/>
        <w:rPr>
          <w:sz w:val="20"/>
          <w:szCs w:val="20"/>
          <w:color w:val="auto"/>
        </w:rPr>
      </w:pPr>
    </w:p>
    <w:p>
      <w:pPr>
        <w:ind w:right="380" w:firstLine="456"/>
        <w:spacing w:after="0" w:line="262" w:lineRule="auto"/>
        <w:rPr>
          <w:sz w:val="20"/>
          <w:szCs w:val="20"/>
          <w:color w:val="auto"/>
        </w:rPr>
      </w:pPr>
      <w:r>
        <w:rPr>
          <w:rFonts w:ascii="Times New Roman" w:cs="Times New Roman" w:eastAsia="Times New Roman" w:hAnsi="Times New Roman"/>
          <w:sz w:val="18"/>
          <w:szCs w:val="18"/>
          <w:color w:val="auto"/>
        </w:rPr>
        <w:t>Environmental requirements have generally become more stringent over time, for example in the areas of air emissions controls for vessels and ballast treatment and handling. New or stricter enforcement of existing laws, the discovery of currently unknown conditions or accidental discharges of regulated materials in the future could cause us to incur additional costs for environmental matters which might be significant.</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could suffer in the event of a work stoppage by our unionized labor force.</w:t>
      </w:r>
    </w:p>
    <w:p>
      <w:pPr>
        <w:spacing w:after="0" w:line="94"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We are a party to numerous collective bargaining agreements in the U.S. that govern our industry’s relationships with our unionized hourly workforce. However, two unions represent approximately 65% of our dredging employees—the International Union of Operating Engineers (“IUOE”), Local 25 and the Seafarers International Union. The Company’s contract with IUOE, Local 25 expired in October 2012. Since then the Company and the Union have been in negotiations and have reached a tentative agreement on a new three year contract subject to ratification by the union membership. The ratification vote is expected to be completed in April, 2013. Local 25 members continued to work as usual during negotiations and there has been no disruption to our operations. We expect to have resolution on this contract in the near term. The Company’s collective bargaining agreement with the Seafarers International Union was renewed under a new three year agreement in 2012. The inability to successfully renegotiate contracts with these unions as they expire, or any future strikes, employee slowdowns or similar actions by one or more unions could have a material adverse effect on our ability to operate our business.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420"/>
          </w:cols>
          <w:pgMar w:left="240" w:top="455" w:right="239" w:bottom="1440" w:gutter="0" w:footer="0" w:header="0"/>
        </w:sectPr>
      </w:pPr>
    </w:p>
    <w:bookmarkStart w:id="25" w:name="page26"/>
    <w:bookmarkEnd w:id="2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Our employees are covered by federal laws that may provide seagoing employees remedies for job-related claims in addition to those provided by state laws.</w:t>
      </w:r>
    </w:p>
    <w:p>
      <w:pPr>
        <w:spacing w:after="0" w:line="117"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Substantially all of our seagoing employees are covered by provisions of the Jones Act and general maritime law. These laws typically operate to make liability limits established by state workers’ compensation laws inapplicable to these employees and to permit these employees and their representatives to pursue actions against employers for job-related injuries in federal or state courts. Because we are not generally protected by the limits imposed by state workers’ compensation statutes with respect to our seagoing employees, we have greater exposure for claims made by these employees as compared to industries whose employees are not covered by these provisions.</w:t>
      </w:r>
    </w:p>
    <w:p>
      <w:pPr>
        <w:spacing w:after="0" w:line="216" w:lineRule="exact"/>
        <w:rPr>
          <w:sz w:val="20"/>
          <w:szCs w:val="20"/>
          <w:color w:val="auto"/>
        </w:rPr>
      </w:pPr>
    </w:p>
    <w:p>
      <w:pPr>
        <w:ind w:right="34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Our business is subject to significant operating risks and hazards that could result in damage or destruction to persons or property, which could result in losses or liabilities to us.</w:t>
      </w:r>
    </w:p>
    <w:p>
      <w:pPr>
        <w:spacing w:after="0" w:line="34" w:lineRule="exact"/>
        <w:rPr>
          <w:sz w:val="20"/>
          <w:szCs w:val="20"/>
          <w:color w:val="auto"/>
        </w:rPr>
      </w:pPr>
    </w:p>
    <w:p>
      <w:pPr>
        <w:jc w:val="both"/>
        <w:ind w:right="60" w:firstLine="456"/>
        <w:spacing w:after="0" w:line="256" w:lineRule="auto"/>
        <w:rPr>
          <w:sz w:val="20"/>
          <w:szCs w:val="20"/>
          <w:color w:val="auto"/>
        </w:rPr>
      </w:pPr>
      <w:r>
        <w:rPr>
          <w:rFonts w:ascii="Times New Roman" w:cs="Times New Roman" w:eastAsia="Times New Roman" w:hAnsi="Times New Roman"/>
          <w:sz w:val="18"/>
          <w:szCs w:val="18"/>
          <w:color w:val="auto"/>
        </w:rPr>
        <w:t>The dredging, demolition and remediation businesses are generally subject to a number of risks and hazards, including environmental hazards, industrial accidents, encountering unusual or unexpected geological formations, cave-ins below water levels, collisions, disruption of transportation services and flooding. These risks could result in damage to, or destruction of, dredges, transportation vessels, other maritime structures and buildings, and could also result in personal injury, environmental damage, performance delays, monetary losses or legal liability to third parties. We may also be exposed to disruption of our operations and loss of use of our equipment that may materially adversely reduce our revenue and profits.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current insurance coverage may not be adequate, and we may not be able to obtain insurance at acceptable rates, or at all.</w:t>
      </w:r>
    </w:p>
    <w:p>
      <w:pPr>
        <w:spacing w:after="0" w:line="94" w:lineRule="exact"/>
        <w:rPr>
          <w:sz w:val="20"/>
          <w:szCs w:val="20"/>
          <w:color w:val="auto"/>
        </w:rPr>
      </w:pPr>
    </w:p>
    <w:p>
      <w:pPr>
        <w:ind w:right="20" w:firstLine="456"/>
        <w:spacing w:after="0" w:line="255" w:lineRule="auto"/>
        <w:rPr>
          <w:sz w:val="20"/>
          <w:szCs w:val="20"/>
          <w:color w:val="auto"/>
        </w:rPr>
      </w:pPr>
      <w:r>
        <w:rPr>
          <w:rFonts w:ascii="Times New Roman" w:cs="Times New Roman" w:eastAsia="Times New Roman" w:hAnsi="Times New Roman"/>
          <w:sz w:val="18"/>
          <w:szCs w:val="18"/>
          <w:color w:val="auto"/>
        </w:rPr>
        <w:t>We maintain various insurance policies, including hull and machinery, pollution liability, general liability and personal injury. We partially self-insure risks covered by our policies. While we reserve for such self-insured exposures when appropriate for accounting purposes, we are not required to, and do not, specifically set aside funds for the self-insured portion of claims. At any given time, we are subject to Jones Act personal injury claims and claims from general contractors and other third parties for personal injuries. Our insurance policies may not be adequate to protect us from liabilities that we incur in our business. We may not be able to obtain similar levels of insurance on reasonable terms, or at all. Our inability to obtain such insurance coverage at acceptable rates or at all could have a material adverse effect on our business, operating results, profits or financial condition.</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If we are unable to attract and retain key personnel and skilled labor, our ability to bid for and successfully complete contracts may be negatively impacted.</w:t>
      </w:r>
    </w:p>
    <w:p>
      <w:pPr>
        <w:spacing w:after="0" w:line="117" w:lineRule="exact"/>
        <w:rPr>
          <w:sz w:val="20"/>
          <w:szCs w:val="20"/>
          <w:color w:val="auto"/>
        </w:rPr>
      </w:pPr>
    </w:p>
    <w:p>
      <w:pPr>
        <w:ind w:right="100" w:firstLine="456"/>
        <w:spacing w:after="0" w:line="301" w:lineRule="auto"/>
        <w:rPr>
          <w:sz w:val="20"/>
          <w:szCs w:val="20"/>
          <w:color w:val="auto"/>
        </w:rPr>
      </w:pPr>
      <w:r>
        <w:rPr>
          <w:rFonts w:ascii="Times New Roman" w:cs="Times New Roman" w:eastAsia="Times New Roman" w:hAnsi="Times New Roman"/>
          <w:sz w:val="16"/>
          <w:szCs w:val="16"/>
          <w:color w:val="auto"/>
        </w:rPr>
        <w:t>Our ability to attract and retain reliable, qualified personnel is a significant factor that enables us to successfully bid for and profitably complete our work. This includes members of our management, project managers, estimators, skilled engineers, supervisors, foremen, equipment operators and laborers. The loss of the services of any of our management could have a material adverse effect on us. If we do not succeed in retaining our current key employees and attracting, developing and retaining new highly-skilled employees, our reputation may be harmed and our operations and future earnings may be negatively impacted.</w:t>
      </w:r>
    </w:p>
    <w:p>
      <w:pPr>
        <w:spacing w:after="0" w:line="103" w:lineRule="exact"/>
        <w:rPr>
          <w:sz w:val="20"/>
          <w:szCs w:val="20"/>
          <w:color w:val="auto"/>
        </w:rPr>
      </w:pPr>
    </w:p>
    <w:p>
      <w:pPr>
        <w:ind w:right="100" w:firstLine="456"/>
        <w:spacing w:after="0" w:line="256" w:lineRule="auto"/>
        <w:rPr>
          <w:sz w:val="20"/>
          <w:szCs w:val="20"/>
          <w:color w:val="auto"/>
        </w:rPr>
      </w:pPr>
      <w:r>
        <w:rPr>
          <w:rFonts w:ascii="Times New Roman" w:cs="Times New Roman" w:eastAsia="Times New Roman" w:hAnsi="Times New Roman"/>
          <w:sz w:val="18"/>
          <w:szCs w:val="18"/>
          <w:color w:val="auto"/>
        </w:rPr>
        <w:t>We may not be able to maintain an adequate skilled labor force necessary to operate efficiently and to support our growth strategy. We have from time to time experienced, and may in the future experience, shortages of certain types of qualified equipment operating personnel. The supply of experienced engineers, project managers, field supervisors and other skilled workers may not be sufficient to meet current or expected demand. If we are unable to hire employees with the requisite skills, we may also be forced to incur significant training expenses. The occurrence of any of the foregoing could have an adverse effect on our business, operating results, financial condition and value of our common stock.</w:t>
      </w:r>
    </w:p>
    <w:p>
      <w:pPr>
        <w:spacing w:after="0" w:line="1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380"/>
          </w:cols>
          <w:pgMar w:left="240" w:top="455" w:right="279" w:bottom="1440" w:gutter="0" w:footer="0" w:header="0"/>
        </w:sectPr>
      </w:pPr>
    </w:p>
    <w:bookmarkStart w:id="26" w:name="page27"/>
    <w:bookmarkEnd w:id="2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26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We rely on information technology systems to conduct our business and disruption, failure or security breaches of these systems could adversely affect our business and results of operations.</w:t>
      </w:r>
    </w:p>
    <w:p>
      <w:pPr>
        <w:spacing w:after="0" w:line="34" w:lineRule="exact"/>
        <w:rPr>
          <w:sz w:val="20"/>
          <w:szCs w:val="20"/>
          <w:color w:val="auto"/>
        </w:rPr>
      </w:pPr>
    </w:p>
    <w:p>
      <w:pPr>
        <w:ind w:firstLine="456"/>
        <w:spacing w:after="0" w:line="253" w:lineRule="auto"/>
        <w:rPr>
          <w:sz w:val="20"/>
          <w:szCs w:val="20"/>
          <w:color w:val="auto"/>
        </w:rPr>
      </w:pPr>
      <w:r>
        <w:rPr>
          <w:rFonts w:ascii="Times New Roman" w:cs="Times New Roman" w:eastAsia="Times New Roman" w:hAnsi="Times New Roman"/>
          <w:sz w:val="18"/>
          <w:szCs w:val="18"/>
          <w:color w:val="auto"/>
        </w:rPr>
        <w:t>We rely on information technology (IT) systems in order to achieve our business objectives. Our portfolio of hardware and software products, solutions and services and our enterprise IT systems may be vulnerable to damage or disruption caused by circumstances beyond our control such as catastrophic events, power outages, natural disasters, computer system or network failures, computer viruses, cyber attacks or other malicious software programs. The failure or disruption of our IT systems to perform as anticipated for any reason could disrupt our business and result in decreased performance, significant remediation costs, transaction errors, loss of data, processing inefficiencies, downtime, failure to properly estimate the work or costs associated with projects, litigation and the loss of customers or suppliers. A significant disruption or failure could have a material adverse effect on our business operations, financial performance and financial condition. We are incurring costs associated with designing and implementing a new enterprise resource planning software system (ERP) with the objective of gradually migrating to the new system. Capital expenditures and expenses for the ERP for 2013 and beyond will depend upon the pace of conversion. If implementation is not executed successfully, this could result in business interruptions. If we do not complete the implementation of the ERP timely and successfully, we may incur additional costs associated with completing this project and a delay in our ability to improve existing operations, support future growth and enable us to take advantage of new engineering and other applications and technologies.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affected by market or regulatory responses to climate change.</w:t>
      </w:r>
    </w:p>
    <w:p>
      <w:pPr>
        <w:spacing w:after="0" w:line="94" w:lineRule="exact"/>
        <w:rPr>
          <w:sz w:val="20"/>
          <w:szCs w:val="20"/>
          <w:color w:val="auto"/>
        </w:rPr>
      </w:pPr>
    </w:p>
    <w:p>
      <w:pPr>
        <w:ind w:right="20" w:firstLine="456"/>
        <w:spacing w:after="0" w:line="291" w:lineRule="auto"/>
        <w:rPr>
          <w:sz w:val="20"/>
          <w:szCs w:val="20"/>
          <w:color w:val="auto"/>
        </w:rPr>
      </w:pPr>
      <w:r>
        <w:rPr>
          <w:rFonts w:ascii="Times New Roman" w:cs="Times New Roman" w:eastAsia="Times New Roman" w:hAnsi="Times New Roman"/>
          <w:sz w:val="16"/>
          <w:szCs w:val="16"/>
          <w:color w:val="auto"/>
        </w:rPr>
        <w:t>Increased concern about the potential impact of greenhouse gases (GHG), such as carbon dioxide resulting from combustion of fossil fuels, on climate change has resulted in efforts to regulate their emission. For example, there is a growing consensus that new and additional regulations concerning GHG emissions including “cap and trade” legislation may be enacted, which could result in increased compliance costs for us. Legislation, international protocols, regulation or other restrictions on GHG emissions could also affect our customers. Such legislation or restrictions could increase the costs of projects for our customers or, in some cases, prevent a project from going forward, thereby potentially reducing the need for our services which could in turn have a material adverse effect on our operations and financial condition. Additionally, in our normal course of operations, we use a significant amount of fossil fuels. The costs of controlling our GHG emissions or obtaining required emissions allowances in response to any regulatory change in our industry could increase materially.</w:t>
      </w:r>
    </w:p>
    <w:p>
      <w:pPr>
        <w:spacing w:after="0" w:line="273"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b w:val="1"/>
          <w:bCs w:val="1"/>
          <w:color w:val="auto"/>
        </w:rPr>
        <w:t>Risks Related to our Financing</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indebtedness, which makes us more vulnerable to adverse economic and competitive conditions.</w:t>
      </w:r>
    </w:p>
    <w:p>
      <w:pPr>
        <w:spacing w:after="0" w:line="94" w:lineRule="exact"/>
        <w:rPr>
          <w:sz w:val="20"/>
          <w:szCs w:val="20"/>
          <w:color w:val="auto"/>
        </w:rPr>
      </w:pPr>
    </w:p>
    <w:p>
      <w:pPr>
        <w:ind w:right="100" w:firstLine="456"/>
        <w:spacing w:after="0" w:line="275" w:lineRule="auto"/>
        <w:rPr>
          <w:sz w:val="20"/>
          <w:szCs w:val="20"/>
          <w:color w:val="auto"/>
        </w:rPr>
      </w:pPr>
      <w:r>
        <w:rPr>
          <w:rFonts w:ascii="Times New Roman" w:cs="Times New Roman" w:eastAsia="Times New Roman" w:hAnsi="Times New Roman"/>
          <w:sz w:val="18"/>
          <w:szCs w:val="18"/>
          <w:color w:val="auto"/>
        </w:rPr>
        <w:t>As of December 31, 2012, we had indebtedness of $263 million consisting of $250 million of senior subordinated notes, $10.5 million for a note issued as part of the Terra acquisition and $2.5 million for a note issued as part of the Matteson acquisition. Our debt could:</w:t>
      </w:r>
    </w:p>
    <w:p>
      <w:pPr>
        <w:spacing w:after="0" w:line="39" w:lineRule="exact"/>
        <w:rPr>
          <w:sz w:val="20"/>
          <w:szCs w:val="20"/>
          <w:color w:val="auto"/>
        </w:rPr>
      </w:pPr>
    </w:p>
    <w:p>
      <w:pPr>
        <w:ind w:left="900" w:right="80" w:hanging="325"/>
        <w:spacing w:after="0" w:line="275" w:lineRule="auto"/>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us to dedicate a portion of our cash flow from operations to payments on our indebtedness, thereby reducing the availability of our cash flow to fund working capital and capital expenditures, pay dividends and other general corporate purposes;</w:t>
      </w:r>
    </w:p>
    <w:p>
      <w:pPr>
        <w:spacing w:after="0" w:line="38"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our flexibility in planning for, or reacting to, changes in our business and our industries;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affect our competitiveness compared to our less leveraged competitors;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our exposure to both general and industry-specific adverse economic conditions; and</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among other things, our ability to borrow additional funds.</w:t>
      </w:r>
    </w:p>
    <w:p>
      <w:pPr>
        <w:spacing w:after="0" w:line="171" w:lineRule="exact"/>
        <w:rPr>
          <w:sz w:val="20"/>
          <w:szCs w:val="20"/>
          <w:color w:val="auto"/>
        </w:rPr>
      </w:pPr>
    </w:p>
    <w:p>
      <w:pPr>
        <w:ind w:right="40" w:firstLine="456"/>
        <w:spacing w:after="0" w:line="262" w:lineRule="auto"/>
        <w:rPr>
          <w:sz w:val="20"/>
          <w:szCs w:val="20"/>
          <w:color w:val="auto"/>
        </w:rPr>
      </w:pPr>
      <w:r>
        <w:rPr>
          <w:rFonts w:ascii="Times New Roman" w:cs="Times New Roman" w:eastAsia="Times New Roman" w:hAnsi="Times New Roman"/>
          <w:sz w:val="18"/>
          <w:szCs w:val="18"/>
          <w:color w:val="auto"/>
        </w:rPr>
        <w:t>As of December 31, 2012 we were not in compliance with one of our financial covenants under the Credit Agreement, and we determined that a perfection trigger event had occurred under the Credit Agreement. As a result, our outstanding obligations under the Credit Agreement are now secured by liens on certain of our vessels and all of our domestic accounts receivable. On March 13, 2013, Zurich informed us that it intended to seek,</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400"/>
          </w:cols>
          <w:pgMar w:left="240" w:top="455" w:right="259" w:bottom="1440" w:gutter="0" w:footer="0" w:header="0"/>
        </w:sectPr>
      </w:pPr>
    </w:p>
    <w:bookmarkStart w:id="27" w:name="page28"/>
    <w:bookmarkEnd w:id="2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pursuant to the existing surety arrangements among the Company, Zurich and the administrative agent under the Credit Agreement, second mortgages on the same vessels securing our obligations under the Credit Agreement. As a result, we may not be able to successfully obtain additional financing on favorable terms, or at all. Further, if we are unable to repay, refinance or restructure our indebtedness under our secured debt, the holders of such debt could proceed against the collateral securing that indebtedness.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Adverse capital and credit market conditions may affect our ability to meet liquidity needs, access to capital and cost of capital.</w:t>
      </w:r>
    </w:p>
    <w:p>
      <w:pPr>
        <w:spacing w:after="0" w:line="94" w:lineRule="exact"/>
        <w:rPr>
          <w:sz w:val="20"/>
          <w:szCs w:val="20"/>
          <w:color w:val="auto"/>
        </w:rPr>
      </w:pPr>
    </w:p>
    <w:p>
      <w:pPr>
        <w:ind w:right="240" w:firstLine="456"/>
        <w:spacing w:after="0" w:line="262" w:lineRule="auto"/>
        <w:rPr>
          <w:sz w:val="20"/>
          <w:szCs w:val="20"/>
          <w:color w:val="auto"/>
        </w:rPr>
      </w:pPr>
      <w:r>
        <w:rPr>
          <w:rFonts w:ascii="Times New Roman" w:cs="Times New Roman" w:eastAsia="Times New Roman" w:hAnsi="Times New Roman"/>
          <w:sz w:val="18"/>
          <w:szCs w:val="18"/>
          <w:color w:val="auto"/>
        </w:rPr>
        <w:t>The domestic and worldwide capital and credit markets have experienced and are experiencing significant volatility, disruptions and dislocations with respect to price and credit availability. Should we need additional funds or to refinance our existing indebtedness, we may not be able to obtain such additional funds.</w:t>
      </w:r>
    </w:p>
    <w:p>
      <w:pPr>
        <w:spacing w:after="0" w:line="132" w:lineRule="exact"/>
        <w:rPr>
          <w:sz w:val="20"/>
          <w:szCs w:val="20"/>
          <w:color w:val="auto"/>
        </w:rPr>
      </w:pPr>
    </w:p>
    <w:p>
      <w:pPr>
        <w:ind w:right="140" w:firstLine="456"/>
        <w:spacing w:after="0" w:line="254" w:lineRule="auto"/>
        <w:rPr>
          <w:sz w:val="20"/>
          <w:szCs w:val="20"/>
          <w:color w:val="auto"/>
        </w:rPr>
      </w:pPr>
      <w:r>
        <w:rPr>
          <w:rFonts w:ascii="Times New Roman" w:cs="Times New Roman" w:eastAsia="Times New Roman" w:hAnsi="Times New Roman"/>
          <w:sz w:val="18"/>
          <w:szCs w:val="18"/>
          <w:color w:val="auto"/>
        </w:rPr>
        <w:t>We need liquidity to pay our operating expenses, interest on our debt and dividends on our capital stock. Without sufficient liquidity, we will be forced to curtail our operations, and our business will suffer. The principal sources of our liquidity are cash flow from operations and borrowings under our senior credit facility. In the event these resources do not satisfy our liquidity needs, we may have to seek additional financing. The availability of additional financing will depend on a variety of factors such as market conditions, the general availability of credit, the volume of trading activities, our credit ratings and credit capacity, as well as the possibility that customers or lenders could develop a negative perception of our long- or short-term financial prospects if the level of our business activity decreased due to a market downturn. If internal sources of liquidity prove to be insufficient, we may not be able to successfully obtain additional financing on favorable terms, or at all.</w:t>
      </w:r>
    </w:p>
    <w:p>
      <w:pPr>
        <w:spacing w:after="0" w:line="218" w:lineRule="exact"/>
        <w:rPr>
          <w:sz w:val="20"/>
          <w:szCs w:val="20"/>
          <w:color w:val="auto"/>
        </w:rPr>
      </w:pPr>
    </w:p>
    <w:p>
      <w:pPr>
        <w:ind w:right="30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The adoption and implementation of new statutory and regulatory requirements for derivative transactions could have an adverse impact on our ability to hedge risks associated with our business.</w:t>
      </w:r>
    </w:p>
    <w:p>
      <w:pPr>
        <w:spacing w:after="0" w:line="34" w:lineRule="exact"/>
        <w:rPr>
          <w:sz w:val="20"/>
          <w:szCs w:val="20"/>
          <w:color w:val="auto"/>
        </w:rPr>
      </w:pPr>
    </w:p>
    <w:p>
      <w:pPr>
        <w:ind w:firstLine="456"/>
        <w:spacing w:after="0" w:line="252" w:lineRule="auto"/>
        <w:rPr>
          <w:sz w:val="20"/>
          <w:szCs w:val="20"/>
          <w:color w:val="auto"/>
        </w:rPr>
      </w:pPr>
      <w:r>
        <w:rPr>
          <w:rFonts w:ascii="Times New Roman" w:cs="Times New Roman" w:eastAsia="Times New Roman" w:hAnsi="Times New Roman"/>
          <w:sz w:val="18"/>
          <w:szCs w:val="18"/>
          <w:color w:val="auto"/>
        </w:rPr>
        <w:t>We enter into interest rate swap agreements to manage the interest rate paid with respect to our fixed rate indebtedness, foreign exchange forward contracts to hedge currency risk and heating oil commodity swap contracts to hedge the risk that fluctuations in diesel fuel prices will have an adverse impact on cash flows associated with our domestic dredging contracts. The United States Congress has passed, and the President has signed into law, the Dodd-Frank Wall Street Reform and Consumer Protection Act (the “Financial Reform Act”). The Financial Reform Act provides for new statutory and regulatory requirements for derivative transactions, including foreign currency and other over-the-counter derivative hedging transactions. The Commodity Futures Trading Commission (“CFTC”) has promulgated extensive regulations implementing the Financial Reform Act. Many of those rules become effective over the course of 2013. Other rules have been proposed by the CFTC, but have not yet been finalized or fully implemented. It remains unclear what the full impact of the CFTC’s Rules or the Financial Reform Act will be on us. The CFTC’s rules and the Financial Reform Act may significantly reduce our ability to execute strategic hedges to manage our interest expense, reduce our fuel commodity uncertainty and hedge our currency risk thus protecting our cash flows. In addition, the banks and other derivatives dealers who are our contractual counterparties will be required to comply with extensive new regulation under the Financial Reform Act and CFTC regulations. The cost of our counterparties’ compliance will likely be passed on to customers such as ourselves, thus potentially hedging transactions and potentially reducing our profitability.</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foreign exchange risks, and improper management of that risk could result in large cash losses.</w:t>
      </w:r>
    </w:p>
    <w:p>
      <w:pPr>
        <w:spacing w:after="0" w:line="94" w:lineRule="exact"/>
        <w:rPr>
          <w:sz w:val="20"/>
          <w:szCs w:val="20"/>
          <w:color w:val="auto"/>
        </w:rPr>
      </w:pPr>
    </w:p>
    <w:p>
      <w:pPr>
        <w:ind w:right="240" w:firstLine="456"/>
        <w:spacing w:after="0" w:line="256" w:lineRule="auto"/>
        <w:rPr>
          <w:sz w:val="20"/>
          <w:szCs w:val="20"/>
          <w:color w:val="auto"/>
        </w:rPr>
      </w:pPr>
      <w:r>
        <w:rPr>
          <w:rFonts w:ascii="Times New Roman" w:cs="Times New Roman" w:eastAsia="Times New Roman" w:hAnsi="Times New Roman"/>
          <w:sz w:val="18"/>
          <w:szCs w:val="18"/>
          <w:color w:val="auto"/>
        </w:rPr>
        <w:t>We are exposed to market risk associated with changes in foreign currency exchange rates. The primary foreign currencies to which the Company has exposure are the Bahraini dinar, the Australian dollar and the Brazilian real. Our international contracts may be denominated in foreign currencies, which will result in additional risk of fluctuating currency values and exchange rates, hard currency shortages and controls on currency exchange. Changes in the value of foreign currencies could increase our U.S. dollar costs for, or reduce our U.S. dollar revenues from, our foreign operations. Any increased costs or reduced revenues as a result of</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400"/>
          </w:cols>
          <w:pgMar w:left="240" w:top="455" w:right="259" w:bottom="1440" w:gutter="0" w:footer="0" w:header="0"/>
        </w:sectPr>
      </w:pPr>
    </w:p>
    <w:bookmarkStart w:id="28" w:name="page29"/>
    <w:bookmarkEnd w:id="2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100"/>
        <w:spacing w:after="0" w:line="262" w:lineRule="auto"/>
        <w:rPr>
          <w:sz w:val="20"/>
          <w:szCs w:val="20"/>
          <w:color w:val="auto"/>
        </w:rPr>
      </w:pPr>
      <w:r>
        <w:rPr>
          <w:rFonts w:ascii="Times New Roman" w:cs="Times New Roman" w:eastAsia="Times New Roman" w:hAnsi="Times New Roman"/>
          <w:sz w:val="18"/>
          <w:szCs w:val="18"/>
          <w:color w:val="auto"/>
        </w:rPr>
        <w:t>foreign currency fluctuations could affect our profits. The value of the Bahraini dinar has historically been pegged to the value of the U.S. dollar, which has effectively eliminated the foreign currency risk with respect to that currency. However, if the dinar were no longer to be so pegged, whether due to civil unrest in Bahrain or otherwise, the Company could become subject to additional, and substantial, foreign currency risk.</w:t>
      </w:r>
    </w:p>
    <w:p>
      <w:pPr>
        <w:spacing w:after="0" w:line="209" w:lineRule="exact"/>
        <w:rPr>
          <w:sz w:val="20"/>
          <w:szCs w:val="20"/>
          <w:color w:val="auto"/>
        </w:rPr>
      </w:pPr>
    </w:p>
    <w:p>
      <w:pPr>
        <w:ind w:right="14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The current weakness in the economic environment and other factors could lead to our goodwill and other intangible assets becoming impaired, which may require us to take significant non-cash charges against earnings.</w:t>
      </w:r>
    </w:p>
    <w:p>
      <w:pPr>
        <w:spacing w:after="0" w:line="34" w:lineRule="exact"/>
        <w:rPr>
          <w:sz w:val="20"/>
          <w:szCs w:val="20"/>
          <w:color w:val="auto"/>
        </w:rPr>
      </w:pPr>
    </w:p>
    <w:p>
      <w:pPr>
        <w:ind w:right="20" w:firstLine="456"/>
        <w:spacing w:after="0" w:line="253" w:lineRule="auto"/>
        <w:rPr>
          <w:sz w:val="20"/>
          <w:szCs w:val="20"/>
          <w:color w:val="auto"/>
        </w:rPr>
      </w:pPr>
      <w:r>
        <w:rPr>
          <w:rFonts w:ascii="Times New Roman" w:cs="Times New Roman" w:eastAsia="Times New Roman" w:hAnsi="Times New Roman"/>
          <w:sz w:val="18"/>
          <w:szCs w:val="18"/>
          <w:color w:val="auto"/>
        </w:rPr>
        <w:t>Under current accounting guidelines, we must assess, at least annually and potentially more frequently, whether the value of our goodwill and other intangible assets have been impaired. Any impairment of goodwill or other intangible assets as a result of such analysis would result in a non-cash charge against earnings, which charge could materially adversely affect our reported net income and our stock price. We test goodwill annually for impairment in the third quarter of each year, or more frequently should circumstances dictate. A significant and sustained decline in our future cash flows, a significant adverse change in the economic environment, slower growth rates or our stock price falling below our net book value per share for a sustained period could result in the need to perform additional impairment analysis in future periods. If we were to conclude that a future write-down of goodwill or other intangible assets is necessary, then we would be required to record a non-cash charge against earnings, which, in turn, could have a material adverse effect on our reported net income and the book value of our stockholders’ equity. See Item 7. “Management’s Discussion and Analysis of Financial Condition and Results of Operations—Critical Accounting Policies and Estimates.”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made and may continue to make debt or equity investments in privately financed projects in which we could sustain significant losses.</w:t>
      </w:r>
    </w:p>
    <w:p>
      <w:pPr>
        <w:spacing w:after="0" w:line="94" w:lineRule="exact"/>
        <w:rPr>
          <w:sz w:val="20"/>
          <w:szCs w:val="20"/>
          <w:color w:val="auto"/>
        </w:rPr>
      </w:pPr>
    </w:p>
    <w:p>
      <w:pPr>
        <w:ind w:right="20" w:firstLine="456"/>
        <w:spacing w:after="0" w:line="254" w:lineRule="auto"/>
        <w:rPr>
          <w:sz w:val="20"/>
          <w:szCs w:val="20"/>
          <w:color w:val="auto"/>
        </w:rPr>
      </w:pPr>
      <w:r>
        <w:rPr>
          <w:rFonts w:ascii="Times New Roman" w:cs="Times New Roman" w:eastAsia="Times New Roman" w:hAnsi="Times New Roman"/>
          <w:sz w:val="18"/>
          <w:szCs w:val="18"/>
          <w:color w:val="auto"/>
        </w:rPr>
        <w:t>We have participated and may continue to participate in privately financed projects that enable state and local governments and other customers to finance dredging, demolition and remediation projects, such as dredging of local navigable waterways and lakes, coastal protection and environmental remediation projects. These projects typically include the facilitation of non-recourse financing and the provision of dredging, demolition, remediation and related services. We may incur contractually reimbursable costs and may extend debt financing and/or make an equity investment in an entity prior to, in connection with, or as part of project financing, and in some cases we may be the sole or primary source of the project financing. If a project is unable to obtain other financing on terms acceptable to it in amounts sufficient to repay or redeem our investments, we could incur losses on our investments and any related contractual receivables. After completion of these projects, the return on our equity investments can be dependent on the operational success of the project and market factors, which may not be under our control. As a result, we could sustain a loss of part or all of our equity investments in such projects.</w:t>
      </w:r>
    </w:p>
    <w:p>
      <w:pPr>
        <w:spacing w:after="0" w:line="298"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8"/>
          <w:szCs w:val="18"/>
          <w:b w:val="1"/>
          <w:bCs w:val="1"/>
          <w:color w:val="auto"/>
        </w:rPr>
        <w:t>Risks Related to our Stock</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common stock is subject to restrictions on foreign ownership.</w:t>
      </w:r>
    </w:p>
    <w:p>
      <w:pPr>
        <w:spacing w:after="0" w:line="94" w:lineRule="exact"/>
        <w:rPr>
          <w:sz w:val="20"/>
          <w:szCs w:val="20"/>
          <w:color w:val="auto"/>
        </w:rPr>
      </w:pPr>
    </w:p>
    <w:p>
      <w:pPr>
        <w:ind w:firstLine="456"/>
        <w:spacing w:after="0" w:line="291" w:lineRule="auto"/>
        <w:rPr>
          <w:sz w:val="20"/>
          <w:szCs w:val="20"/>
          <w:color w:val="auto"/>
        </w:rPr>
      </w:pPr>
      <w:r>
        <w:rPr>
          <w:rFonts w:ascii="Times New Roman" w:cs="Times New Roman" w:eastAsia="Times New Roman" w:hAnsi="Times New Roman"/>
          <w:sz w:val="16"/>
          <w:szCs w:val="16"/>
          <w:color w:val="auto"/>
        </w:rPr>
        <w:t>We are subject to government regulations pursuant to the Dredging Act, the Jones Act, the Shipping Act and the vessel documentation laws set forth in Chapter 121 of Title 46 of the United States Code. These statutes require vessels engaged in the transport of merchandise or passengers or dredging in the navigable waters of the U.S. to be owned and controlled by U.S. citizens. The U.S. citizenship ownership and control standards require the vessel-owning entity to be at least 75% U.S.-citizen owned. Our certificate of incorporation contains provisions limiting non-citizenship ownership of our capital stock. If our board of directors determines that persons who are not citizens of the U.S. own more than 22.5% of our outstanding capital stock or more than 22.5% of our voting power, we may redeem such stock. The required redemption price could be materially different from the current price of our common stock or the price at which the non-citizen acquired the common stock. If a non-citizen purchases our common stock, there can be no assurance that he will not be required to</w:t>
      </w:r>
    </w:p>
    <w:p>
      <w:pPr>
        <w:spacing w:after="0" w:line="1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400"/>
          </w:cols>
          <w:pgMar w:left="240" w:top="455" w:right="259" w:bottom="1440" w:gutter="0" w:footer="0" w:header="0"/>
        </w:sectPr>
      </w:pPr>
    </w:p>
    <w:bookmarkStart w:id="29" w:name="page30"/>
    <w:bookmarkEnd w:id="2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jc w:val="both"/>
        <w:ind w:right="360"/>
        <w:spacing w:after="0" w:line="262" w:lineRule="auto"/>
        <w:rPr>
          <w:sz w:val="20"/>
          <w:szCs w:val="20"/>
          <w:color w:val="auto"/>
        </w:rPr>
      </w:pPr>
      <w:r>
        <w:rPr>
          <w:rFonts w:ascii="Times New Roman" w:cs="Times New Roman" w:eastAsia="Times New Roman" w:hAnsi="Times New Roman"/>
          <w:sz w:val="18"/>
          <w:szCs w:val="18"/>
          <w:color w:val="auto"/>
        </w:rPr>
        <w:t>divest the shares and such divestiture could result in a material loss. Such restrictions and redemption rights may make our equity securities less attractive to potential investors, which may result in our common stock having a lower market price than it might have in the absence of such restrictions and redemption rights.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Delaware law and our charter documents may impede or discourage a takeover that you may consider favorable.</w:t>
      </w:r>
    </w:p>
    <w:p>
      <w:pPr>
        <w:spacing w:after="0" w:line="9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provisions of our certificate of incorporation and bylaws may deter, delay or prevent a third-party from acquiring us. These provisions include:</w:t>
      </w:r>
    </w:p>
    <w:p>
      <w:pPr>
        <w:spacing w:after="0" w:line="90" w:lineRule="exact"/>
        <w:rPr>
          <w:sz w:val="20"/>
          <w:szCs w:val="20"/>
          <w:color w:val="auto"/>
        </w:rPr>
      </w:pPr>
    </w:p>
    <w:p>
      <w:pPr>
        <w:ind w:left="900" w:hanging="325"/>
        <w:spacing w:after="0"/>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on the ability of stockholders to amend our charter documents, including stockholder supermajority voting requirements;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of stockholders to call special meetings;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classified board of directors with staggered three-year terms;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notice requirements for nominations for election to the board of directors and for stockholder proposals; and</w:t>
      </w:r>
    </w:p>
    <w:p>
      <w:pPr>
        <w:spacing w:after="0" w:line="90" w:lineRule="exact"/>
        <w:rPr>
          <w:rFonts w:ascii="Times New Roman" w:cs="Times New Roman" w:eastAsia="Times New Roman" w:hAnsi="Times New Roman"/>
          <w:sz w:val="18"/>
          <w:szCs w:val="18"/>
          <w:color w:val="auto"/>
        </w:rPr>
      </w:pPr>
    </w:p>
    <w:p>
      <w:pPr>
        <w:ind w:left="900" w:right="100" w:hanging="325"/>
        <w:spacing w:after="0" w:line="275" w:lineRule="auto"/>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authority of our board of directors to issue, without stockholder approval, up to 1,000,000 shares of preferred stock with such terms as the board of directors may determine and to issue additional shares of our common stock.</w:t>
      </w:r>
    </w:p>
    <w:p>
      <w:pPr>
        <w:spacing w:after="0" w:line="120" w:lineRule="exact"/>
        <w:rPr>
          <w:sz w:val="20"/>
          <w:szCs w:val="20"/>
          <w:color w:val="auto"/>
        </w:rPr>
      </w:pPr>
    </w:p>
    <w:p>
      <w:pPr>
        <w:ind w:right="240" w:firstLine="456"/>
        <w:spacing w:after="0" w:line="262" w:lineRule="auto"/>
        <w:rPr>
          <w:sz w:val="20"/>
          <w:szCs w:val="20"/>
          <w:color w:val="auto"/>
        </w:rPr>
      </w:pPr>
      <w:r>
        <w:rPr>
          <w:rFonts w:ascii="Times New Roman" w:cs="Times New Roman" w:eastAsia="Times New Roman" w:hAnsi="Times New Roman"/>
          <w:sz w:val="18"/>
          <w:szCs w:val="18"/>
          <w:color w:val="auto"/>
        </w:rPr>
        <w:t>We are also subject to the protections of Section 203 of the Delaware General Corporation Law, which prevents us from engaging in a business combination with a person who acquires at least 15% of our common stock for a period of three years from the date such person acquired such common stock, unless board or stockholder approval was obtained.</w:t>
      </w:r>
    </w:p>
    <w:p>
      <w:pPr>
        <w:spacing w:after="0" w:line="132" w:lineRule="exact"/>
        <w:rPr>
          <w:sz w:val="20"/>
          <w:szCs w:val="20"/>
          <w:color w:val="auto"/>
        </w:rPr>
      </w:pPr>
    </w:p>
    <w:p>
      <w:pPr>
        <w:jc w:val="both"/>
        <w:ind w:right="320" w:firstLine="456"/>
        <w:spacing w:after="0" w:line="262" w:lineRule="auto"/>
        <w:rPr>
          <w:sz w:val="20"/>
          <w:szCs w:val="20"/>
          <w:color w:val="auto"/>
        </w:rPr>
      </w:pPr>
      <w:r>
        <w:rPr>
          <w:rFonts w:ascii="Times New Roman" w:cs="Times New Roman" w:eastAsia="Times New Roman" w:hAnsi="Times New Roman"/>
          <w:sz w:val="18"/>
          <w:szCs w:val="18"/>
          <w:color w:val="auto"/>
        </w:rPr>
        <w:t>These provisions could have the effect of delaying, deferring or preventing a change in control of our company, discourage others from making tender offers for our shares, lower the market price of our stock or impede the ability of our stockholders to change our management, even if such changes would be beneficial to our stockholders.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stockholders may not receive dividends because of restrictions in our debt agreements, Delaware law and state regulatory requirements.</w:t>
      </w:r>
    </w:p>
    <w:p>
      <w:pPr>
        <w:spacing w:after="0" w:line="94"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Our ability to pay dividends is restricted by the agreements governing our debt, including the Credit Agreement, our bonding agreements and the indenture governing our senior unsecured notes. In addition, under Delaware law, our board of directors may not authorize payment of a dividend unless it is either paid out of our surplus, as calculated in accordance with the Delaware General Corporation Law, or, if we do not have a surplus, it is paid out of our net profits for the fiscal year in which the dividend is declared and/or the preceding fiscal year. To the extent we do not have adequate surplus or net profits, we will be prohibited from paying dividends.</w:t>
      </w:r>
    </w:p>
    <w:p>
      <w:pPr>
        <w:spacing w:after="0" w:line="216"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The market price of our common stock may fluctuate significantly, and this may make it difficult for holders to resell our common stock when they want or at prices that they find attractive.</w:t>
      </w:r>
    </w:p>
    <w:p>
      <w:pPr>
        <w:spacing w:after="0" w:line="34" w:lineRule="exact"/>
        <w:rPr>
          <w:sz w:val="20"/>
          <w:szCs w:val="20"/>
          <w:color w:val="auto"/>
        </w:rPr>
      </w:pPr>
    </w:p>
    <w:p>
      <w:pPr>
        <w:ind w:firstLine="456"/>
        <w:spacing w:after="0" w:line="334" w:lineRule="auto"/>
        <w:rPr>
          <w:sz w:val="20"/>
          <w:szCs w:val="20"/>
          <w:color w:val="auto"/>
        </w:rPr>
      </w:pPr>
      <w:r>
        <w:rPr>
          <w:rFonts w:ascii="Times New Roman" w:cs="Times New Roman" w:eastAsia="Times New Roman" w:hAnsi="Times New Roman"/>
          <w:sz w:val="16"/>
          <w:szCs w:val="16"/>
          <w:color w:val="auto"/>
        </w:rPr>
        <w:t>The price of our common stock on the NASDAQ Global Market constantly changes. We expect that the market price of our common stock will continue to fluctuate. The market price of our common stock may fluctuate as a result of a variety of factors, many of which are beyond our control. These factors include:</w:t>
      </w:r>
    </w:p>
    <w:p>
      <w:pPr>
        <w:spacing w:after="0" w:line="1" w:lineRule="exact"/>
        <w:rPr>
          <w:sz w:val="20"/>
          <w:szCs w:val="20"/>
          <w:color w:val="auto"/>
        </w:rPr>
      </w:pPr>
    </w:p>
    <w:p>
      <w:pPr>
        <w:ind w:left="900" w:hanging="325"/>
        <w:spacing w:after="0"/>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market conditions;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quarterly variations in our operating results;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results that vary from the expectations of management, securities analysts and investors;</w:t>
      </w:r>
    </w:p>
    <w:p>
      <w:pPr>
        <w:spacing w:after="0" w:line="1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380"/>
          </w:cols>
          <w:pgMar w:left="240" w:top="455" w:right="279" w:bottom="1440" w:gutter="0" w:footer="0" w:header="0"/>
        </w:sectPr>
      </w:pPr>
    </w:p>
    <w:bookmarkStart w:id="30" w:name="page31"/>
    <w:bookmarkEnd w:id="3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900" w:hanging="325"/>
        <w:spacing w:after="0"/>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expectations as to our future financial performance;</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of strategic developments, significant contracts, acquisitions and other material events by us or our competitors;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operating and securities price performance of other companies that investors believe are comparable to us;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sales of our equity or equity-related securities;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economy and the financial markets;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departures of key personnel;</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governmental regulations; and</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geopolitical conditions, such as acts or threats of terrorism, political instability, civil unrest or military conflicts.</w:t>
      </w:r>
    </w:p>
    <w:p>
      <w:pPr>
        <w:spacing w:after="0" w:line="171" w:lineRule="exact"/>
        <w:rPr>
          <w:sz w:val="20"/>
          <w:szCs w:val="20"/>
          <w:color w:val="auto"/>
        </w:rPr>
      </w:pPr>
    </w:p>
    <w:p>
      <w:pPr>
        <w:ind w:right="20" w:firstLine="456"/>
        <w:spacing w:after="0" w:line="262" w:lineRule="auto"/>
        <w:rPr>
          <w:sz w:val="20"/>
          <w:szCs w:val="20"/>
          <w:color w:val="auto"/>
        </w:rPr>
      </w:pPr>
      <w:r>
        <w:rPr>
          <w:rFonts w:ascii="Times New Roman" w:cs="Times New Roman" w:eastAsia="Times New Roman" w:hAnsi="Times New Roman"/>
          <w:sz w:val="18"/>
          <w:szCs w:val="18"/>
          <w:color w:val="auto"/>
        </w:rPr>
        <w:t>In addition, in recent years, global stock markets have experienced extreme price and volume fluctuations. This volatility has had a significant effect on the market price of securities issued by many companies for reasons often unrelated to their operating performance. These broad market fluctuations may adversely affect the market price of our common stock, regardless of our operating results.</w:t>
      </w:r>
    </w:p>
    <w:p>
      <w:pPr>
        <w:spacing w:after="0" w:line="252"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Item 1B.</w:t>
      </w:r>
      <w:r>
        <w:rPr>
          <w:sz w:val="20"/>
          <w:szCs w:val="20"/>
          <w:color w:val="auto"/>
        </w:rPr>
        <w:tab/>
      </w:r>
      <w:r>
        <w:rPr>
          <w:rFonts w:ascii="Times New Roman" w:cs="Times New Roman" w:eastAsia="Times New Roman" w:hAnsi="Times New Roman"/>
          <w:sz w:val="16"/>
          <w:szCs w:val="16"/>
          <w:b w:val="1"/>
          <w:bCs w:val="1"/>
          <w:color w:val="auto"/>
        </w:rPr>
        <w:t>Unresolved Staff Comments</w:t>
      </w:r>
    </w:p>
    <w:p>
      <w:pPr>
        <w:spacing w:after="0" w:line="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None.</w:t>
      </w:r>
    </w:p>
    <w:p>
      <w:pPr>
        <w:spacing w:after="0" w:line="29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6"/>
          <w:szCs w:val="16"/>
          <w:b w:val="1"/>
          <w:bCs w:val="1"/>
          <w:color w:val="auto"/>
        </w:rPr>
        <w:t>Properties</w:t>
      </w:r>
    </w:p>
    <w:p>
      <w:pPr>
        <w:spacing w:after="0" w:line="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Company owns or leases the properties described below. The Company believes that its existing facilities are adequate for its operations.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Dredging</w:t>
      </w:r>
    </w:p>
    <w:p>
      <w:pPr>
        <w:spacing w:after="0" w:line="94" w:lineRule="exact"/>
        <w:rPr>
          <w:sz w:val="20"/>
          <w:szCs w:val="20"/>
          <w:color w:val="auto"/>
        </w:rPr>
      </w:pPr>
    </w:p>
    <w:p>
      <w:pPr>
        <w:ind w:firstLine="456"/>
        <w:spacing w:after="0" w:line="275" w:lineRule="auto"/>
        <w:rPr>
          <w:sz w:val="20"/>
          <w:szCs w:val="20"/>
          <w:color w:val="auto"/>
        </w:rPr>
      </w:pPr>
      <w:r>
        <w:rPr>
          <w:rFonts w:ascii="Times New Roman" w:cs="Times New Roman" w:eastAsia="Times New Roman" w:hAnsi="Times New Roman"/>
          <w:sz w:val="18"/>
          <w:szCs w:val="18"/>
          <w:color w:val="auto"/>
        </w:rPr>
        <w:t>The Company’s headquarters are located at 2122 York Road, Oak Brook, Illinois 60523, with approximately 62,000 square feet of office space that it leases with a term expiring in 2019. As of December 31, 2012 the Company owns or leases the following additional facilities: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Dredging</w:t>
      </w:r>
    </w:p>
    <w:p>
      <w:pPr>
        <w:spacing w:after="0" w:line="199"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540" w:type="dxa"/>
            <w:vAlign w:val="bottom"/>
            <w:gridSpan w:val="2"/>
            <w:vMerge w:val="restart"/>
          </w:tcPr>
          <w:p>
            <w:pPr>
              <w:ind w:left="2380"/>
              <w:spacing w:after="0"/>
              <w:rPr>
                <w:sz w:val="20"/>
                <w:szCs w:val="20"/>
                <w:color w:val="auto"/>
              </w:rPr>
            </w:pPr>
            <w:r>
              <w:rPr>
                <w:rFonts w:ascii="Times New Roman" w:cs="Times New Roman" w:eastAsia="Times New Roman" w:hAnsi="Times New Roman"/>
                <w:sz w:val="14"/>
                <w:szCs w:val="14"/>
                <w:b w:val="1"/>
                <w:bCs w:val="1"/>
                <w:color w:val="auto"/>
              </w:rPr>
              <w:t>Location</w:t>
            </w:r>
          </w:p>
        </w:tc>
        <w:tc>
          <w:tcPr>
            <w:tcW w:w="1100" w:type="dxa"/>
            <w:vAlign w:val="bottom"/>
            <w:gridSpan w:val="2"/>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Type of</w:t>
            </w:r>
          </w:p>
        </w:tc>
        <w:tc>
          <w:tcPr>
            <w:tcW w:w="7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Leased or</w:t>
            </w:r>
          </w:p>
        </w:tc>
        <w:tc>
          <w:tcPr>
            <w:tcW w:w="0" w:type="dxa"/>
            <w:vAlign w:val="bottom"/>
          </w:tcPr>
          <w:p>
            <w:pPr>
              <w:spacing w:after="0"/>
              <w:rPr>
                <w:sz w:val="1"/>
                <w:szCs w:val="1"/>
                <w:color w:val="auto"/>
              </w:rPr>
            </w:pPr>
          </w:p>
        </w:tc>
      </w:tr>
      <w:tr>
        <w:trPr>
          <w:trHeight w:val="165"/>
        </w:trPr>
        <w:tc>
          <w:tcPr>
            <w:tcW w:w="5540" w:type="dxa"/>
            <w:vAlign w:val="bottom"/>
            <w:gridSpan w:val="2"/>
            <w:vMerge w:val="continue"/>
          </w:tcPr>
          <w:p>
            <w:pPr>
              <w:spacing w:after="0"/>
              <w:rPr>
                <w:sz w:val="14"/>
                <w:szCs w:val="14"/>
                <w:color w:val="auto"/>
              </w:rPr>
            </w:pPr>
          </w:p>
        </w:tc>
        <w:tc>
          <w:tcPr>
            <w:tcW w:w="110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Facility</w:t>
            </w:r>
          </w:p>
        </w:tc>
        <w:tc>
          <w:tcPr>
            <w:tcW w:w="720" w:type="dxa"/>
            <w:vAlign w:val="bottom"/>
          </w:tcPr>
          <w:p>
            <w:pPr>
              <w:spacing w:after="0"/>
              <w:rPr>
                <w:sz w:val="14"/>
                <w:szCs w:val="14"/>
                <w:color w:val="auto"/>
              </w:rPr>
            </w:pPr>
          </w:p>
        </w:tc>
        <w:tc>
          <w:tcPr>
            <w:tcW w:w="14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Size</w:t>
            </w: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Owned</w:t>
            </w:r>
          </w:p>
        </w:tc>
        <w:tc>
          <w:tcPr>
            <w:tcW w:w="0" w:type="dxa"/>
            <w:vAlign w:val="bottom"/>
          </w:tcPr>
          <w:p>
            <w:pPr>
              <w:spacing w:after="0"/>
              <w:rPr>
                <w:sz w:val="1"/>
                <w:szCs w:val="1"/>
                <w:color w:val="auto"/>
              </w:rPr>
            </w:pPr>
          </w:p>
        </w:tc>
      </w:tr>
      <w:tr>
        <w:trPr>
          <w:trHeight w:val="195"/>
        </w:trPr>
        <w:tc>
          <w:tcPr>
            <w:tcW w:w="5260" w:type="dxa"/>
            <w:vAlign w:val="bottom"/>
            <w:tcBorders>
              <w:top w:val="single" w:sz="8" w:color="auto"/>
            </w:tcBorders>
          </w:tcPr>
          <w:p>
            <w:pPr>
              <w:spacing w:after="0" w:line="195" w:lineRule="exact"/>
              <w:rPr>
                <w:sz w:val="20"/>
                <w:szCs w:val="20"/>
                <w:color w:val="auto"/>
              </w:rPr>
            </w:pPr>
            <w:r>
              <w:rPr>
                <w:rFonts w:ascii="Times New Roman" w:cs="Times New Roman" w:eastAsia="Times New Roman" w:hAnsi="Times New Roman"/>
                <w:sz w:val="18"/>
                <w:szCs w:val="18"/>
                <w:color w:val="auto"/>
              </w:rPr>
              <w:t>Staten Island, New York</w:t>
            </w:r>
          </w:p>
        </w:tc>
        <w:tc>
          <w:tcPr>
            <w:tcW w:w="280" w:type="dxa"/>
            <w:vAlign w:val="bottom"/>
          </w:tcPr>
          <w:p>
            <w:pPr>
              <w:spacing w:after="0"/>
              <w:rPr>
                <w:sz w:val="16"/>
                <w:szCs w:val="16"/>
                <w:color w:val="auto"/>
              </w:rPr>
            </w:pPr>
          </w:p>
        </w:tc>
        <w:tc>
          <w:tcPr>
            <w:tcW w:w="700" w:type="dxa"/>
            <w:vAlign w:val="bottom"/>
            <w:tcBorders>
              <w:top w:val="single" w:sz="8" w:color="auto"/>
            </w:tcBorders>
          </w:tcPr>
          <w:p>
            <w:pPr>
              <w:jc w:val="right"/>
              <w:spacing w:after="0" w:line="195" w:lineRule="exact"/>
              <w:rPr>
                <w:sz w:val="20"/>
                <w:szCs w:val="20"/>
                <w:color w:val="auto"/>
              </w:rPr>
            </w:pPr>
            <w:r>
              <w:rPr>
                <w:rFonts w:ascii="Times New Roman" w:cs="Times New Roman" w:eastAsia="Times New Roman" w:hAnsi="Times New Roman"/>
                <w:sz w:val="18"/>
                <w:szCs w:val="18"/>
                <w:color w:val="auto"/>
              </w:rPr>
              <w:t>Yard</w:t>
            </w:r>
          </w:p>
        </w:tc>
        <w:tc>
          <w:tcPr>
            <w:tcW w:w="400" w:type="dxa"/>
            <w:vAlign w:val="bottom"/>
          </w:tcPr>
          <w:p>
            <w:pPr>
              <w:spacing w:after="0"/>
              <w:rPr>
                <w:sz w:val="16"/>
                <w:szCs w:val="16"/>
                <w:color w:val="auto"/>
              </w:rPr>
            </w:pPr>
          </w:p>
        </w:tc>
        <w:tc>
          <w:tcPr>
            <w:tcW w:w="720" w:type="dxa"/>
            <w:vAlign w:val="bottom"/>
            <w:tcBorders>
              <w:top w:val="single" w:sz="8" w:color="auto"/>
            </w:tcBorders>
          </w:tcPr>
          <w:p>
            <w:pPr>
              <w:jc w:val="right"/>
              <w:spacing w:after="0" w:line="195" w:lineRule="exact"/>
              <w:rPr>
                <w:sz w:val="20"/>
                <w:szCs w:val="20"/>
                <w:color w:val="auto"/>
              </w:rPr>
            </w:pPr>
            <w:r>
              <w:rPr>
                <w:rFonts w:ascii="Times New Roman" w:cs="Times New Roman" w:eastAsia="Times New Roman" w:hAnsi="Times New Roman"/>
                <w:sz w:val="18"/>
                <w:szCs w:val="18"/>
                <w:color w:val="auto"/>
              </w:rPr>
              <w:t>4.4</w:t>
            </w:r>
          </w:p>
        </w:tc>
        <w:tc>
          <w:tcPr>
            <w:tcW w:w="1120" w:type="dxa"/>
            <w:vAlign w:val="bottom"/>
            <w:tcBorders>
              <w:top w:val="single" w:sz="8" w:color="auto"/>
            </w:tcBorders>
          </w:tcPr>
          <w:p>
            <w:pPr>
              <w:ind w:left="160"/>
              <w:spacing w:after="0" w:line="195" w:lineRule="exact"/>
              <w:rPr>
                <w:sz w:val="20"/>
                <w:szCs w:val="20"/>
                <w:color w:val="auto"/>
              </w:rPr>
            </w:pPr>
            <w:r>
              <w:rPr>
                <w:rFonts w:ascii="Times New Roman" w:cs="Times New Roman" w:eastAsia="Times New Roman" w:hAnsi="Times New Roman"/>
                <w:sz w:val="18"/>
                <w:szCs w:val="18"/>
                <w:color w:val="auto"/>
              </w:rPr>
              <w:t>Acres</w:t>
            </w:r>
          </w:p>
        </w:tc>
        <w:tc>
          <w:tcPr>
            <w:tcW w:w="300" w:type="dxa"/>
            <w:vAlign w:val="bottom"/>
          </w:tcPr>
          <w:p>
            <w:pPr>
              <w:spacing w:after="0"/>
              <w:rPr>
                <w:sz w:val="16"/>
                <w:szCs w:val="16"/>
                <w:color w:val="auto"/>
              </w:rPr>
            </w:pPr>
          </w:p>
        </w:tc>
        <w:tc>
          <w:tcPr>
            <w:tcW w:w="680" w:type="dxa"/>
            <w:vAlign w:val="bottom"/>
            <w:tcBorders>
              <w:top w:val="single" w:sz="8" w:color="auto"/>
            </w:tcBorders>
          </w:tcPr>
          <w:p>
            <w:pPr>
              <w:jc w:val="right"/>
              <w:spacing w:after="0" w:line="195" w:lineRule="exact"/>
              <w:rPr>
                <w:sz w:val="20"/>
                <w:szCs w:val="20"/>
                <w:color w:val="auto"/>
              </w:rPr>
            </w:pPr>
            <w:r>
              <w:rPr>
                <w:rFonts w:ascii="Times New Roman" w:cs="Times New Roman" w:eastAsia="Times New Roman" w:hAnsi="Times New Roman"/>
                <w:sz w:val="18"/>
                <w:szCs w:val="18"/>
                <w:color w:val="auto"/>
              </w:rPr>
              <w:t>Owned</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Morgan City, Louisiana</w:t>
            </w:r>
          </w:p>
        </w:tc>
        <w:tc>
          <w:tcPr>
            <w:tcW w:w="11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Yard</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4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Acres</w:t>
            </w: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Owned</w:t>
            </w:r>
          </w:p>
        </w:tc>
        <w:tc>
          <w:tcPr>
            <w:tcW w:w="0" w:type="dxa"/>
            <w:vAlign w:val="bottom"/>
          </w:tcPr>
          <w:p>
            <w:pPr>
              <w:spacing w:after="0"/>
              <w:rPr>
                <w:sz w:val="1"/>
                <w:szCs w:val="1"/>
                <w:color w:val="auto"/>
              </w:rPr>
            </w:pPr>
          </w:p>
        </w:tc>
      </w:tr>
      <w:tr>
        <w:trPr>
          <w:trHeight w:val="216"/>
        </w:trPr>
        <w:tc>
          <w:tcPr>
            <w:tcW w:w="5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Baltimore, Maryland</w:t>
            </w:r>
          </w:p>
        </w:tc>
        <w:tc>
          <w:tcPr>
            <w:tcW w:w="11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Yard</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4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Acres</w:t>
            </w: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Leased</w:t>
            </w:r>
          </w:p>
        </w:tc>
        <w:tc>
          <w:tcPr>
            <w:tcW w:w="0" w:type="dxa"/>
            <w:vAlign w:val="bottom"/>
          </w:tcPr>
          <w:p>
            <w:pPr>
              <w:spacing w:after="0"/>
              <w:rPr>
                <w:sz w:val="1"/>
                <w:szCs w:val="1"/>
                <w:color w:val="auto"/>
              </w:rPr>
            </w:pPr>
          </w:p>
        </w:tc>
      </w:tr>
      <w:tr>
        <w:trPr>
          <w:trHeight w:val="216"/>
        </w:trPr>
        <w:tc>
          <w:tcPr>
            <w:tcW w:w="5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Green Cove Springs, Florida</w:t>
            </w:r>
          </w:p>
        </w:tc>
        <w:tc>
          <w:tcPr>
            <w:tcW w:w="11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Yard</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4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Acres</w:t>
            </w: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Leased</w:t>
            </w:r>
          </w:p>
        </w:tc>
        <w:tc>
          <w:tcPr>
            <w:tcW w:w="0" w:type="dxa"/>
            <w:vAlign w:val="bottom"/>
          </w:tcPr>
          <w:p>
            <w:pPr>
              <w:spacing w:after="0"/>
              <w:rPr>
                <w:sz w:val="1"/>
                <w:szCs w:val="1"/>
                <w:color w:val="auto"/>
              </w:rPr>
            </w:pPr>
          </w:p>
        </w:tc>
      </w:tr>
      <w:tr>
        <w:trPr>
          <w:trHeight w:val="216"/>
        </w:trPr>
        <w:tc>
          <w:tcPr>
            <w:tcW w:w="5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Norfolk, Virginia</w:t>
            </w:r>
          </w:p>
        </w:tc>
        <w:tc>
          <w:tcPr>
            <w:tcW w:w="11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Yard</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4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Acres</w:t>
            </w: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Leased</w:t>
            </w:r>
          </w:p>
        </w:tc>
        <w:tc>
          <w:tcPr>
            <w:tcW w:w="0" w:type="dxa"/>
            <w:vAlign w:val="bottom"/>
          </w:tcPr>
          <w:p>
            <w:pPr>
              <w:spacing w:after="0"/>
              <w:rPr>
                <w:sz w:val="1"/>
                <w:szCs w:val="1"/>
                <w:color w:val="auto"/>
              </w:rPr>
            </w:pPr>
          </w:p>
        </w:tc>
      </w:tr>
      <w:tr>
        <w:trPr>
          <w:trHeight w:val="216"/>
        </w:trPr>
        <w:tc>
          <w:tcPr>
            <w:tcW w:w="5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Kingwood, Texas</w:t>
            </w:r>
          </w:p>
        </w:tc>
        <w:tc>
          <w:tcPr>
            <w:tcW w:w="11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Office</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14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Square feet</w:t>
            </w: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Leased</w:t>
            </w:r>
          </w:p>
        </w:tc>
        <w:tc>
          <w:tcPr>
            <w:tcW w:w="0" w:type="dxa"/>
            <w:vAlign w:val="bottom"/>
          </w:tcPr>
          <w:p>
            <w:pPr>
              <w:spacing w:after="0"/>
              <w:rPr>
                <w:sz w:val="1"/>
                <w:szCs w:val="1"/>
                <w:color w:val="auto"/>
              </w:rPr>
            </w:pPr>
          </w:p>
        </w:tc>
      </w:tr>
      <w:tr>
        <w:trPr>
          <w:trHeight w:val="216"/>
        </w:trPr>
        <w:tc>
          <w:tcPr>
            <w:tcW w:w="5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Burlington, Iowa*</w:t>
            </w:r>
          </w:p>
        </w:tc>
        <w:tc>
          <w:tcPr>
            <w:tcW w:w="11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Office</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4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Square feet</w:t>
            </w: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Leased</w:t>
            </w:r>
          </w:p>
        </w:tc>
        <w:tc>
          <w:tcPr>
            <w:tcW w:w="0" w:type="dxa"/>
            <w:vAlign w:val="bottom"/>
          </w:tcPr>
          <w:p>
            <w:pPr>
              <w:spacing w:after="0"/>
              <w:rPr>
                <w:sz w:val="1"/>
                <w:szCs w:val="1"/>
                <w:color w:val="auto"/>
              </w:rPr>
            </w:pPr>
          </w:p>
        </w:tc>
      </w:tr>
      <w:tr>
        <w:trPr>
          <w:trHeight w:val="216"/>
        </w:trPr>
        <w:tc>
          <w:tcPr>
            <w:tcW w:w="5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Burlington, Iowa*</w:t>
            </w:r>
          </w:p>
        </w:tc>
        <w:tc>
          <w:tcPr>
            <w:tcW w:w="11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Storage</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w:t>
            </w:r>
          </w:p>
        </w:tc>
        <w:tc>
          <w:tcPr>
            <w:tcW w:w="14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Square feet</w:t>
            </w: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Leased</w:t>
            </w:r>
          </w:p>
        </w:tc>
        <w:tc>
          <w:tcPr>
            <w:tcW w:w="0" w:type="dxa"/>
            <w:vAlign w:val="bottom"/>
          </w:tcPr>
          <w:p>
            <w:pPr>
              <w:spacing w:after="0"/>
              <w:rPr>
                <w:sz w:val="1"/>
                <w:szCs w:val="1"/>
                <w:color w:val="auto"/>
              </w:rPr>
            </w:pPr>
          </w:p>
        </w:tc>
      </w:tr>
      <w:tr>
        <w:trPr>
          <w:trHeight w:val="216"/>
        </w:trPr>
        <w:tc>
          <w:tcPr>
            <w:tcW w:w="5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Des Moines County, Iowa</w:t>
            </w:r>
          </w:p>
        </w:tc>
        <w:tc>
          <w:tcPr>
            <w:tcW w:w="11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Yard</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w:t>
            </w:r>
          </w:p>
        </w:tc>
        <w:tc>
          <w:tcPr>
            <w:tcW w:w="14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Acres</w:t>
            </w: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Leased</w:t>
            </w:r>
          </w:p>
        </w:tc>
        <w:tc>
          <w:tcPr>
            <w:tcW w:w="0" w:type="dxa"/>
            <w:vAlign w:val="bottom"/>
          </w:tcPr>
          <w:p>
            <w:pPr>
              <w:spacing w:after="0"/>
              <w:rPr>
                <w:sz w:val="1"/>
                <w:szCs w:val="1"/>
                <w:color w:val="auto"/>
              </w:rPr>
            </w:pPr>
          </w:p>
        </w:tc>
      </w:tr>
      <w:tr>
        <w:trPr>
          <w:trHeight w:val="228"/>
        </w:trPr>
        <w:tc>
          <w:tcPr>
            <w:tcW w:w="5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Little Rock, Arkansas</w:t>
            </w:r>
          </w:p>
        </w:tc>
        <w:tc>
          <w:tcPr>
            <w:tcW w:w="11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Yard</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4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Acres</w:t>
            </w: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Leased</w:t>
            </w:r>
          </w:p>
        </w:tc>
        <w:tc>
          <w:tcPr>
            <w:tcW w:w="0" w:type="dxa"/>
            <w:vAlign w:val="bottom"/>
          </w:tcPr>
          <w:p>
            <w:pPr>
              <w:spacing w:after="0"/>
              <w:rPr>
                <w:sz w:val="1"/>
                <w:szCs w:val="1"/>
                <w:color w:val="auto"/>
              </w:rPr>
            </w:pPr>
          </w:p>
        </w:tc>
      </w:tr>
    </w:tbl>
    <w:p>
      <w:pPr>
        <w:spacing w:after="0" w:line="69" w:lineRule="exact"/>
        <w:rPr>
          <w:sz w:val="20"/>
          <w:szCs w:val="20"/>
          <w:color w:val="auto"/>
        </w:rPr>
      </w:pPr>
    </w:p>
    <w:p>
      <w:pPr>
        <w:ind w:left="220" w:right="360" w:hanging="212"/>
        <w:spacing w:after="0" w:line="275" w:lineRule="auto"/>
        <w:tabs>
          <w:tab w:leader="none" w:pos="2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facilities are leased from L.W. Matteson, Inc., which is owned by members of the Matteson family, pursuant to a lease that expired in 2012 and was renewed on a year-to-year basis. See Note 13 to the Company’s consolidated financial statements.</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400"/>
          </w:cols>
          <w:pgMar w:left="240" w:top="455" w:right="259" w:bottom="1440" w:gutter="0" w:footer="0" w:header="0"/>
        </w:sectPr>
      </w:pPr>
    </w:p>
    <w:bookmarkStart w:id="31" w:name="page32"/>
    <w:bookmarkEnd w:id="3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Demolition</w:t>
      </w:r>
    </w:p>
    <w:p>
      <w:pPr>
        <w:spacing w:after="0" w:line="199"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740" w:type="dxa"/>
            <w:vAlign w:val="bottom"/>
            <w:gridSpan w:val="2"/>
            <w:vMerge w:val="restart"/>
          </w:tcPr>
          <w:p>
            <w:pPr>
              <w:ind w:left="2480"/>
              <w:spacing w:after="0"/>
              <w:rPr>
                <w:sz w:val="20"/>
                <w:szCs w:val="20"/>
                <w:color w:val="auto"/>
              </w:rPr>
            </w:pPr>
            <w:r>
              <w:rPr>
                <w:rFonts w:ascii="Times New Roman" w:cs="Times New Roman" w:eastAsia="Times New Roman" w:hAnsi="Times New Roman"/>
                <w:sz w:val="14"/>
                <w:szCs w:val="14"/>
                <w:b w:val="1"/>
                <w:bCs w:val="1"/>
                <w:color w:val="auto"/>
              </w:rPr>
              <w:t>Location</w:t>
            </w:r>
          </w:p>
        </w:tc>
        <w:tc>
          <w:tcPr>
            <w:tcW w:w="9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Type of</w:t>
            </w:r>
          </w:p>
        </w:tc>
        <w:tc>
          <w:tcPr>
            <w:tcW w:w="7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Leased or</w:t>
            </w:r>
          </w:p>
        </w:tc>
        <w:tc>
          <w:tcPr>
            <w:tcW w:w="0" w:type="dxa"/>
            <w:vAlign w:val="bottom"/>
          </w:tcPr>
          <w:p>
            <w:pPr>
              <w:spacing w:after="0"/>
              <w:rPr>
                <w:sz w:val="1"/>
                <w:szCs w:val="1"/>
                <w:color w:val="auto"/>
              </w:rPr>
            </w:pPr>
          </w:p>
        </w:tc>
      </w:tr>
      <w:tr>
        <w:trPr>
          <w:trHeight w:val="165"/>
        </w:trPr>
        <w:tc>
          <w:tcPr>
            <w:tcW w:w="5740" w:type="dxa"/>
            <w:vAlign w:val="bottom"/>
            <w:gridSpan w:val="2"/>
            <w:vMerge w:val="continue"/>
          </w:tcPr>
          <w:p>
            <w:pPr>
              <w:spacing w:after="0"/>
              <w:rPr>
                <w:sz w:val="14"/>
                <w:szCs w:val="14"/>
                <w:color w:val="auto"/>
              </w:rPr>
            </w:pPr>
          </w:p>
        </w:tc>
        <w:tc>
          <w:tcPr>
            <w:tcW w:w="9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Facility</w:t>
            </w:r>
          </w:p>
        </w:tc>
        <w:tc>
          <w:tcPr>
            <w:tcW w:w="700" w:type="dxa"/>
            <w:vAlign w:val="bottom"/>
          </w:tcPr>
          <w:p>
            <w:pPr>
              <w:spacing w:after="0"/>
              <w:rPr>
                <w:sz w:val="14"/>
                <w:szCs w:val="14"/>
                <w:color w:val="auto"/>
              </w:rPr>
            </w:pPr>
          </w:p>
        </w:tc>
        <w:tc>
          <w:tcPr>
            <w:tcW w:w="13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Size</w:t>
            </w:r>
          </w:p>
        </w:tc>
        <w:tc>
          <w:tcPr>
            <w:tcW w:w="70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Owned</w:t>
            </w:r>
          </w:p>
        </w:tc>
        <w:tc>
          <w:tcPr>
            <w:tcW w:w="0" w:type="dxa"/>
            <w:vAlign w:val="bottom"/>
          </w:tcPr>
          <w:p>
            <w:pPr>
              <w:spacing w:after="0"/>
              <w:rPr>
                <w:sz w:val="1"/>
                <w:szCs w:val="1"/>
                <w:color w:val="auto"/>
              </w:rPr>
            </w:pPr>
          </w:p>
        </w:tc>
      </w:tr>
      <w:tr>
        <w:trPr>
          <w:trHeight w:val="195"/>
        </w:trPr>
        <w:tc>
          <w:tcPr>
            <w:tcW w:w="5460" w:type="dxa"/>
            <w:vAlign w:val="bottom"/>
            <w:tcBorders>
              <w:top w:val="single" w:sz="8" w:color="auto"/>
            </w:tcBorders>
          </w:tcPr>
          <w:p>
            <w:pPr>
              <w:spacing w:after="0" w:line="195" w:lineRule="exact"/>
              <w:rPr>
                <w:sz w:val="20"/>
                <w:szCs w:val="20"/>
                <w:color w:val="auto"/>
              </w:rPr>
            </w:pPr>
            <w:r>
              <w:rPr>
                <w:rFonts w:ascii="Times New Roman" w:cs="Times New Roman" w:eastAsia="Times New Roman" w:hAnsi="Times New Roman"/>
                <w:sz w:val="18"/>
                <w:szCs w:val="18"/>
                <w:color w:val="auto"/>
              </w:rPr>
              <w:t>Waltham, Massachusetts*</w:t>
            </w:r>
          </w:p>
        </w:tc>
        <w:tc>
          <w:tcPr>
            <w:tcW w:w="280" w:type="dxa"/>
            <w:vAlign w:val="bottom"/>
          </w:tcPr>
          <w:p>
            <w:pPr>
              <w:spacing w:after="0"/>
              <w:rPr>
                <w:sz w:val="16"/>
                <w:szCs w:val="16"/>
                <w:color w:val="auto"/>
              </w:rPr>
            </w:pPr>
          </w:p>
        </w:tc>
        <w:tc>
          <w:tcPr>
            <w:tcW w:w="580" w:type="dxa"/>
            <w:vAlign w:val="bottom"/>
            <w:tcBorders>
              <w:top w:val="single" w:sz="8" w:color="auto"/>
            </w:tcBorders>
          </w:tcPr>
          <w:p>
            <w:pPr>
              <w:jc w:val="right"/>
              <w:spacing w:after="0" w:line="195" w:lineRule="exact"/>
              <w:rPr>
                <w:sz w:val="20"/>
                <w:szCs w:val="20"/>
                <w:color w:val="auto"/>
              </w:rPr>
            </w:pPr>
            <w:r>
              <w:rPr>
                <w:rFonts w:ascii="Times New Roman" w:cs="Times New Roman" w:eastAsia="Times New Roman" w:hAnsi="Times New Roman"/>
                <w:sz w:val="18"/>
                <w:szCs w:val="18"/>
                <w:color w:val="auto"/>
              </w:rPr>
              <w:t>Office</w:t>
            </w:r>
          </w:p>
        </w:tc>
        <w:tc>
          <w:tcPr>
            <w:tcW w:w="380" w:type="dxa"/>
            <w:vAlign w:val="bottom"/>
          </w:tcPr>
          <w:p>
            <w:pPr>
              <w:spacing w:after="0"/>
              <w:rPr>
                <w:sz w:val="16"/>
                <w:szCs w:val="16"/>
                <w:color w:val="auto"/>
              </w:rPr>
            </w:pPr>
          </w:p>
        </w:tc>
        <w:tc>
          <w:tcPr>
            <w:tcW w:w="700" w:type="dxa"/>
            <w:vAlign w:val="bottom"/>
            <w:tcBorders>
              <w:top w:val="single" w:sz="8" w:color="auto"/>
            </w:tcBorders>
          </w:tcPr>
          <w:p>
            <w:pPr>
              <w:jc w:val="right"/>
              <w:spacing w:after="0" w:line="195" w:lineRule="exact"/>
              <w:rPr>
                <w:sz w:val="20"/>
                <w:szCs w:val="20"/>
                <w:color w:val="auto"/>
              </w:rPr>
            </w:pPr>
            <w:r>
              <w:rPr>
                <w:rFonts w:ascii="Times New Roman" w:cs="Times New Roman" w:eastAsia="Times New Roman" w:hAnsi="Times New Roman"/>
                <w:sz w:val="18"/>
                <w:szCs w:val="18"/>
                <w:color w:val="auto"/>
              </w:rPr>
              <w:t>33,000</w:t>
            </w:r>
          </w:p>
        </w:tc>
        <w:tc>
          <w:tcPr>
            <w:tcW w:w="1100" w:type="dxa"/>
            <w:vAlign w:val="bottom"/>
            <w:tcBorders>
              <w:top w:val="single" w:sz="8" w:color="auto"/>
            </w:tcBorders>
          </w:tcPr>
          <w:p>
            <w:pPr>
              <w:ind w:left="160"/>
              <w:spacing w:after="0" w:line="195" w:lineRule="exact"/>
              <w:rPr>
                <w:sz w:val="20"/>
                <w:szCs w:val="20"/>
                <w:color w:val="auto"/>
              </w:rPr>
            </w:pPr>
            <w:r>
              <w:rPr>
                <w:rFonts w:ascii="Times New Roman" w:cs="Times New Roman" w:eastAsia="Times New Roman" w:hAnsi="Times New Roman"/>
                <w:sz w:val="18"/>
                <w:szCs w:val="18"/>
                <w:color w:val="auto"/>
              </w:rPr>
              <w:t>Square feet</w:t>
            </w:r>
          </w:p>
        </w:tc>
        <w:tc>
          <w:tcPr>
            <w:tcW w:w="280" w:type="dxa"/>
            <w:vAlign w:val="bottom"/>
          </w:tcPr>
          <w:p>
            <w:pPr>
              <w:spacing w:after="0"/>
              <w:rPr>
                <w:sz w:val="16"/>
                <w:szCs w:val="16"/>
                <w:color w:val="auto"/>
              </w:rPr>
            </w:pPr>
          </w:p>
        </w:tc>
        <w:tc>
          <w:tcPr>
            <w:tcW w:w="680" w:type="dxa"/>
            <w:vAlign w:val="bottom"/>
            <w:tcBorders>
              <w:top w:val="single" w:sz="8" w:color="auto"/>
            </w:tcBorders>
          </w:tcPr>
          <w:p>
            <w:pPr>
              <w:ind w:left="180"/>
              <w:spacing w:after="0" w:line="195" w:lineRule="exact"/>
              <w:rPr>
                <w:sz w:val="20"/>
                <w:szCs w:val="20"/>
                <w:color w:val="auto"/>
              </w:rPr>
            </w:pPr>
            <w:r>
              <w:rPr>
                <w:rFonts w:ascii="Times New Roman" w:cs="Times New Roman" w:eastAsia="Times New Roman" w:hAnsi="Times New Roman"/>
                <w:sz w:val="18"/>
                <w:szCs w:val="18"/>
                <w:color w:val="auto"/>
                <w:w w:val="94"/>
              </w:rPr>
              <w:t>Leased</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Billerica, Massachusetts</w:t>
            </w:r>
          </w:p>
        </w:tc>
        <w:tc>
          <w:tcPr>
            <w:tcW w:w="9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Office</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10,400</w:t>
            </w:r>
          </w:p>
        </w:tc>
        <w:tc>
          <w:tcPr>
            <w:tcW w:w="13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Square feet</w:t>
            </w:r>
          </w:p>
        </w:tc>
        <w:tc>
          <w:tcPr>
            <w:tcW w:w="7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w w:val="97"/>
              </w:rPr>
              <w:t>Leased</w:t>
            </w:r>
          </w:p>
        </w:tc>
        <w:tc>
          <w:tcPr>
            <w:tcW w:w="0" w:type="dxa"/>
            <w:vAlign w:val="bottom"/>
          </w:tcPr>
          <w:p>
            <w:pPr>
              <w:spacing w:after="0"/>
              <w:rPr>
                <w:sz w:val="1"/>
                <w:szCs w:val="1"/>
                <w:color w:val="auto"/>
              </w:rPr>
            </w:pPr>
          </w:p>
        </w:tc>
      </w:tr>
      <w:tr>
        <w:trPr>
          <w:trHeight w:val="216"/>
        </w:trPr>
        <w:tc>
          <w:tcPr>
            <w:tcW w:w="5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Kalamazoo, Michigan**</w:t>
            </w:r>
          </w:p>
        </w:tc>
        <w:tc>
          <w:tcPr>
            <w:tcW w:w="9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Office</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33,000</w:t>
            </w:r>
          </w:p>
        </w:tc>
        <w:tc>
          <w:tcPr>
            <w:tcW w:w="13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Square feet</w:t>
            </w:r>
          </w:p>
        </w:tc>
        <w:tc>
          <w:tcPr>
            <w:tcW w:w="7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w w:val="97"/>
              </w:rPr>
              <w:t>Leased</w:t>
            </w:r>
          </w:p>
        </w:tc>
        <w:tc>
          <w:tcPr>
            <w:tcW w:w="0" w:type="dxa"/>
            <w:vAlign w:val="bottom"/>
          </w:tcPr>
          <w:p>
            <w:pPr>
              <w:spacing w:after="0"/>
              <w:rPr>
                <w:sz w:val="1"/>
                <w:szCs w:val="1"/>
                <w:color w:val="auto"/>
              </w:rPr>
            </w:pPr>
          </w:p>
        </w:tc>
      </w:tr>
      <w:tr>
        <w:trPr>
          <w:trHeight w:val="216"/>
        </w:trPr>
        <w:tc>
          <w:tcPr>
            <w:tcW w:w="5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Romulus, Michigan</w:t>
            </w:r>
          </w:p>
        </w:tc>
        <w:tc>
          <w:tcPr>
            <w:tcW w:w="9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Office</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35,250</w:t>
            </w:r>
          </w:p>
        </w:tc>
        <w:tc>
          <w:tcPr>
            <w:tcW w:w="13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Square feet</w:t>
            </w:r>
          </w:p>
        </w:tc>
        <w:tc>
          <w:tcPr>
            <w:tcW w:w="7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w w:val="97"/>
              </w:rPr>
              <w:t>Leased</w:t>
            </w:r>
          </w:p>
        </w:tc>
        <w:tc>
          <w:tcPr>
            <w:tcW w:w="0" w:type="dxa"/>
            <w:vAlign w:val="bottom"/>
          </w:tcPr>
          <w:p>
            <w:pPr>
              <w:spacing w:after="0"/>
              <w:rPr>
                <w:sz w:val="1"/>
                <w:szCs w:val="1"/>
                <w:color w:val="auto"/>
              </w:rPr>
            </w:pPr>
          </w:p>
        </w:tc>
      </w:tr>
      <w:tr>
        <w:trPr>
          <w:trHeight w:val="216"/>
        </w:trPr>
        <w:tc>
          <w:tcPr>
            <w:tcW w:w="5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Romulus, Michigan</w:t>
            </w:r>
          </w:p>
        </w:tc>
        <w:tc>
          <w:tcPr>
            <w:tcW w:w="9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Yard</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3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Acre</w:t>
            </w:r>
          </w:p>
        </w:tc>
        <w:tc>
          <w:tcPr>
            <w:tcW w:w="7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w w:val="97"/>
              </w:rPr>
              <w:t>Leased</w:t>
            </w:r>
          </w:p>
        </w:tc>
        <w:tc>
          <w:tcPr>
            <w:tcW w:w="0" w:type="dxa"/>
            <w:vAlign w:val="bottom"/>
          </w:tcPr>
          <w:p>
            <w:pPr>
              <w:spacing w:after="0"/>
              <w:rPr>
                <w:sz w:val="1"/>
                <w:szCs w:val="1"/>
                <w:color w:val="auto"/>
              </w:rPr>
            </w:pPr>
          </w:p>
        </w:tc>
      </w:tr>
      <w:tr>
        <w:trPr>
          <w:trHeight w:val="228"/>
        </w:trPr>
        <w:tc>
          <w:tcPr>
            <w:tcW w:w="5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Grand Rapids, Michigan</w:t>
            </w:r>
          </w:p>
        </w:tc>
        <w:tc>
          <w:tcPr>
            <w:tcW w:w="9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Office</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7,500</w:t>
            </w:r>
          </w:p>
        </w:tc>
        <w:tc>
          <w:tcPr>
            <w:tcW w:w="13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Square feet</w:t>
            </w:r>
          </w:p>
        </w:tc>
        <w:tc>
          <w:tcPr>
            <w:tcW w:w="7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w w:val="97"/>
              </w:rPr>
              <w:t>Leased</w:t>
            </w:r>
          </w:p>
        </w:tc>
        <w:tc>
          <w:tcPr>
            <w:tcW w:w="0" w:type="dxa"/>
            <w:vAlign w:val="bottom"/>
          </w:tcPr>
          <w:p>
            <w:pPr>
              <w:spacing w:after="0"/>
              <w:rPr>
                <w:sz w:val="1"/>
                <w:szCs w:val="1"/>
                <w:color w:val="auto"/>
              </w:rPr>
            </w:pPr>
          </w:p>
        </w:tc>
      </w:tr>
    </w:tbl>
    <w:p>
      <w:pPr>
        <w:spacing w:after="0" w:line="69" w:lineRule="exact"/>
        <w:rPr>
          <w:sz w:val="20"/>
          <w:szCs w:val="20"/>
          <w:color w:val="auto"/>
        </w:rPr>
      </w:pPr>
    </w:p>
    <w:p>
      <w:pPr>
        <w:ind w:left="460" w:right="40" w:hanging="452"/>
        <w:spacing w:after="0" w:line="257" w:lineRule="auto"/>
        <w:tabs>
          <w:tab w:leader="none" w:pos="4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demolition segment leases this facility in Waltham, Massachusetts, from a minority interest owner in Yankee and prior to 2011, a profits interest owner in NASDI, pursuant to a lease that expires in 2016. See Note 13 to the Company’s consolidated financial statements.</w:t>
      </w:r>
    </w:p>
    <w:p>
      <w:pPr>
        <w:spacing w:after="0" w:line="1" w:lineRule="exact"/>
        <w:rPr>
          <w:sz w:val="20"/>
          <w:szCs w:val="20"/>
          <w:color w:val="auto"/>
        </w:rPr>
      </w:pPr>
    </w:p>
    <w:p>
      <w:pPr>
        <w:ind w:left="460" w:right="140" w:hanging="452"/>
        <w:spacing w:after="0" w:line="261" w:lineRule="auto"/>
        <w:tabs>
          <w:tab w:leader="none" w:pos="4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demolition segment leases the Kalamazoo, Michigan facilities from the President of Terra Contracting Services, LLC who was also the former owner of Terra Contracting, LLC, pursuant to leases expiring in 2015. See Note 13 to the Company’s consolidated financial statements.</w:t>
      </w:r>
    </w:p>
    <w:p>
      <w:pPr>
        <w:spacing w:after="0" w:line="25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6"/>
          <w:szCs w:val="16"/>
          <w:b w:val="1"/>
          <w:bCs w:val="1"/>
          <w:color w:val="auto"/>
        </w:rPr>
        <w:t>Legal Proceedings</w:t>
      </w:r>
    </w:p>
    <w:p>
      <w:pPr>
        <w:spacing w:after="0" w:line="92" w:lineRule="exact"/>
        <w:rPr>
          <w:sz w:val="20"/>
          <w:szCs w:val="20"/>
          <w:color w:val="auto"/>
        </w:rPr>
      </w:pPr>
    </w:p>
    <w:p>
      <w:pPr>
        <w:ind w:right="120" w:firstLine="456"/>
        <w:spacing w:after="0" w:line="255" w:lineRule="auto"/>
        <w:rPr>
          <w:sz w:val="20"/>
          <w:szCs w:val="20"/>
          <w:color w:val="auto"/>
        </w:rPr>
      </w:pPr>
      <w:r>
        <w:rPr>
          <w:rFonts w:ascii="Times New Roman" w:cs="Times New Roman" w:eastAsia="Times New Roman" w:hAnsi="Times New Roman"/>
          <w:sz w:val="18"/>
          <w:szCs w:val="18"/>
          <w:color w:val="auto"/>
        </w:rPr>
        <w:t>Various legal actions, claims, assessments and other contingencies arising in the ordinary course of business are pending against the Company and certain of its subsidiaries. These matters are subject to many uncertainties, and it is possible that some of these matters could ultimately be decided, resolved, or settled adversely to the Company. Although the Company is subject to various claims and legal actions that arise in the ordinary course of business, except as described below, the Company is not currently a party to any material legal proceedings or environmental claims. The Company records an accrual when it is probable a liability has been incurred and the amount of loss can be reasonably estimated. The Company does not believe any of these proceedings, individually or in the aggregate, would be expected to have a material effect on results of operations, cash flows or financial condition.</w:t>
      </w:r>
    </w:p>
    <w:p>
      <w:pPr>
        <w:spacing w:after="0" w:line="139"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On August 26, 2009, the Company’s subsidiary NASDI, LLC (“NASDI”) received a letter stating that the Attorney General for the Commonwealth of Massachusetts is investigating alleged violations of the Massachusetts Solid Waste Act. The Company believes that the Massachusetts Attorney General is investigating illegal dumping activities at a dump site NASDI contracted with to have waste materials disposed of between September 2007 and July 2008. Per the Massachusetts Attorney General’s request, NASDI executed a tolling agreement regarding the matter in 2009 and engaged in further discussions with the Massachusetts Attorney General’s office in the second quarter of 2011, but has had no further contact with the Massachusetts Attorney General’s office since then. The matter remains open, and, to the Company’s knowledge, no proceedings have currently been initiated against NASDI. Should a claim be brought, NASDI intends to defend itself vigorously. Based on consideration of all of the facts and circumstances now known, the Company does not believe this claim will have a material impact on its business, financial position, results of operations or cash flows.</w:t>
      </w:r>
    </w:p>
    <w:p>
      <w:pPr>
        <w:spacing w:after="0" w:line="138" w:lineRule="exact"/>
        <w:rPr>
          <w:sz w:val="20"/>
          <w:szCs w:val="20"/>
          <w:color w:val="auto"/>
        </w:rPr>
      </w:pPr>
    </w:p>
    <w:p>
      <w:pPr>
        <w:ind w:right="120" w:firstLine="456"/>
        <w:spacing w:after="0" w:line="296" w:lineRule="auto"/>
        <w:rPr>
          <w:sz w:val="20"/>
          <w:szCs w:val="20"/>
          <w:color w:val="auto"/>
        </w:rPr>
      </w:pPr>
      <w:r>
        <w:rPr>
          <w:rFonts w:ascii="Times New Roman" w:cs="Times New Roman" w:eastAsia="Times New Roman" w:hAnsi="Times New Roman"/>
          <w:sz w:val="16"/>
          <w:szCs w:val="16"/>
          <w:color w:val="auto"/>
        </w:rPr>
        <w:t>On March 27, 2011, NASDI received a subpoena from a federal grand jury in the District of Massachusetts directing NASDI to furnish certain documents relating to certain projects performed by NASDI since January 2005. The Company conducted an internal investigation into this matter and continues to fully cooperate with the federal grand jury subpoena. Based on the early stage of the U.S. Department of Justice’s investigation and the limited information known to the Company, the Company cannot predict the outcome of the investigation, the U.S. Attorney’s views of the issues being investigated, any action the U.S. Attorney may take, or the impact, if any, that this matter may have on the Company’s business, financial position, results of operations or cash flows.</w:t>
      </w:r>
    </w:p>
    <w:p>
      <w:pPr>
        <w:spacing w:after="0" w:line="108" w:lineRule="exact"/>
        <w:rPr>
          <w:sz w:val="20"/>
          <w:szCs w:val="20"/>
          <w:color w:val="auto"/>
        </w:rPr>
      </w:pPr>
    </w:p>
    <w:p>
      <w:pPr>
        <w:jc w:val="both"/>
        <w:ind w:right="260" w:firstLine="456"/>
        <w:spacing w:after="0" w:line="262" w:lineRule="auto"/>
        <w:rPr>
          <w:sz w:val="20"/>
          <w:szCs w:val="20"/>
          <w:color w:val="auto"/>
        </w:rPr>
      </w:pPr>
      <w:r>
        <w:rPr>
          <w:rFonts w:ascii="Times New Roman" w:cs="Times New Roman" w:eastAsia="Times New Roman" w:hAnsi="Times New Roman"/>
          <w:sz w:val="18"/>
          <w:szCs w:val="18"/>
          <w:color w:val="auto"/>
        </w:rPr>
        <w:t xml:space="preserve">On March 19, 2013, the Company and three of its current and former executives were sued in a securities class action in the Northern District of Illinois captioned </w:t>
      </w:r>
      <w:r>
        <w:rPr>
          <w:rFonts w:ascii="Times New Roman" w:cs="Times New Roman" w:eastAsia="Times New Roman" w:hAnsi="Times New Roman"/>
          <w:sz w:val="18"/>
          <w:szCs w:val="18"/>
          <w:i w:val="1"/>
          <w:iCs w:val="1"/>
          <w:color w:val="auto"/>
        </w:rPr>
        <w:t>United Union of Roofers, Waterproofers &amp; Allied Workers Local Union No. 8 v. Great Lakes Dredge &amp; Dock Corporation et al.</w:t>
      </w:r>
      <w:r>
        <w:rPr>
          <w:rFonts w:ascii="Times New Roman" w:cs="Times New Roman" w:eastAsia="Times New Roman" w:hAnsi="Times New Roman"/>
          <w:sz w:val="18"/>
          <w:szCs w:val="18"/>
          <w:color w:val="auto"/>
        </w:rPr>
        <w:t>, Case No. 1:13-cv-02115. The</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400"/>
          </w:cols>
          <w:pgMar w:left="240" w:top="455" w:right="259" w:bottom="1440" w:gutter="0" w:footer="0" w:header="0"/>
        </w:sectPr>
      </w:pPr>
    </w:p>
    <w:bookmarkStart w:id="32" w:name="page33"/>
    <w:bookmarkEnd w:id="3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220"/>
        <w:spacing w:after="0" w:line="256" w:lineRule="auto"/>
        <w:rPr>
          <w:sz w:val="20"/>
          <w:szCs w:val="20"/>
          <w:color w:val="auto"/>
        </w:rPr>
      </w:pPr>
      <w:r>
        <w:rPr>
          <w:rFonts w:ascii="Times New Roman" w:cs="Times New Roman" w:eastAsia="Times New Roman" w:hAnsi="Times New Roman"/>
          <w:sz w:val="18"/>
          <w:szCs w:val="18"/>
          <w:color w:val="auto"/>
        </w:rPr>
        <w:t xml:space="preserve">lawsuit, which was brought on behalf of all purchasers of the Company’s securities between August 7, 2012 and March 14, 2013, primarily alleges that the defendants made false and misleading statements regarding the recognition of revenue in the demolition segment and with regard to the Company’s internal control over financial reporting. This suit was filed following the Company’s announcement on March 14, 2013 that it would restate its second and third quarter 2012 financial statements. A second, similar lawsuit captioned </w:t>
      </w:r>
      <w:r>
        <w:rPr>
          <w:rFonts w:ascii="Times New Roman" w:cs="Times New Roman" w:eastAsia="Times New Roman" w:hAnsi="Times New Roman"/>
          <w:sz w:val="18"/>
          <w:szCs w:val="18"/>
          <w:i w:val="1"/>
          <w:iCs w:val="1"/>
          <w:color w:val="auto"/>
        </w:rPr>
        <w:t>Boozer v. Great Lakes Dredge &amp; Dock Corporation et al.</w:t>
      </w:r>
      <w:r>
        <w:rPr>
          <w:rFonts w:ascii="Times New Roman" w:cs="Times New Roman" w:eastAsia="Times New Roman" w:hAnsi="Times New Roman"/>
          <w:sz w:val="18"/>
          <w:szCs w:val="18"/>
          <w:color w:val="auto"/>
        </w:rPr>
        <w:t>, Case No. 1:13-cv-02339, was filed in the Northern District of Illinois on March 28, 2013. The Company denies liability and intends to vigorously defend these actions.</w:t>
      </w:r>
    </w:p>
    <w:p>
      <w:pPr>
        <w:spacing w:after="0" w:line="139" w:lineRule="exact"/>
        <w:rPr>
          <w:sz w:val="20"/>
          <w:szCs w:val="20"/>
          <w:color w:val="auto"/>
        </w:rPr>
      </w:pPr>
    </w:p>
    <w:p>
      <w:pPr>
        <w:ind w:firstLine="456"/>
        <w:spacing w:after="0" w:line="275" w:lineRule="auto"/>
        <w:rPr>
          <w:sz w:val="20"/>
          <w:szCs w:val="20"/>
          <w:color w:val="auto"/>
        </w:rPr>
      </w:pPr>
      <w:r>
        <w:rPr>
          <w:rFonts w:ascii="Times New Roman" w:cs="Times New Roman" w:eastAsia="Times New Roman" w:hAnsi="Times New Roman"/>
          <w:sz w:val="18"/>
          <w:szCs w:val="18"/>
          <w:color w:val="auto"/>
        </w:rPr>
        <w:t>The Company has not accrued any amounts with respect to the above matters as the Company does not believe, based on information currently known to it, that a loss relating to these matters is probable, and an estimate of a range of potential losses relating to these matters cannot reasonably be made.</w:t>
      </w:r>
    </w:p>
    <w:p>
      <w:pPr>
        <w:spacing w:after="0" w:line="120" w:lineRule="exact"/>
        <w:rPr>
          <w:sz w:val="20"/>
          <w:szCs w:val="20"/>
          <w:color w:val="auto"/>
        </w:rPr>
      </w:pPr>
    </w:p>
    <w:p>
      <w:pPr>
        <w:ind w:right="20" w:firstLine="456"/>
        <w:spacing w:after="0" w:line="254" w:lineRule="auto"/>
        <w:rPr>
          <w:sz w:val="20"/>
          <w:szCs w:val="20"/>
          <w:color w:val="auto"/>
        </w:rPr>
      </w:pPr>
      <w:r>
        <w:rPr>
          <w:rFonts w:ascii="Times New Roman" w:cs="Times New Roman" w:eastAsia="Times New Roman" w:hAnsi="Times New Roman"/>
          <w:sz w:val="18"/>
          <w:szCs w:val="18"/>
          <w:color w:val="auto"/>
        </w:rPr>
        <w:t>During the quarter ended March 31, 2012, a favorable judgment was rendered in the Company’s loss of use claim related to the dredge New York allision in the approach channel to Port Newark, New Jersey. In January 2008, the Company filed suit against the M/V Orange Sun and her owners for damages incurred by the Company in connection with the allision. Following a bench trial in the United States District Court in the Southern District of New York, the Court issued an opinion and order in the Company’s favor, entitling Great Lakes to $11.7 million in damages plus pre-judgment interest. Judgment was rendered in the aggregate amount of $13.3 million. Defendants timely appealed the judgment to the United States Court of Appeals for the Second Circuit. Briefing on the appeal is now complete, and oral argument is expected to take place in the first half of 2013. The Company cannot be assured when the appeal will be heard or predict the outcome of the appellate process.</w:t>
      </w:r>
    </w:p>
    <w:p>
      <w:pPr>
        <w:spacing w:after="0" w:line="26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6"/>
          <w:szCs w:val="16"/>
          <w:b w:val="1"/>
          <w:bCs w:val="1"/>
          <w:color w:val="auto"/>
        </w:rPr>
        <w:t>Mine Safety Disclosures</w:t>
      </w:r>
    </w:p>
    <w:p>
      <w:pPr>
        <w:spacing w:after="0" w:line="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Not applicable</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400"/>
          </w:cols>
          <w:pgMar w:left="240" w:top="455" w:right="259" w:bottom="1440" w:gutter="0" w:footer="0" w:header="0"/>
        </w:sectPr>
      </w:pPr>
    </w:p>
    <w:bookmarkStart w:id="33" w:name="page34"/>
    <w:bookmarkEnd w:id="3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12" w:lineRule="exact"/>
        <w:rPr>
          <w:sz w:val="20"/>
          <w:szCs w:val="20"/>
          <w:color w:val="auto"/>
        </w:rPr>
      </w:pPr>
    </w:p>
    <w:p>
      <w:pPr>
        <w:ind w:right="1800"/>
        <w:spacing w:after="0" w:line="345" w:lineRule="auto"/>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 Market Information</w:t>
      </w:r>
    </w:p>
    <w:p>
      <w:pPr>
        <w:spacing w:after="0" w:line="1" w:lineRule="exact"/>
        <w:rPr>
          <w:sz w:val="20"/>
          <w:szCs w:val="20"/>
          <w:color w:val="auto"/>
        </w:rPr>
      </w:pPr>
    </w:p>
    <w:p>
      <w:pPr>
        <w:ind w:firstLine="456"/>
        <w:spacing w:after="0" w:line="275" w:lineRule="auto"/>
        <w:rPr>
          <w:sz w:val="20"/>
          <w:szCs w:val="20"/>
          <w:color w:val="auto"/>
        </w:rPr>
      </w:pPr>
      <w:r>
        <w:rPr>
          <w:rFonts w:ascii="Times New Roman" w:cs="Times New Roman" w:eastAsia="Times New Roman" w:hAnsi="Times New Roman"/>
          <w:sz w:val="18"/>
          <w:szCs w:val="18"/>
          <w:color w:val="auto"/>
        </w:rPr>
        <w:t>Our common stock is traded under the symbol “GLDD” on the NASDAQ Global Market. The table below sets forth, for the calendar quarters indicated, the high and low sales prices of the common stock as reported by NASDAQ from January 1, 2011 through December 31, 2012.</w:t>
      </w:r>
    </w:p>
    <w:p>
      <w:pPr>
        <w:spacing w:after="0" w:line="158" w:lineRule="exact"/>
        <w:rPr>
          <w:sz w:val="20"/>
          <w:szCs w:val="20"/>
          <w:color w:val="auto"/>
        </w:rPr>
      </w:pPr>
    </w:p>
    <w:tbl>
      <w:tblPr>
        <w:tblLayout w:type="fixed"/>
        <w:tblInd w:w="1380" w:type="dxa"/>
        <w:tblCellMar>
          <w:top w:w="0" w:type="dxa"/>
          <w:left w:w="0" w:type="dxa"/>
          <w:bottom w:w="0" w:type="dxa"/>
          <w:right w:w="0" w:type="dxa"/>
        </w:tblCellMar>
      </w:tblPr>
      <w:tr>
        <w:trPr>
          <w:trHeight w:val="165"/>
        </w:trPr>
        <w:tc>
          <w:tcPr>
            <w:tcW w:w="436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1440" w:type="dxa"/>
            <w:vAlign w:val="bottom"/>
            <w:gridSpan w:val="4"/>
          </w:tcPr>
          <w:p>
            <w:pPr>
              <w:ind w:left="240"/>
              <w:spacing w:after="0"/>
              <w:rPr>
                <w:sz w:val="20"/>
                <w:szCs w:val="20"/>
                <w:color w:val="auto"/>
              </w:rPr>
            </w:pPr>
            <w:r>
              <w:rPr>
                <w:rFonts w:ascii="Times New Roman" w:cs="Times New Roman" w:eastAsia="Times New Roman" w:hAnsi="Times New Roman"/>
                <w:sz w:val="14"/>
                <w:szCs w:val="14"/>
                <w:b w:val="1"/>
                <w:bCs w:val="1"/>
                <w:color w:val="auto"/>
              </w:rPr>
              <w:t>Common Stock</w:t>
            </w:r>
          </w:p>
        </w:tc>
      </w:tr>
      <w:tr>
        <w:trPr>
          <w:trHeight w:val="142"/>
        </w:trPr>
        <w:tc>
          <w:tcPr>
            <w:tcW w:w="4360" w:type="dxa"/>
            <w:vAlign w:val="bottom"/>
            <w:tcBorders>
              <w:bottom w:val="single" w:sz="8" w:color="CCEEFF"/>
            </w:tcBorders>
          </w:tcPr>
          <w:p>
            <w:pPr>
              <w:spacing w:after="0"/>
              <w:rPr>
                <w:sz w:val="12"/>
                <w:szCs w:val="12"/>
                <w:color w:val="auto"/>
              </w:rPr>
            </w:pPr>
          </w:p>
        </w:tc>
        <w:tc>
          <w:tcPr>
            <w:tcW w:w="2880" w:type="dxa"/>
            <w:vAlign w:val="bottom"/>
            <w:tcBorders>
              <w:bottom w:val="single" w:sz="8" w:color="CCEEFF"/>
            </w:tcBorders>
          </w:tcPr>
          <w:p>
            <w:pPr>
              <w:spacing w:after="0"/>
              <w:rPr>
                <w:sz w:val="12"/>
                <w:szCs w:val="12"/>
                <w:color w:val="auto"/>
              </w:rPr>
            </w:pPr>
          </w:p>
        </w:tc>
        <w:tc>
          <w:tcPr>
            <w:tcW w:w="400" w:type="dxa"/>
            <w:vAlign w:val="bottom"/>
            <w:tcBorders>
              <w:top w:val="single" w:sz="8" w:color="auto"/>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4"/>
              </w:rPr>
              <w:t>High</w:t>
            </w:r>
          </w:p>
        </w:tc>
        <w:tc>
          <w:tcPr>
            <w:tcW w:w="580" w:type="dxa"/>
            <w:vAlign w:val="bottom"/>
            <w:tcBorders>
              <w:top w:val="single" w:sz="8" w:color="auto"/>
              <w:bottom w:val="single" w:sz="8" w:color="CCEEFF"/>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2"/>
              <w:spacing w:after="0" w:line="142" w:lineRule="exact"/>
              <w:rPr>
                <w:sz w:val="20"/>
                <w:szCs w:val="20"/>
                <w:color w:val="auto"/>
              </w:rPr>
            </w:pPr>
            <w:r>
              <w:rPr>
                <w:rFonts w:ascii="Times New Roman" w:cs="Times New Roman" w:eastAsia="Times New Roman" w:hAnsi="Times New Roman"/>
                <w:sz w:val="14"/>
                <w:szCs w:val="14"/>
                <w:b w:val="1"/>
                <w:bCs w:val="1"/>
                <w:color w:val="auto"/>
              </w:rPr>
              <w:t>Low</w:t>
            </w:r>
          </w:p>
        </w:tc>
        <w:tc>
          <w:tcPr>
            <w:tcW w:w="60" w:type="dxa"/>
            <w:vAlign w:val="bottom"/>
            <w:tcBorders>
              <w:bottom w:val="single" w:sz="8" w:color="CCEEFF"/>
            </w:tcBorders>
          </w:tcPr>
          <w:p>
            <w:pPr>
              <w:spacing w:after="0"/>
              <w:rPr>
                <w:sz w:val="12"/>
                <w:szCs w:val="12"/>
                <w:color w:val="auto"/>
              </w:rPr>
            </w:pPr>
          </w:p>
        </w:tc>
      </w:tr>
      <w:tr>
        <w:trPr>
          <w:trHeight w:val="210"/>
        </w:trPr>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First Quarter 2011</w:t>
            </w:r>
          </w:p>
        </w:tc>
        <w:tc>
          <w:tcPr>
            <w:tcW w:w="2880" w:type="dxa"/>
            <w:vAlign w:val="bottom"/>
            <w:shd w:val="clear" w:color="auto" w:fill="CCEEFF"/>
          </w:tcPr>
          <w:p>
            <w:pPr>
              <w:spacing w:after="0"/>
              <w:rPr>
                <w:sz w:val="18"/>
                <w:szCs w:val="18"/>
                <w:color w:val="auto"/>
              </w:rPr>
            </w:pPr>
          </w:p>
        </w:tc>
        <w:tc>
          <w:tcPr>
            <w:tcW w:w="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$8.93</w:t>
            </w: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$7.05</w:t>
            </w:r>
          </w:p>
        </w:tc>
        <w:tc>
          <w:tcPr>
            <w:tcW w:w="60" w:type="dxa"/>
            <w:vAlign w:val="bottom"/>
            <w:shd w:val="clear" w:color="auto" w:fill="CCEEFF"/>
          </w:tcPr>
          <w:p>
            <w:pPr>
              <w:spacing w:after="0"/>
              <w:rPr>
                <w:sz w:val="18"/>
                <w:szCs w:val="18"/>
                <w:color w:val="auto"/>
              </w:rPr>
            </w:pPr>
          </w:p>
        </w:tc>
      </w:tr>
      <w:tr>
        <w:trPr>
          <w:trHeight w:val="216"/>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Second Quarter 2011</w:t>
            </w:r>
          </w:p>
        </w:tc>
        <w:tc>
          <w:tcPr>
            <w:tcW w:w="3280" w:type="dxa"/>
            <w:vAlign w:val="bottom"/>
            <w:gridSpan w:val="2"/>
          </w:tcPr>
          <w:p>
            <w:pPr>
              <w:jc w:val="center"/>
              <w:ind w:left="2792"/>
              <w:spacing w:after="0"/>
              <w:rPr>
                <w:sz w:val="20"/>
                <w:szCs w:val="20"/>
                <w:color w:val="auto"/>
              </w:rPr>
            </w:pPr>
            <w:r>
              <w:rPr>
                <w:rFonts w:ascii="Times New Roman" w:cs="Times New Roman" w:eastAsia="Times New Roman" w:hAnsi="Times New Roman"/>
                <w:sz w:val="18"/>
                <w:szCs w:val="18"/>
                <w:color w:val="auto"/>
                <w:w w:val="98"/>
              </w:rPr>
              <w:t>$7.90</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$5.15</w:t>
            </w:r>
          </w:p>
        </w:tc>
        <w:tc>
          <w:tcPr>
            <w:tcW w:w="60" w:type="dxa"/>
            <w:vAlign w:val="bottom"/>
          </w:tcPr>
          <w:p>
            <w:pPr>
              <w:spacing w:after="0"/>
              <w:rPr>
                <w:sz w:val="18"/>
                <w:szCs w:val="18"/>
                <w:color w:val="auto"/>
              </w:rPr>
            </w:pPr>
          </w:p>
        </w:tc>
      </w:tr>
      <w:tr>
        <w:trPr>
          <w:trHeight w:val="216"/>
        </w:trPr>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Third Quarter 2011</w:t>
            </w:r>
          </w:p>
        </w:tc>
        <w:tc>
          <w:tcPr>
            <w:tcW w:w="3280" w:type="dxa"/>
            <w:vAlign w:val="bottom"/>
            <w:gridSpan w:val="2"/>
            <w:shd w:val="clear" w:color="auto" w:fill="CCEEFF"/>
          </w:tcPr>
          <w:p>
            <w:pPr>
              <w:jc w:val="center"/>
              <w:ind w:left="2792"/>
              <w:spacing w:after="0"/>
              <w:rPr>
                <w:sz w:val="20"/>
                <w:szCs w:val="20"/>
                <w:color w:val="auto"/>
              </w:rPr>
            </w:pPr>
            <w:r>
              <w:rPr>
                <w:rFonts w:ascii="Times New Roman" w:cs="Times New Roman" w:eastAsia="Times New Roman" w:hAnsi="Times New Roman"/>
                <w:sz w:val="18"/>
                <w:szCs w:val="18"/>
                <w:color w:val="auto"/>
                <w:w w:val="98"/>
              </w:rPr>
              <w:t>$6.36</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w:t>
            </w:r>
          </w:p>
        </w:tc>
        <w:tc>
          <w:tcPr>
            <w:tcW w:w="60" w:type="dxa"/>
            <w:vAlign w:val="bottom"/>
            <w:shd w:val="clear" w:color="auto" w:fill="CCEEFF"/>
          </w:tcPr>
          <w:p>
            <w:pPr>
              <w:spacing w:after="0"/>
              <w:rPr>
                <w:sz w:val="18"/>
                <w:szCs w:val="18"/>
                <w:color w:val="auto"/>
              </w:rPr>
            </w:pPr>
          </w:p>
        </w:tc>
      </w:tr>
      <w:tr>
        <w:trPr>
          <w:trHeight w:val="228"/>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Fourth Quarter 2011</w:t>
            </w:r>
          </w:p>
        </w:tc>
        <w:tc>
          <w:tcPr>
            <w:tcW w:w="3280" w:type="dxa"/>
            <w:vAlign w:val="bottom"/>
            <w:gridSpan w:val="2"/>
          </w:tcPr>
          <w:p>
            <w:pPr>
              <w:jc w:val="center"/>
              <w:ind w:left="2792"/>
              <w:spacing w:after="0"/>
              <w:rPr>
                <w:sz w:val="20"/>
                <w:szCs w:val="20"/>
                <w:color w:val="auto"/>
              </w:rPr>
            </w:pPr>
            <w:r>
              <w:rPr>
                <w:rFonts w:ascii="Times New Roman" w:cs="Times New Roman" w:eastAsia="Times New Roman" w:hAnsi="Times New Roman"/>
                <w:sz w:val="18"/>
                <w:szCs w:val="18"/>
                <w:color w:val="auto"/>
                <w:w w:val="98"/>
              </w:rPr>
              <w:t>$6.23</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$4.02</w:t>
            </w:r>
          </w:p>
        </w:tc>
        <w:tc>
          <w:tcPr>
            <w:tcW w:w="60" w:type="dxa"/>
            <w:vAlign w:val="bottom"/>
          </w:tcPr>
          <w:p>
            <w:pPr>
              <w:spacing w:after="0"/>
              <w:rPr>
                <w:sz w:val="19"/>
                <w:szCs w:val="19"/>
                <w:color w:val="auto"/>
              </w:rPr>
            </w:pPr>
          </w:p>
        </w:tc>
      </w:tr>
      <w:tr>
        <w:trPr>
          <w:trHeight w:val="339"/>
        </w:trPr>
        <w:tc>
          <w:tcPr>
            <w:tcW w:w="436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1440" w:type="dxa"/>
            <w:vAlign w:val="bottom"/>
            <w:gridSpan w:val="4"/>
          </w:tcPr>
          <w:p>
            <w:pPr>
              <w:ind w:left="240"/>
              <w:spacing w:after="0"/>
              <w:rPr>
                <w:sz w:val="20"/>
                <w:szCs w:val="20"/>
                <w:color w:val="auto"/>
              </w:rPr>
            </w:pPr>
            <w:r>
              <w:rPr>
                <w:rFonts w:ascii="Times New Roman" w:cs="Times New Roman" w:eastAsia="Times New Roman" w:hAnsi="Times New Roman"/>
                <w:sz w:val="14"/>
                <w:szCs w:val="14"/>
                <w:b w:val="1"/>
                <w:bCs w:val="1"/>
                <w:color w:val="auto"/>
              </w:rPr>
              <w:t>Common Stock</w:t>
            </w:r>
          </w:p>
        </w:tc>
      </w:tr>
      <w:tr>
        <w:trPr>
          <w:trHeight w:val="142"/>
        </w:trPr>
        <w:tc>
          <w:tcPr>
            <w:tcW w:w="4360" w:type="dxa"/>
            <w:vAlign w:val="bottom"/>
            <w:tcBorders>
              <w:bottom w:val="single" w:sz="8" w:color="CCEEFF"/>
            </w:tcBorders>
          </w:tcPr>
          <w:p>
            <w:pPr>
              <w:spacing w:after="0"/>
              <w:rPr>
                <w:sz w:val="12"/>
                <w:szCs w:val="12"/>
                <w:color w:val="auto"/>
              </w:rPr>
            </w:pPr>
          </w:p>
        </w:tc>
        <w:tc>
          <w:tcPr>
            <w:tcW w:w="2880" w:type="dxa"/>
            <w:vAlign w:val="bottom"/>
            <w:tcBorders>
              <w:bottom w:val="single" w:sz="8" w:color="CCEEFF"/>
            </w:tcBorders>
          </w:tcPr>
          <w:p>
            <w:pPr>
              <w:spacing w:after="0"/>
              <w:rPr>
                <w:sz w:val="12"/>
                <w:szCs w:val="12"/>
                <w:color w:val="auto"/>
              </w:rPr>
            </w:pPr>
          </w:p>
        </w:tc>
        <w:tc>
          <w:tcPr>
            <w:tcW w:w="400" w:type="dxa"/>
            <w:vAlign w:val="bottom"/>
            <w:tcBorders>
              <w:top w:val="single" w:sz="8" w:color="auto"/>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4"/>
              </w:rPr>
              <w:t>High</w:t>
            </w:r>
          </w:p>
        </w:tc>
        <w:tc>
          <w:tcPr>
            <w:tcW w:w="580" w:type="dxa"/>
            <w:vAlign w:val="bottom"/>
            <w:tcBorders>
              <w:top w:val="single" w:sz="8" w:color="auto"/>
              <w:bottom w:val="single" w:sz="8" w:color="CCEEFF"/>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2"/>
              <w:spacing w:after="0" w:line="142" w:lineRule="exact"/>
              <w:rPr>
                <w:sz w:val="20"/>
                <w:szCs w:val="20"/>
                <w:color w:val="auto"/>
              </w:rPr>
            </w:pPr>
            <w:r>
              <w:rPr>
                <w:rFonts w:ascii="Times New Roman" w:cs="Times New Roman" w:eastAsia="Times New Roman" w:hAnsi="Times New Roman"/>
                <w:sz w:val="14"/>
                <w:szCs w:val="14"/>
                <w:b w:val="1"/>
                <w:bCs w:val="1"/>
                <w:color w:val="auto"/>
              </w:rPr>
              <w:t>Low</w:t>
            </w:r>
          </w:p>
        </w:tc>
        <w:tc>
          <w:tcPr>
            <w:tcW w:w="60" w:type="dxa"/>
            <w:vAlign w:val="bottom"/>
            <w:tcBorders>
              <w:bottom w:val="single" w:sz="8" w:color="CCEEFF"/>
            </w:tcBorders>
          </w:tcPr>
          <w:p>
            <w:pPr>
              <w:spacing w:after="0"/>
              <w:rPr>
                <w:sz w:val="12"/>
                <w:szCs w:val="12"/>
                <w:color w:val="auto"/>
              </w:rPr>
            </w:pPr>
          </w:p>
        </w:tc>
      </w:tr>
      <w:tr>
        <w:trPr>
          <w:trHeight w:val="210"/>
        </w:trPr>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First Quarter 2012</w:t>
            </w:r>
          </w:p>
        </w:tc>
        <w:tc>
          <w:tcPr>
            <w:tcW w:w="2880" w:type="dxa"/>
            <w:vAlign w:val="bottom"/>
            <w:shd w:val="clear" w:color="auto" w:fill="CCEEFF"/>
          </w:tcPr>
          <w:p>
            <w:pPr>
              <w:spacing w:after="0"/>
              <w:rPr>
                <w:sz w:val="18"/>
                <w:szCs w:val="18"/>
                <w:color w:val="auto"/>
              </w:rPr>
            </w:pPr>
          </w:p>
        </w:tc>
        <w:tc>
          <w:tcPr>
            <w:tcW w:w="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$7.82</w:t>
            </w: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$5.65</w:t>
            </w:r>
          </w:p>
        </w:tc>
        <w:tc>
          <w:tcPr>
            <w:tcW w:w="60" w:type="dxa"/>
            <w:vAlign w:val="bottom"/>
            <w:shd w:val="clear" w:color="auto" w:fill="CCEEFF"/>
          </w:tcPr>
          <w:p>
            <w:pPr>
              <w:spacing w:after="0"/>
              <w:rPr>
                <w:sz w:val="18"/>
                <w:szCs w:val="18"/>
                <w:color w:val="auto"/>
              </w:rPr>
            </w:pPr>
          </w:p>
        </w:tc>
      </w:tr>
      <w:tr>
        <w:trPr>
          <w:trHeight w:val="216"/>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Second Quarter 2012</w:t>
            </w:r>
          </w:p>
        </w:tc>
        <w:tc>
          <w:tcPr>
            <w:tcW w:w="3280" w:type="dxa"/>
            <w:vAlign w:val="bottom"/>
            <w:gridSpan w:val="2"/>
          </w:tcPr>
          <w:p>
            <w:pPr>
              <w:jc w:val="center"/>
              <w:ind w:left="2792"/>
              <w:spacing w:after="0"/>
              <w:rPr>
                <w:sz w:val="20"/>
                <w:szCs w:val="20"/>
                <w:color w:val="auto"/>
              </w:rPr>
            </w:pPr>
            <w:r>
              <w:rPr>
                <w:rFonts w:ascii="Times New Roman" w:cs="Times New Roman" w:eastAsia="Times New Roman" w:hAnsi="Times New Roman"/>
                <w:sz w:val="18"/>
                <w:szCs w:val="18"/>
                <w:color w:val="auto"/>
                <w:w w:val="98"/>
              </w:rPr>
              <w:t>$7.62</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$6.14</w:t>
            </w:r>
          </w:p>
        </w:tc>
        <w:tc>
          <w:tcPr>
            <w:tcW w:w="60" w:type="dxa"/>
            <w:vAlign w:val="bottom"/>
          </w:tcPr>
          <w:p>
            <w:pPr>
              <w:spacing w:after="0"/>
              <w:rPr>
                <w:sz w:val="18"/>
                <w:szCs w:val="18"/>
                <w:color w:val="auto"/>
              </w:rPr>
            </w:pPr>
          </w:p>
        </w:tc>
      </w:tr>
      <w:tr>
        <w:trPr>
          <w:trHeight w:val="216"/>
        </w:trPr>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Third Quarter 2012</w:t>
            </w:r>
          </w:p>
        </w:tc>
        <w:tc>
          <w:tcPr>
            <w:tcW w:w="3280" w:type="dxa"/>
            <w:vAlign w:val="bottom"/>
            <w:gridSpan w:val="2"/>
            <w:shd w:val="clear" w:color="auto" w:fill="CCEEFF"/>
          </w:tcPr>
          <w:p>
            <w:pPr>
              <w:jc w:val="center"/>
              <w:ind w:left="2792"/>
              <w:spacing w:after="0"/>
              <w:rPr>
                <w:sz w:val="20"/>
                <w:szCs w:val="20"/>
                <w:color w:val="auto"/>
              </w:rPr>
            </w:pPr>
            <w:r>
              <w:rPr>
                <w:rFonts w:ascii="Times New Roman" w:cs="Times New Roman" w:eastAsia="Times New Roman" w:hAnsi="Times New Roman"/>
                <w:sz w:val="18"/>
                <w:szCs w:val="18"/>
                <w:color w:val="auto"/>
                <w:w w:val="98"/>
              </w:rPr>
              <w:t>$7.90</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$6.94</w:t>
            </w:r>
          </w:p>
        </w:tc>
        <w:tc>
          <w:tcPr>
            <w:tcW w:w="60" w:type="dxa"/>
            <w:vAlign w:val="bottom"/>
            <w:shd w:val="clear" w:color="auto" w:fill="CCEEFF"/>
          </w:tcPr>
          <w:p>
            <w:pPr>
              <w:spacing w:after="0"/>
              <w:rPr>
                <w:sz w:val="18"/>
                <w:szCs w:val="18"/>
                <w:color w:val="auto"/>
              </w:rPr>
            </w:pPr>
          </w:p>
        </w:tc>
      </w:tr>
      <w:tr>
        <w:trPr>
          <w:trHeight w:val="228"/>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Fourth Quarter 2012</w:t>
            </w:r>
          </w:p>
        </w:tc>
        <w:tc>
          <w:tcPr>
            <w:tcW w:w="3280" w:type="dxa"/>
            <w:vAlign w:val="bottom"/>
            <w:gridSpan w:val="2"/>
          </w:tcPr>
          <w:p>
            <w:pPr>
              <w:jc w:val="center"/>
              <w:ind w:left="2792"/>
              <w:spacing w:after="0"/>
              <w:rPr>
                <w:sz w:val="20"/>
                <w:szCs w:val="20"/>
                <w:color w:val="auto"/>
              </w:rPr>
            </w:pPr>
            <w:r>
              <w:rPr>
                <w:rFonts w:ascii="Times New Roman" w:cs="Times New Roman" w:eastAsia="Times New Roman" w:hAnsi="Times New Roman"/>
                <w:sz w:val="18"/>
                <w:szCs w:val="18"/>
                <w:color w:val="auto"/>
                <w:w w:val="98"/>
              </w:rPr>
              <w:t>$9.24</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$6.94</w:t>
            </w:r>
          </w:p>
        </w:tc>
        <w:tc>
          <w:tcPr>
            <w:tcW w:w="6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120650</wp:posOffset>
            </wp:positionV>
            <wp:extent cx="5179695" cy="375602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179695" cy="37560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180"/>
          </w:cols>
          <w:pgMar w:left="240" w:top="455" w:right="479" w:bottom="1440" w:gutter="0" w:footer="0" w:header="0"/>
        </w:sectPr>
      </w:pPr>
    </w:p>
    <w:bookmarkStart w:id="34" w:name="page35"/>
    <w:bookmarkEnd w:id="3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63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3"/>
              </w:rPr>
              <w:t>12/31/2008</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12/31/2009</w:t>
            </w:r>
          </w:p>
        </w:tc>
        <w:tc>
          <w:tcPr>
            <w:tcW w:w="4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3"/>
              </w:rPr>
              <w:t>12/31/2010</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12/31/2011</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12/31/2012</w:t>
            </w:r>
          </w:p>
        </w:tc>
        <w:tc>
          <w:tcPr>
            <w:tcW w:w="6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63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Great Lakes Dredge &amp; Dock Corp</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48.16</w:t>
            </w:r>
          </w:p>
        </w:tc>
        <w:tc>
          <w:tcPr>
            <w:tcW w:w="46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76.25</w:t>
            </w:r>
          </w:p>
        </w:tc>
        <w:tc>
          <w:tcPr>
            <w:tcW w:w="48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87.82</w:t>
            </w:r>
          </w:p>
        </w:tc>
        <w:tc>
          <w:tcPr>
            <w:tcW w:w="48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67.17</w:t>
            </w:r>
          </w:p>
        </w:tc>
        <w:tc>
          <w:tcPr>
            <w:tcW w:w="46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111.94</w:t>
            </w:r>
          </w:p>
        </w:tc>
        <w:tc>
          <w:tcPr>
            <w:tcW w:w="60" w:type="dxa"/>
            <w:vAlign w:val="bottom"/>
            <w:tcBorders>
              <w:top w:val="single" w:sz="8" w:color="CCEEFF"/>
            </w:tcBorders>
            <w:shd w:val="clear" w:color="auto" w:fill="CCEEFF"/>
          </w:tcPr>
          <w:p>
            <w:pPr>
              <w:spacing w:after="0"/>
              <w:rPr>
                <w:sz w:val="18"/>
                <w:szCs w:val="18"/>
                <w:color w:val="auto"/>
              </w:rPr>
            </w:pPr>
          </w:p>
        </w:tc>
      </w:tr>
      <w:tr>
        <w:trPr>
          <w:trHeight w:val="230"/>
        </w:trPr>
        <w:tc>
          <w:tcPr>
            <w:tcW w:w="6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Peer Average (see below)</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68.33</w:t>
            </w:r>
          </w:p>
        </w:tc>
        <w:tc>
          <w:tcPr>
            <w:tcW w:w="460" w:type="dxa"/>
            <w:vAlign w:val="bottom"/>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80.32</w:t>
            </w:r>
          </w:p>
        </w:tc>
        <w:tc>
          <w:tcPr>
            <w:tcW w:w="480" w:type="dxa"/>
            <w:vAlign w:val="bottom"/>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81.96</w:t>
            </w:r>
          </w:p>
        </w:tc>
        <w:tc>
          <w:tcPr>
            <w:tcW w:w="480" w:type="dxa"/>
            <w:vAlign w:val="bottom"/>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80.38</w:t>
            </w:r>
          </w:p>
        </w:tc>
        <w:tc>
          <w:tcPr>
            <w:tcW w:w="460" w:type="dxa"/>
            <w:vAlign w:val="bottom"/>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99.33</w:t>
            </w:r>
          </w:p>
        </w:tc>
        <w:tc>
          <w:tcPr>
            <w:tcW w:w="6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NASDAQ Composite Index</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59.46</w:t>
            </w:r>
          </w:p>
        </w:tc>
        <w:tc>
          <w:tcPr>
            <w:tcW w:w="4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85.55</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100.02</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98.22</w:t>
            </w:r>
          </w:p>
        </w:tc>
        <w:tc>
          <w:tcPr>
            <w:tcW w:w="11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113.85</w:t>
            </w:r>
          </w:p>
        </w:tc>
      </w:tr>
      <w:tr>
        <w:trPr>
          <w:trHeight w:val="20"/>
        </w:trPr>
        <w:tc>
          <w:tcPr>
            <w:tcW w:w="20" w:type="dxa"/>
            <w:vAlign w:val="bottom"/>
          </w:tcPr>
          <w:p>
            <w:pPr>
              <w:spacing w:after="0" w:line="20" w:lineRule="exact"/>
              <w:rPr>
                <w:sz w:val="1"/>
                <w:szCs w:val="1"/>
                <w:color w:val="auto"/>
              </w:rPr>
            </w:pPr>
          </w:p>
        </w:tc>
        <w:tc>
          <w:tcPr>
            <w:tcW w:w="63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61" w:lineRule="exact"/>
        <w:rPr>
          <w:sz w:val="20"/>
          <w:szCs w:val="20"/>
          <w:color w:val="auto"/>
        </w:rPr>
      </w:pPr>
    </w:p>
    <w:p>
      <w:pPr>
        <w:ind w:right="140" w:firstLine="456"/>
        <w:spacing w:after="0" w:line="256" w:lineRule="auto"/>
        <w:rPr>
          <w:sz w:val="20"/>
          <w:szCs w:val="20"/>
          <w:color w:val="auto"/>
        </w:rPr>
      </w:pPr>
      <w:r>
        <w:rPr>
          <w:rFonts w:ascii="Times New Roman" w:cs="Times New Roman" w:eastAsia="Times New Roman" w:hAnsi="Times New Roman"/>
          <w:sz w:val="18"/>
          <w:szCs w:val="18"/>
          <w:color w:val="auto"/>
        </w:rPr>
        <w:t>The graph above shows the cumulative total return to stockholders of the Company’s common stock during a five year period ending December 31, 2012, the last trading day of our 2012 fiscal year, compared with the return on the NASDAQ Composite Index and a group of our peers which we use internally as a benchmark for our performance. The graph assumes initial investments of $100 each on December 31, 2007, in GLDD stock (assuming reinvestment of all dividends paid during the period), the NASDAQ Composite Index and the peer group companies, collectively. The peer group is comprised of the following member companies against which we measure our performance for compensation purposes.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3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Dycom Industries, Inc.</w:t>
            </w:r>
          </w:p>
        </w:tc>
        <w:tc>
          <w:tcPr>
            <w:tcW w:w="63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Company</w:t>
            </w:r>
          </w:p>
        </w:tc>
        <w:tc>
          <w:tcPr>
            <w:tcW w:w="6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Ticker</w:t>
            </w:r>
          </w:p>
        </w:tc>
        <w:tc>
          <w:tcPr>
            <w:tcW w:w="0" w:type="dxa"/>
            <w:vAlign w:val="bottom"/>
          </w:tcPr>
          <w:p>
            <w:pPr>
              <w:spacing w:after="0"/>
              <w:rPr>
                <w:sz w:val="1"/>
                <w:szCs w:val="1"/>
                <w:color w:val="auto"/>
              </w:rPr>
            </w:pPr>
          </w:p>
        </w:tc>
      </w:tr>
      <w:tr>
        <w:trPr>
          <w:trHeight w:val="202"/>
        </w:trPr>
        <w:tc>
          <w:tcPr>
            <w:tcW w:w="4380" w:type="dxa"/>
            <w:vAlign w:val="bottom"/>
            <w:vMerge w:val="continue"/>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5740" w:type="dxa"/>
            <w:vAlign w:val="bottom"/>
          </w:tcPr>
          <w:p>
            <w:pPr>
              <w:spacing w:after="0"/>
              <w:rPr>
                <w:sz w:val="17"/>
                <w:szCs w:val="17"/>
                <w:color w:val="auto"/>
              </w:rPr>
            </w:pPr>
          </w:p>
        </w:tc>
        <w:tc>
          <w:tcPr>
            <w:tcW w:w="600" w:type="dxa"/>
            <w:vAlign w:val="bottom"/>
            <w:tcBorders>
              <w:top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DY</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0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Global Industries, Ltd. (prior to its purchase on September 9, 2011 by Technip S.A.)</w:t>
            </w: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GLBL</w:t>
            </w:r>
          </w:p>
        </w:tc>
        <w:tc>
          <w:tcPr>
            <w:tcW w:w="0" w:type="dxa"/>
            <w:vAlign w:val="bottom"/>
          </w:tcPr>
          <w:p>
            <w:pPr>
              <w:spacing w:after="0"/>
              <w:rPr>
                <w:sz w:val="1"/>
                <w:szCs w:val="1"/>
                <w:color w:val="auto"/>
              </w:rPr>
            </w:pPr>
          </w:p>
        </w:tc>
      </w:tr>
      <w:tr>
        <w:trPr>
          <w:trHeight w:val="216"/>
        </w:trPr>
        <w:tc>
          <w:tcPr>
            <w:tcW w:w="10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Granite Construction Inc.</w:t>
            </w: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GVA</w:t>
            </w:r>
          </w:p>
        </w:tc>
        <w:tc>
          <w:tcPr>
            <w:tcW w:w="0" w:type="dxa"/>
            <w:vAlign w:val="bottom"/>
          </w:tcPr>
          <w:p>
            <w:pPr>
              <w:spacing w:after="0"/>
              <w:rPr>
                <w:sz w:val="1"/>
                <w:szCs w:val="1"/>
                <w:color w:val="auto"/>
              </w:rPr>
            </w:pPr>
          </w:p>
        </w:tc>
      </w:tr>
      <w:tr>
        <w:trPr>
          <w:trHeight w:val="216"/>
        </w:trPr>
        <w:tc>
          <w:tcPr>
            <w:tcW w:w="10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Aegion Corporations, successor to Insituform Technologies, Inc.</w:t>
            </w: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AEGN</w:t>
            </w:r>
          </w:p>
        </w:tc>
        <w:tc>
          <w:tcPr>
            <w:tcW w:w="0" w:type="dxa"/>
            <w:vAlign w:val="bottom"/>
          </w:tcPr>
          <w:p>
            <w:pPr>
              <w:spacing w:after="0"/>
              <w:rPr>
                <w:sz w:val="1"/>
                <w:szCs w:val="1"/>
                <w:color w:val="auto"/>
              </w:rPr>
            </w:pPr>
          </w:p>
        </w:tc>
      </w:tr>
      <w:tr>
        <w:trPr>
          <w:trHeight w:val="216"/>
        </w:trPr>
        <w:tc>
          <w:tcPr>
            <w:tcW w:w="10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Layne Christensen Company</w:t>
            </w: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LAYN</w:t>
            </w:r>
          </w:p>
        </w:tc>
        <w:tc>
          <w:tcPr>
            <w:tcW w:w="0" w:type="dxa"/>
            <w:vAlign w:val="bottom"/>
          </w:tcPr>
          <w:p>
            <w:pPr>
              <w:spacing w:after="0"/>
              <w:rPr>
                <w:sz w:val="1"/>
                <w:szCs w:val="1"/>
                <w:color w:val="auto"/>
              </w:rPr>
            </w:pPr>
          </w:p>
        </w:tc>
      </w:tr>
      <w:tr>
        <w:trPr>
          <w:trHeight w:val="216"/>
        </w:trPr>
        <w:tc>
          <w:tcPr>
            <w:tcW w:w="10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MasTec, Inc.</w:t>
            </w: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MTZ</w:t>
            </w:r>
          </w:p>
        </w:tc>
        <w:tc>
          <w:tcPr>
            <w:tcW w:w="0" w:type="dxa"/>
            <w:vAlign w:val="bottom"/>
          </w:tcPr>
          <w:p>
            <w:pPr>
              <w:spacing w:after="0"/>
              <w:rPr>
                <w:sz w:val="1"/>
                <w:szCs w:val="1"/>
                <w:color w:val="auto"/>
              </w:rPr>
            </w:pPr>
          </w:p>
        </w:tc>
      </w:tr>
      <w:tr>
        <w:trPr>
          <w:trHeight w:val="216"/>
        </w:trPr>
        <w:tc>
          <w:tcPr>
            <w:tcW w:w="10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Matrix Service Company</w:t>
            </w: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MTRX</w:t>
            </w:r>
          </w:p>
        </w:tc>
        <w:tc>
          <w:tcPr>
            <w:tcW w:w="0" w:type="dxa"/>
            <w:vAlign w:val="bottom"/>
          </w:tcPr>
          <w:p>
            <w:pPr>
              <w:spacing w:after="0"/>
              <w:rPr>
                <w:sz w:val="1"/>
                <w:szCs w:val="1"/>
                <w:color w:val="auto"/>
              </w:rPr>
            </w:pPr>
          </w:p>
        </w:tc>
      </w:tr>
      <w:tr>
        <w:trPr>
          <w:trHeight w:val="216"/>
        </w:trPr>
        <w:tc>
          <w:tcPr>
            <w:tcW w:w="10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MYR Group Inc.</w:t>
            </w: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MYRG</w:t>
            </w:r>
          </w:p>
        </w:tc>
        <w:tc>
          <w:tcPr>
            <w:tcW w:w="0" w:type="dxa"/>
            <w:vAlign w:val="bottom"/>
          </w:tcPr>
          <w:p>
            <w:pPr>
              <w:spacing w:after="0"/>
              <w:rPr>
                <w:sz w:val="1"/>
                <w:szCs w:val="1"/>
                <w:color w:val="auto"/>
              </w:rPr>
            </w:pPr>
          </w:p>
        </w:tc>
      </w:tr>
      <w:tr>
        <w:trPr>
          <w:trHeight w:val="216"/>
        </w:trPr>
        <w:tc>
          <w:tcPr>
            <w:tcW w:w="10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Orion Marine Group, Inc.</w:t>
            </w: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ORN</w:t>
            </w:r>
          </w:p>
        </w:tc>
        <w:tc>
          <w:tcPr>
            <w:tcW w:w="0" w:type="dxa"/>
            <w:vAlign w:val="bottom"/>
          </w:tcPr>
          <w:p>
            <w:pPr>
              <w:spacing w:after="0"/>
              <w:rPr>
                <w:sz w:val="1"/>
                <w:szCs w:val="1"/>
                <w:color w:val="auto"/>
              </w:rPr>
            </w:pPr>
          </w:p>
        </w:tc>
      </w:tr>
      <w:tr>
        <w:trPr>
          <w:trHeight w:val="216"/>
        </w:trPr>
        <w:tc>
          <w:tcPr>
            <w:tcW w:w="10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Pike Electric Corporation</w:t>
            </w: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PIKE</w:t>
            </w:r>
          </w:p>
        </w:tc>
        <w:tc>
          <w:tcPr>
            <w:tcW w:w="0" w:type="dxa"/>
            <w:vAlign w:val="bottom"/>
          </w:tcPr>
          <w:p>
            <w:pPr>
              <w:spacing w:after="0"/>
              <w:rPr>
                <w:sz w:val="1"/>
                <w:szCs w:val="1"/>
                <w:color w:val="auto"/>
              </w:rPr>
            </w:pPr>
          </w:p>
        </w:tc>
      </w:tr>
      <w:tr>
        <w:trPr>
          <w:trHeight w:val="216"/>
        </w:trPr>
        <w:tc>
          <w:tcPr>
            <w:tcW w:w="10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Primoris Services Corp</w:t>
            </w: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PRIM</w:t>
            </w:r>
          </w:p>
        </w:tc>
        <w:tc>
          <w:tcPr>
            <w:tcW w:w="0" w:type="dxa"/>
            <w:vAlign w:val="bottom"/>
          </w:tcPr>
          <w:p>
            <w:pPr>
              <w:spacing w:after="0"/>
              <w:rPr>
                <w:sz w:val="1"/>
                <w:szCs w:val="1"/>
                <w:color w:val="auto"/>
              </w:rPr>
            </w:pPr>
          </w:p>
        </w:tc>
      </w:tr>
      <w:tr>
        <w:trPr>
          <w:trHeight w:val="216"/>
        </w:trPr>
        <w:tc>
          <w:tcPr>
            <w:tcW w:w="10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Sterling Construction Company, Inc.</w:t>
            </w: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STRL</w:t>
            </w:r>
          </w:p>
        </w:tc>
        <w:tc>
          <w:tcPr>
            <w:tcW w:w="0" w:type="dxa"/>
            <w:vAlign w:val="bottom"/>
          </w:tcPr>
          <w:p>
            <w:pPr>
              <w:spacing w:after="0"/>
              <w:rPr>
                <w:sz w:val="1"/>
                <w:szCs w:val="1"/>
                <w:color w:val="auto"/>
              </w:rPr>
            </w:pPr>
          </w:p>
        </w:tc>
      </w:tr>
      <w:tr>
        <w:trPr>
          <w:trHeight w:val="216"/>
        </w:trPr>
        <w:tc>
          <w:tcPr>
            <w:tcW w:w="10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Team, Inc.</w:t>
            </w: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TISI</w:t>
            </w:r>
          </w:p>
        </w:tc>
        <w:tc>
          <w:tcPr>
            <w:tcW w:w="0" w:type="dxa"/>
            <w:vAlign w:val="bottom"/>
          </w:tcPr>
          <w:p>
            <w:pPr>
              <w:spacing w:after="0"/>
              <w:rPr>
                <w:sz w:val="1"/>
                <w:szCs w:val="1"/>
                <w:color w:val="auto"/>
              </w:rPr>
            </w:pPr>
          </w:p>
        </w:tc>
      </w:tr>
      <w:tr>
        <w:trPr>
          <w:trHeight w:val="228"/>
        </w:trPr>
        <w:tc>
          <w:tcPr>
            <w:tcW w:w="10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Willbros Group, Inc.</w:t>
            </w: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WG</w:t>
            </w:r>
          </w:p>
        </w:tc>
        <w:tc>
          <w:tcPr>
            <w:tcW w:w="0" w:type="dxa"/>
            <w:vAlign w:val="bottom"/>
          </w:tcPr>
          <w:p>
            <w:pPr>
              <w:spacing w:after="0"/>
              <w:rPr>
                <w:sz w:val="1"/>
                <w:szCs w:val="1"/>
                <w:color w:val="auto"/>
              </w:rPr>
            </w:pPr>
          </w:p>
        </w:tc>
      </w:tr>
    </w:tbl>
    <w:p>
      <w:pPr>
        <w:spacing w:after="0" w:line="150" w:lineRule="exact"/>
        <w:rPr>
          <w:sz w:val="20"/>
          <w:szCs w:val="20"/>
          <w:color w:val="auto"/>
        </w:rPr>
      </w:pPr>
    </w:p>
    <w:p>
      <w:pPr>
        <w:ind w:right="320" w:firstLine="456"/>
        <w:spacing w:after="0" w:line="275" w:lineRule="auto"/>
        <w:rPr>
          <w:sz w:val="20"/>
          <w:szCs w:val="20"/>
          <w:color w:val="auto"/>
        </w:rPr>
      </w:pPr>
      <w:r>
        <w:rPr>
          <w:rFonts w:ascii="Times New Roman" w:cs="Times New Roman" w:eastAsia="Times New Roman" w:hAnsi="Times New Roman"/>
          <w:sz w:val="18"/>
          <w:szCs w:val="18"/>
          <w:color w:val="auto"/>
        </w:rPr>
        <w:t>Given the integral nature of this peer group for compensation purposes and the fact that each peer is a capital intensive business, the Company deems it appropriate to also use this peer group for showing the comparative cumulative total return to stockholders of Great Lakes.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Holders of Record</w:t>
      </w:r>
    </w:p>
    <w:p>
      <w:pPr>
        <w:spacing w:after="0" w:line="92" w:lineRule="exact"/>
        <w:rPr>
          <w:sz w:val="20"/>
          <w:szCs w:val="20"/>
          <w:color w:val="auto"/>
        </w:rPr>
      </w:pPr>
    </w:p>
    <w:p>
      <w:pPr>
        <w:ind w:right="40" w:firstLine="456"/>
        <w:spacing w:after="0" w:line="275" w:lineRule="auto"/>
        <w:rPr>
          <w:sz w:val="20"/>
          <w:szCs w:val="20"/>
          <w:color w:val="auto"/>
        </w:rPr>
      </w:pPr>
      <w:r>
        <w:rPr>
          <w:rFonts w:ascii="Times New Roman" w:cs="Times New Roman" w:eastAsia="Times New Roman" w:hAnsi="Times New Roman"/>
          <w:sz w:val="18"/>
          <w:szCs w:val="18"/>
          <w:color w:val="auto"/>
        </w:rPr>
        <w:t>As of March 22, 2013, the Company had approximately 35 shareholders of record of the Company’s common stock. A substantial number of holders of the Company’s common stock are “street name” or beneficial holders, whose shares are held of record by banks, brokers and other financial institutions.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Quarterly dividends per common share for the most recent two years were as follows: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550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1520" w:type="dxa"/>
            <w:vAlign w:val="bottom"/>
            <w:gridSpan w:val="5"/>
          </w:tcPr>
          <w:p>
            <w:pPr>
              <w:ind w:left="460"/>
              <w:spacing w:after="0"/>
              <w:rPr>
                <w:sz w:val="20"/>
                <w:szCs w:val="20"/>
                <w:color w:val="auto"/>
              </w:rPr>
            </w:pPr>
            <w:r>
              <w:rPr>
                <w:rFonts w:ascii="Times New Roman" w:cs="Times New Roman" w:eastAsia="Times New Roman" w:hAnsi="Times New Roman"/>
                <w:sz w:val="14"/>
                <w:szCs w:val="14"/>
                <w:b w:val="1"/>
                <w:bCs w:val="1"/>
                <w:color w:val="auto"/>
              </w:rPr>
              <w:t>Dividend</w:t>
            </w:r>
          </w:p>
        </w:tc>
      </w:tr>
      <w:tr>
        <w:trPr>
          <w:trHeight w:val="142"/>
        </w:trPr>
        <w:tc>
          <w:tcPr>
            <w:tcW w:w="5500" w:type="dxa"/>
            <w:vAlign w:val="bottom"/>
          </w:tcPr>
          <w:p>
            <w:pPr>
              <w:spacing w:after="0"/>
              <w:rPr>
                <w:sz w:val="12"/>
                <w:szCs w:val="12"/>
                <w:color w:val="auto"/>
              </w:rPr>
            </w:pPr>
          </w:p>
        </w:tc>
        <w:tc>
          <w:tcPr>
            <w:tcW w:w="4400" w:type="dxa"/>
            <w:vAlign w:val="bottom"/>
          </w:tcPr>
          <w:p>
            <w:pPr>
              <w:spacing w:after="0"/>
              <w:rPr>
                <w:sz w:val="12"/>
                <w:szCs w:val="12"/>
                <w:color w:val="auto"/>
              </w:rPr>
            </w:pPr>
          </w:p>
        </w:tc>
        <w:tc>
          <w:tcPr>
            <w:tcW w:w="500" w:type="dxa"/>
            <w:vAlign w:val="bottom"/>
            <w:tcBorders>
              <w:top w:val="single" w:sz="8" w:color="auto"/>
            </w:tcBorders>
          </w:tcPr>
          <w:p>
            <w:pPr>
              <w:jc w:val="right"/>
              <w:ind w:right="46"/>
              <w:spacing w:after="0" w:line="142" w:lineRule="exact"/>
              <w:rPr>
                <w:sz w:val="20"/>
                <w:szCs w:val="20"/>
                <w:color w:val="auto"/>
              </w:rPr>
            </w:pPr>
            <w:r>
              <w:rPr>
                <w:rFonts w:ascii="Times New Roman" w:cs="Times New Roman" w:eastAsia="Times New Roman" w:hAnsi="Times New Roman"/>
                <w:sz w:val="14"/>
                <w:szCs w:val="14"/>
                <w:b w:val="1"/>
                <w:bCs w:val="1"/>
                <w:color w:val="auto"/>
              </w:rPr>
              <w:t>2012</w:t>
            </w:r>
          </w:p>
        </w:tc>
        <w:tc>
          <w:tcPr>
            <w:tcW w:w="28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gridSpan w:val="2"/>
          </w:tcPr>
          <w:p>
            <w:pPr>
              <w:jc w:val="center"/>
              <w:ind w:left="97"/>
              <w:spacing w:after="0" w:line="142" w:lineRule="exact"/>
              <w:rPr>
                <w:sz w:val="20"/>
                <w:szCs w:val="20"/>
                <w:color w:val="auto"/>
              </w:rPr>
            </w:pPr>
            <w:r>
              <w:rPr>
                <w:rFonts w:ascii="Times New Roman" w:cs="Times New Roman" w:eastAsia="Times New Roman" w:hAnsi="Times New Roman"/>
                <w:sz w:val="14"/>
                <w:szCs w:val="14"/>
                <w:b w:val="1"/>
                <w:bCs w:val="1"/>
                <w:color w:val="auto"/>
                <w:w w:val="92"/>
              </w:rPr>
              <w:t>2011</w:t>
            </w:r>
          </w:p>
        </w:tc>
        <w:tc>
          <w:tcPr>
            <w:tcW w:w="60" w:type="dxa"/>
            <w:vAlign w:val="bottom"/>
          </w:tcPr>
          <w:p>
            <w:pPr>
              <w:spacing w:after="0"/>
              <w:rPr>
                <w:sz w:val="12"/>
                <w:szCs w:val="12"/>
                <w:color w:val="auto"/>
              </w:rPr>
            </w:pPr>
          </w:p>
        </w:tc>
      </w:tr>
      <w:tr>
        <w:trPr>
          <w:trHeight w:val="210"/>
        </w:trPr>
        <w:tc>
          <w:tcPr>
            <w:tcW w:w="55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First Quarter</w:t>
            </w:r>
          </w:p>
        </w:tc>
        <w:tc>
          <w:tcPr>
            <w:tcW w:w="44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96"/>
              </w:rPr>
              <w:t>$0.021</w:t>
            </w:r>
          </w:p>
        </w:tc>
        <w:tc>
          <w:tcPr>
            <w:tcW w:w="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$0.017</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Second Quarter</w:t>
            </w:r>
          </w:p>
        </w:tc>
        <w:tc>
          <w:tcPr>
            <w:tcW w:w="5180" w:type="dxa"/>
            <w:vAlign w:val="bottom"/>
            <w:gridSpan w:val="3"/>
          </w:tcPr>
          <w:p>
            <w:pPr>
              <w:ind w:left="4400"/>
              <w:spacing w:after="0"/>
              <w:rPr>
                <w:sz w:val="20"/>
                <w:szCs w:val="20"/>
                <w:color w:val="auto"/>
              </w:rPr>
            </w:pPr>
            <w:r>
              <w:rPr>
                <w:rFonts w:ascii="Times New Roman" w:cs="Times New Roman" w:eastAsia="Times New Roman" w:hAnsi="Times New Roman"/>
                <w:sz w:val="18"/>
                <w:szCs w:val="18"/>
                <w:color w:val="auto"/>
              </w:rPr>
              <w:t>$0.021</w:t>
            </w:r>
          </w:p>
        </w:tc>
        <w:tc>
          <w:tcPr>
            <w:tcW w:w="740" w:type="dxa"/>
            <w:vAlign w:val="bottom"/>
            <w:gridSpan w:val="3"/>
          </w:tcPr>
          <w:p>
            <w:pPr>
              <w:jc w:val="center"/>
              <w:ind w:left="37"/>
              <w:spacing w:after="0"/>
              <w:rPr>
                <w:sz w:val="20"/>
                <w:szCs w:val="20"/>
                <w:color w:val="auto"/>
              </w:rPr>
            </w:pPr>
            <w:r>
              <w:rPr>
                <w:rFonts w:ascii="Times New Roman" w:cs="Times New Roman" w:eastAsia="Times New Roman" w:hAnsi="Times New Roman"/>
                <w:sz w:val="18"/>
                <w:szCs w:val="18"/>
                <w:color w:val="auto"/>
              </w:rPr>
              <w:t>$0.021</w:t>
            </w:r>
          </w:p>
        </w:tc>
      </w:tr>
      <w:tr>
        <w:trPr>
          <w:trHeight w:val="216"/>
        </w:trPr>
        <w:tc>
          <w:tcPr>
            <w:tcW w:w="5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Third Quarter</w:t>
            </w:r>
          </w:p>
        </w:tc>
        <w:tc>
          <w:tcPr>
            <w:tcW w:w="5180" w:type="dxa"/>
            <w:vAlign w:val="bottom"/>
            <w:gridSpan w:val="3"/>
            <w:shd w:val="clear" w:color="auto" w:fill="CCEEFF"/>
          </w:tcPr>
          <w:p>
            <w:pPr>
              <w:ind w:left="4400"/>
              <w:spacing w:after="0"/>
              <w:rPr>
                <w:sz w:val="20"/>
                <w:szCs w:val="20"/>
                <w:color w:val="auto"/>
              </w:rPr>
            </w:pPr>
            <w:r>
              <w:rPr>
                <w:rFonts w:ascii="Times New Roman" w:cs="Times New Roman" w:eastAsia="Times New Roman" w:hAnsi="Times New Roman"/>
                <w:sz w:val="18"/>
                <w:szCs w:val="18"/>
                <w:color w:val="auto"/>
              </w:rPr>
              <w:t>$0.021</w:t>
            </w:r>
          </w:p>
        </w:tc>
        <w:tc>
          <w:tcPr>
            <w:tcW w:w="740" w:type="dxa"/>
            <w:vAlign w:val="bottom"/>
            <w:gridSpan w:val="3"/>
            <w:shd w:val="clear" w:color="auto" w:fill="CCEEFF"/>
          </w:tcPr>
          <w:p>
            <w:pPr>
              <w:jc w:val="center"/>
              <w:ind w:left="37"/>
              <w:spacing w:after="0"/>
              <w:rPr>
                <w:sz w:val="20"/>
                <w:szCs w:val="20"/>
                <w:color w:val="auto"/>
              </w:rPr>
            </w:pPr>
            <w:r>
              <w:rPr>
                <w:rFonts w:ascii="Times New Roman" w:cs="Times New Roman" w:eastAsia="Times New Roman" w:hAnsi="Times New Roman"/>
                <w:sz w:val="18"/>
                <w:szCs w:val="18"/>
                <w:color w:val="auto"/>
              </w:rPr>
              <w:t>$0.021</w:t>
            </w:r>
          </w:p>
        </w:tc>
      </w:tr>
      <w:tr>
        <w:trPr>
          <w:trHeight w:val="228"/>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Fourth Quarter</w:t>
            </w:r>
          </w:p>
        </w:tc>
        <w:tc>
          <w:tcPr>
            <w:tcW w:w="5180" w:type="dxa"/>
            <w:vAlign w:val="bottom"/>
            <w:gridSpan w:val="3"/>
          </w:tcPr>
          <w:p>
            <w:pPr>
              <w:ind w:left="4400"/>
              <w:spacing w:after="0"/>
              <w:rPr>
                <w:sz w:val="20"/>
                <w:szCs w:val="20"/>
                <w:color w:val="auto"/>
              </w:rPr>
            </w:pPr>
            <w:r>
              <w:rPr>
                <w:rFonts w:ascii="Times New Roman" w:cs="Times New Roman" w:eastAsia="Times New Roman" w:hAnsi="Times New Roman"/>
                <w:sz w:val="18"/>
                <w:szCs w:val="18"/>
                <w:color w:val="auto"/>
              </w:rPr>
              <w:t>$0.250*</w:t>
            </w:r>
          </w:p>
        </w:tc>
        <w:tc>
          <w:tcPr>
            <w:tcW w:w="740" w:type="dxa"/>
            <w:vAlign w:val="bottom"/>
            <w:gridSpan w:val="3"/>
          </w:tcPr>
          <w:p>
            <w:pPr>
              <w:jc w:val="center"/>
              <w:ind w:left="37"/>
              <w:spacing w:after="0"/>
              <w:rPr>
                <w:sz w:val="20"/>
                <w:szCs w:val="20"/>
                <w:color w:val="auto"/>
              </w:rPr>
            </w:pPr>
            <w:r>
              <w:rPr>
                <w:rFonts w:ascii="Times New Roman" w:cs="Times New Roman" w:eastAsia="Times New Roman" w:hAnsi="Times New Roman"/>
                <w:sz w:val="18"/>
                <w:szCs w:val="18"/>
                <w:color w:val="auto"/>
              </w:rPr>
              <w:t>$0.021</w:t>
            </w:r>
          </w:p>
        </w:tc>
      </w:tr>
    </w:tbl>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Represents a special cash dividend</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420"/>
          </w:cols>
          <w:pgMar w:left="240" w:top="455" w:right="239" w:bottom="1440" w:gutter="0" w:footer="0" w:header="0"/>
        </w:sectPr>
      </w:pPr>
    </w:p>
    <w:bookmarkStart w:id="35" w:name="page36"/>
    <w:bookmarkEnd w:id="3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40" w:firstLine="456"/>
        <w:spacing w:after="0" w:line="293" w:lineRule="auto"/>
        <w:rPr>
          <w:sz w:val="20"/>
          <w:szCs w:val="20"/>
          <w:color w:val="auto"/>
        </w:rPr>
      </w:pPr>
      <w:r>
        <w:rPr>
          <w:rFonts w:ascii="Times New Roman" w:cs="Times New Roman" w:eastAsia="Times New Roman" w:hAnsi="Times New Roman"/>
          <w:sz w:val="16"/>
          <w:szCs w:val="16"/>
          <w:color w:val="auto"/>
        </w:rPr>
        <w:t>In the fourth quarter of 2012, the board of directors issued a special dividend representing quarterly dividends that likely would have been declared in fourth quarter 2012 as well as the acceleration of dividends for four quarters of 2013 plus an additional return of capital. The Company does not anticipate paying dividends in 2013. The declaration and payment of future dividends will be at the discretion of Great Lakes’ board of directors and depends on many factors, including general economic and business conditions, the Company’s strategic plans, financial results and condition, legal requirements including restrictions and limitations contained in the Company’s senior credit agreement, bonding agreements and the indenture relating to the senior unsecured notes and other factors the board of directors deems relevant. Accordingly, the Company cannot ensure the size of any such dividend or that the Company will pay any future dividend.</w:t>
      </w:r>
    </w:p>
    <w:p>
      <w:pPr>
        <w:spacing w:after="0" w:line="23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6"/>
          <w:szCs w:val="16"/>
          <w:b w:val="1"/>
          <w:bCs w:val="1"/>
          <w:color w:val="auto"/>
        </w:rPr>
        <w:t>Selected Financial Data</w:t>
      </w:r>
    </w:p>
    <w:p>
      <w:pPr>
        <w:spacing w:after="0" w:line="92" w:lineRule="exact"/>
        <w:rPr>
          <w:sz w:val="20"/>
          <w:szCs w:val="20"/>
          <w:color w:val="auto"/>
        </w:rPr>
      </w:pPr>
    </w:p>
    <w:p>
      <w:pPr>
        <w:ind w:right="140" w:firstLine="456"/>
        <w:spacing w:after="0" w:line="310" w:lineRule="auto"/>
        <w:rPr>
          <w:sz w:val="20"/>
          <w:szCs w:val="20"/>
          <w:color w:val="auto"/>
        </w:rPr>
      </w:pPr>
      <w:r>
        <w:rPr>
          <w:rFonts w:ascii="Times New Roman" w:cs="Times New Roman" w:eastAsia="Times New Roman" w:hAnsi="Times New Roman"/>
          <w:sz w:val="16"/>
          <w:szCs w:val="16"/>
          <w:color w:val="auto"/>
        </w:rPr>
        <w:t>The following table sets forth selected financial data and should be read in conjunction with Item 7. “Management’s Discussion and Analysis of Financial Condition and Results of Operations” and the Company’s audited consolidated financial statements and notes thereto included elsewhere in this annual report. The selected financial data presented below have been derived from the Company’s consolidated financial statements; items may not sum due to rounding.</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5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540" w:type="dxa"/>
            <w:vAlign w:val="bottom"/>
            <w:gridSpan w:val="4"/>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w w:val="95"/>
              </w:rPr>
              <w:t>Year Ended December 31,</w:t>
            </w:r>
          </w:p>
        </w:tc>
        <w:tc>
          <w:tcPr>
            <w:tcW w:w="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65"/>
        </w:trPr>
        <w:tc>
          <w:tcPr>
            <w:tcW w:w="20" w:type="dxa"/>
            <w:vAlign w:val="bottom"/>
          </w:tcPr>
          <w:p>
            <w:pPr>
              <w:spacing w:after="0"/>
              <w:rPr>
                <w:sz w:val="14"/>
                <w:szCs w:val="14"/>
                <w:color w:val="auto"/>
              </w:rPr>
            </w:pPr>
          </w:p>
        </w:tc>
        <w:tc>
          <w:tcPr>
            <w:tcW w:w="5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4"/>
                <w:szCs w:val="14"/>
                <w:b w:val="1"/>
                <w:bCs w:val="1"/>
                <w:color w:val="auto"/>
              </w:rPr>
              <w:t>2012</w:t>
            </w: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4"/>
                <w:szCs w:val="14"/>
                <w:b w:val="1"/>
                <w:bCs w:val="1"/>
                <w:color w:val="auto"/>
              </w:rPr>
              <w:t>2011</w:t>
            </w:r>
          </w:p>
        </w:tc>
        <w:tc>
          <w:tcPr>
            <w:tcW w:w="6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4"/>
                <w:szCs w:val="14"/>
                <w:b w:val="1"/>
                <w:bCs w:val="1"/>
                <w:color w:val="auto"/>
              </w:rPr>
              <w:t>2010</w:t>
            </w:r>
          </w:p>
        </w:tc>
        <w:tc>
          <w:tcPr>
            <w:tcW w:w="5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4"/>
                <w:szCs w:val="14"/>
                <w:b w:val="1"/>
                <w:bCs w:val="1"/>
                <w:color w:val="auto"/>
                <w:w w:val="92"/>
              </w:rPr>
              <w:t>2009</w:t>
            </w:r>
          </w:p>
        </w:tc>
        <w:tc>
          <w:tcPr>
            <w:tcW w:w="4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4"/>
                <w:szCs w:val="14"/>
                <w:b w:val="1"/>
                <w:bCs w:val="1"/>
                <w:color w:val="auto"/>
                <w:w w:val="92"/>
              </w:rPr>
              <w:t>2008</w:t>
            </w:r>
          </w:p>
        </w:tc>
        <w:tc>
          <w:tcPr>
            <w:tcW w:w="10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55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20" w:type="dxa"/>
            <w:vAlign w:val="bottom"/>
            <w:gridSpan w:val="11"/>
          </w:tcPr>
          <w:p>
            <w:pPr>
              <w:jc w:val="right"/>
              <w:ind w:right="40"/>
              <w:spacing w:after="0" w:line="142" w:lineRule="exact"/>
              <w:rPr>
                <w:sz w:val="20"/>
                <w:szCs w:val="20"/>
                <w:color w:val="auto"/>
              </w:rPr>
            </w:pPr>
            <w:r>
              <w:rPr>
                <w:rFonts w:ascii="Times New Roman" w:cs="Times New Roman" w:eastAsia="Times New Roman" w:hAnsi="Times New Roman"/>
                <w:sz w:val="14"/>
                <w:szCs w:val="14"/>
                <w:color w:val="auto"/>
                <w:w w:val="96"/>
              </w:rPr>
              <w:t>(dollars in millions except shares in thousands and per share data)</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Contract revenues</w:t>
            </w:r>
          </w:p>
        </w:tc>
        <w:tc>
          <w:tcPr>
            <w:tcW w:w="8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687.6</w:t>
            </w: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627.3</w:t>
            </w: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686.9</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622.2</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586.9</w:t>
            </w:r>
          </w:p>
        </w:tc>
      </w:tr>
      <w:tr>
        <w:trPr>
          <w:trHeight w:val="216"/>
        </w:trPr>
        <w:tc>
          <w:tcPr>
            <w:tcW w:w="20" w:type="dxa"/>
            <w:vAlign w:val="bottom"/>
          </w:tcPr>
          <w:p>
            <w:pPr>
              <w:spacing w:after="0"/>
              <w:rPr>
                <w:sz w:val="18"/>
                <w:szCs w:val="18"/>
                <w:color w:val="auto"/>
              </w:rPr>
            </w:pPr>
          </w:p>
        </w:tc>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Costs of contract revenues</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619.2</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534.3</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564.1</w:t>
            </w: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534.0</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517.6</w:t>
            </w:r>
          </w:p>
        </w:tc>
      </w:tr>
      <w:tr>
        <w:trPr>
          <w:trHeight w:val="27"/>
        </w:trPr>
        <w:tc>
          <w:tcPr>
            <w:tcW w:w="20" w:type="dxa"/>
            <w:vAlign w:val="bottom"/>
          </w:tcPr>
          <w:p>
            <w:pPr>
              <w:spacing w:after="0"/>
              <w:rPr>
                <w:sz w:val="2"/>
                <w:szCs w:val="2"/>
                <w:color w:val="auto"/>
              </w:rPr>
            </w:pPr>
          </w:p>
        </w:tc>
        <w:tc>
          <w:tcPr>
            <w:tcW w:w="55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Gross profit</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68.4</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93.0</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122.8</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88.2</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69.3</w:t>
            </w:r>
          </w:p>
        </w:tc>
      </w:tr>
      <w:tr>
        <w:trPr>
          <w:trHeight w:val="216"/>
        </w:trPr>
        <w:tc>
          <w:tcPr>
            <w:tcW w:w="20" w:type="dxa"/>
            <w:vAlign w:val="bottom"/>
          </w:tcPr>
          <w:p>
            <w:pPr>
              <w:spacing w:after="0"/>
              <w:rPr>
                <w:sz w:val="18"/>
                <w:szCs w:val="18"/>
                <w:color w:val="auto"/>
              </w:rPr>
            </w:pPr>
          </w:p>
        </w:tc>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53.5</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50.4</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54.4</w:t>
            </w: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46.0</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43.2</w:t>
            </w: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on sale of assets — net</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(0.6)</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222"/>
        </w:trPr>
        <w:tc>
          <w:tcPr>
            <w:tcW w:w="20" w:type="dxa"/>
            <w:vAlign w:val="bottom"/>
          </w:tcPr>
          <w:p>
            <w:pPr>
              <w:spacing w:after="0"/>
              <w:rPr>
                <w:sz w:val="19"/>
                <w:szCs w:val="19"/>
                <w:color w:val="auto"/>
              </w:rPr>
            </w:pPr>
          </w:p>
        </w:tc>
        <w:tc>
          <w:tcPr>
            <w:tcW w:w="55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Operating income</w:t>
            </w: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54.3</w:t>
            </w:r>
          </w:p>
        </w:tc>
        <w:tc>
          <w:tcPr>
            <w:tcW w:w="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68.4</w:t>
            </w:r>
          </w:p>
        </w:tc>
        <w:tc>
          <w:tcPr>
            <w:tcW w:w="5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42.3</w:t>
            </w:r>
          </w:p>
        </w:tc>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100" w:type="dxa"/>
            <w:vAlign w:val="bottom"/>
          </w:tcPr>
          <w:p>
            <w:pPr>
              <w:spacing w:after="0"/>
              <w:rPr>
                <w:sz w:val="19"/>
                <w:szCs w:val="19"/>
                <w:color w:val="auto"/>
              </w:rPr>
            </w:pPr>
          </w:p>
        </w:tc>
      </w:tr>
      <w:tr>
        <w:trPr>
          <w:trHeight w:val="217"/>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 — net</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(20.9)</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(13.5)</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(16.2)</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(17.0)</w:t>
            </w:r>
          </w:p>
        </w:tc>
      </w:tr>
      <w:tr>
        <w:trPr>
          <w:trHeight w:val="216"/>
        </w:trPr>
        <w:tc>
          <w:tcPr>
            <w:tcW w:w="20" w:type="dxa"/>
            <w:vAlign w:val="bottom"/>
          </w:tcPr>
          <w:p>
            <w:pPr>
              <w:spacing w:after="0"/>
              <w:rPr>
                <w:sz w:val="18"/>
                <w:szCs w:val="18"/>
                <w:color w:val="auto"/>
              </w:rPr>
            </w:pPr>
          </w:p>
        </w:tc>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Equity in earnings (loss) of joint ventures</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0.1</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(0.6)</w:t>
            </w:r>
          </w:p>
        </w:tc>
        <w:tc>
          <w:tcPr>
            <w:tcW w:w="140" w:type="dxa"/>
            <w:vAlign w:val="bottom"/>
          </w:tcPr>
          <w:p>
            <w:pPr>
              <w:spacing w:after="0"/>
              <w:rPr>
                <w:sz w:val="18"/>
                <w:szCs w:val="18"/>
                <w:color w:val="auto"/>
              </w:rPr>
            </w:pPr>
          </w:p>
        </w:tc>
        <w:tc>
          <w:tcPr>
            <w:tcW w:w="9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(0.4)</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(0.0)</w:t>
            </w: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on foreign currency transactions — net</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(0.1)</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90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20" w:type="dxa"/>
            <w:vAlign w:val="bottom"/>
          </w:tcPr>
          <w:p>
            <w:pPr>
              <w:spacing w:after="0"/>
              <w:rPr>
                <w:sz w:val="2"/>
                <w:szCs w:val="2"/>
                <w:color w:val="auto"/>
              </w:rPr>
            </w:pPr>
          </w:p>
        </w:tc>
        <w:tc>
          <w:tcPr>
            <w:tcW w:w="55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(5.4)</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25.7</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9.1</w:t>
            </w:r>
          </w:p>
        </w:tc>
      </w:tr>
      <w:tr>
        <w:trPr>
          <w:trHeight w:val="216"/>
        </w:trPr>
        <w:tc>
          <w:tcPr>
            <w:tcW w:w="20" w:type="dxa"/>
            <w:vAlign w:val="bottom"/>
          </w:tcPr>
          <w:p>
            <w:pPr>
              <w:spacing w:after="0"/>
              <w:rPr>
                <w:sz w:val="18"/>
                <w:szCs w:val="18"/>
                <w:color w:val="auto"/>
              </w:rPr>
            </w:pPr>
          </w:p>
        </w:tc>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Income tax (provision) benefit</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(20.6)</w:t>
            </w:r>
          </w:p>
        </w:tc>
        <w:tc>
          <w:tcPr>
            <w:tcW w:w="140" w:type="dxa"/>
            <w:vAlign w:val="bottom"/>
          </w:tcPr>
          <w:p>
            <w:pPr>
              <w:spacing w:after="0"/>
              <w:rPr>
                <w:sz w:val="18"/>
                <w:szCs w:val="18"/>
                <w:color w:val="auto"/>
              </w:rPr>
            </w:pPr>
          </w:p>
        </w:tc>
        <w:tc>
          <w:tcPr>
            <w:tcW w:w="9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(11.0)</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(3.8)</w:t>
            </w:r>
          </w:p>
        </w:tc>
      </w:tr>
      <w:tr>
        <w:trPr>
          <w:trHeight w:val="27"/>
        </w:trPr>
        <w:tc>
          <w:tcPr>
            <w:tcW w:w="20" w:type="dxa"/>
            <w:vAlign w:val="bottom"/>
          </w:tcPr>
          <w:p>
            <w:pPr>
              <w:spacing w:after="0"/>
              <w:rPr>
                <w:sz w:val="2"/>
                <w:szCs w:val="2"/>
                <w:color w:val="auto"/>
              </w:rPr>
            </w:pPr>
          </w:p>
        </w:tc>
        <w:tc>
          <w:tcPr>
            <w:tcW w:w="55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Net income (loss)</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(3.3)</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14.7</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5.3</w:t>
            </w:r>
          </w:p>
        </w:tc>
      </w:tr>
      <w:tr>
        <w:trPr>
          <w:trHeight w:val="223"/>
        </w:trPr>
        <w:tc>
          <w:tcPr>
            <w:tcW w:w="20" w:type="dxa"/>
            <w:vAlign w:val="bottom"/>
          </w:tcPr>
          <w:p>
            <w:pPr>
              <w:spacing w:after="0"/>
              <w:rPr>
                <w:sz w:val="19"/>
                <w:szCs w:val="19"/>
                <w:color w:val="auto"/>
              </w:rPr>
            </w:pPr>
          </w:p>
        </w:tc>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 attributable to noncontrolling interests</w:t>
            </w: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0.6</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2.7</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(0.3)</w:t>
            </w:r>
          </w:p>
        </w:tc>
      </w:tr>
      <w:tr>
        <w:trPr>
          <w:trHeight w:val="202"/>
        </w:trPr>
        <w:tc>
          <w:tcPr>
            <w:tcW w:w="20" w:type="dxa"/>
            <w:vAlign w:val="bottom"/>
          </w:tcPr>
          <w:p>
            <w:pPr>
              <w:spacing w:after="0"/>
              <w:rPr>
                <w:sz w:val="17"/>
                <w:szCs w:val="17"/>
                <w:color w:val="auto"/>
              </w:rPr>
            </w:pPr>
          </w:p>
        </w:tc>
        <w:tc>
          <w:tcPr>
            <w:tcW w:w="5560" w:type="dxa"/>
            <w:vAlign w:val="bottom"/>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w w:val="97"/>
              </w:rPr>
              <w:t>Net income (loss) available to common stockholders of Great Lakes Dredge &amp;</w:t>
            </w: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55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Dock Corporation</w:t>
            </w:r>
          </w:p>
        </w:tc>
        <w:tc>
          <w:tcPr>
            <w:tcW w:w="8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(2.7)</w:t>
            </w: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w:t>
            </w:r>
          </w:p>
        </w:tc>
        <w:tc>
          <w:tcPr>
            <w:tcW w:w="5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17.5</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w:t>
            </w:r>
            <w:r>
              <w:rPr>
                <w:rFonts w:ascii="Times New Roman" w:cs="Times New Roman" w:eastAsia="Times New Roman" w:hAnsi="Times New Roman"/>
                <w:sz w:val="18"/>
                <w:szCs w:val="18"/>
                <w:u w:val="single" w:color="auto"/>
                <w:color w:val="auto"/>
              </w:rPr>
              <w:t>0</w:t>
            </w:r>
          </w:p>
        </w:tc>
      </w:tr>
      <w:tr>
        <w:trPr>
          <w:trHeight w:val="222"/>
        </w:trPr>
        <w:tc>
          <w:tcPr>
            <w:tcW w:w="5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Basic earnings (loss) per share (1)</w:t>
            </w: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0.28</w:t>
            </w:r>
          </w:p>
        </w:tc>
        <w:tc>
          <w:tcPr>
            <w:tcW w:w="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0.59</w:t>
            </w:r>
          </w:p>
        </w:tc>
        <w:tc>
          <w:tcPr>
            <w:tcW w:w="50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0.30</w:t>
            </w:r>
          </w:p>
        </w:tc>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0.09</w:t>
            </w:r>
          </w:p>
        </w:tc>
        <w:tc>
          <w:tcPr>
            <w:tcW w:w="100" w:type="dxa"/>
            <w:vAlign w:val="bottom"/>
          </w:tcPr>
          <w:p>
            <w:pPr>
              <w:spacing w:after="0"/>
              <w:rPr>
                <w:sz w:val="19"/>
                <w:szCs w:val="19"/>
                <w:color w:val="auto"/>
              </w:rPr>
            </w:pPr>
          </w:p>
        </w:tc>
      </w:tr>
      <w:tr>
        <w:trPr>
          <w:trHeight w:val="217"/>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weighted average shares</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2"/>
              </w:rPr>
              <w:t>59,195</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58,891</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58,647</w:t>
            </w:r>
          </w:p>
        </w:tc>
        <w:tc>
          <w:tcPr>
            <w:tcW w:w="50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58,507</w:t>
            </w:r>
          </w:p>
        </w:tc>
        <w:tc>
          <w:tcPr>
            <w:tcW w:w="78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58,469</w:t>
            </w:r>
          </w:p>
        </w:tc>
      </w:tr>
      <w:tr>
        <w:trPr>
          <w:trHeight w:val="216"/>
        </w:trPr>
        <w:tc>
          <w:tcPr>
            <w:tcW w:w="20" w:type="dxa"/>
            <w:vAlign w:val="bottom"/>
          </w:tcPr>
          <w:p>
            <w:pPr>
              <w:spacing w:after="0"/>
              <w:rPr>
                <w:sz w:val="18"/>
                <w:szCs w:val="18"/>
                <w:color w:val="auto"/>
              </w:rPr>
            </w:pPr>
          </w:p>
        </w:tc>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Diluted earnings (loss) per share (1)</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(0.05)</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0.28</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0.59</w:t>
            </w:r>
          </w:p>
        </w:tc>
        <w:tc>
          <w:tcPr>
            <w:tcW w:w="5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0.30</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0.09</w:t>
            </w: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 weighted average shares</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2"/>
              </w:rPr>
              <w:t>59,195</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59,230</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58,871</w:t>
            </w:r>
          </w:p>
        </w:tc>
        <w:tc>
          <w:tcPr>
            <w:tcW w:w="50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58,612</w:t>
            </w:r>
          </w:p>
        </w:tc>
        <w:tc>
          <w:tcPr>
            <w:tcW w:w="78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58,478</w:t>
            </w:r>
          </w:p>
        </w:tc>
      </w:tr>
      <w:tr>
        <w:trPr>
          <w:trHeight w:val="334"/>
        </w:trPr>
        <w:tc>
          <w:tcPr>
            <w:tcW w:w="20" w:type="dxa"/>
            <w:vAlign w:val="bottom"/>
          </w:tcPr>
          <w:p>
            <w:pPr>
              <w:spacing w:after="0"/>
              <w:rPr>
                <w:sz w:val="24"/>
                <w:szCs w:val="24"/>
                <w:color w:val="auto"/>
              </w:rPr>
            </w:pPr>
          </w:p>
        </w:tc>
        <w:tc>
          <w:tcPr>
            <w:tcW w:w="55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0" w:type="dxa"/>
            <w:vAlign w:val="bottom"/>
            <w:gridSpan w:val="5"/>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5"/>
              </w:rPr>
              <w:t>Year Ended December 31,</w:t>
            </w: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65"/>
        </w:trPr>
        <w:tc>
          <w:tcPr>
            <w:tcW w:w="20" w:type="dxa"/>
            <w:vAlign w:val="bottom"/>
          </w:tcPr>
          <w:p>
            <w:pPr>
              <w:spacing w:after="0"/>
              <w:rPr>
                <w:sz w:val="14"/>
                <w:szCs w:val="14"/>
                <w:color w:val="auto"/>
              </w:rPr>
            </w:pPr>
          </w:p>
        </w:tc>
        <w:tc>
          <w:tcPr>
            <w:tcW w:w="5560" w:type="dxa"/>
            <w:vAlign w:val="bottom"/>
          </w:tcPr>
          <w:p>
            <w:pPr>
              <w:spacing w:after="0"/>
              <w:rPr>
                <w:sz w:val="14"/>
                <w:szCs w:val="14"/>
                <w:color w:val="auto"/>
              </w:rPr>
            </w:pPr>
          </w:p>
        </w:tc>
        <w:tc>
          <w:tcPr>
            <w:tcW w:w="1340" w:type="dxa"/>
            <w:vAlign w:val="bottom"/>
            <w:gridSpan w:val="4"/>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2012</w:t>
            </w:r>
          </w:p>
        </w:tc>
        <w:tc>
          <w:tcPr>
            <w:tcW w:w="100" w:type="dxa"/>
            <w:vAlign w:val="bottom"/>
          </w:tcPr>
          <w:p>
            <w:pPr>
              <w:spacing w:after="0"/>
              <w:rPr>
                <w:sz w:val="14"/>
                <w:szCs w:val="14"/>
                <w:color w:val="auto"/>
              </w:rPr>
            </w:pPr>
          </w:p>
        </w:tc>
        <w:tc>
          <w:tcPr>
            <w:tcW w:w="980" w:type="dxa"/>
            <w:vAlign w:val="bottom"/>
            <w:gridSpan w:val="3"/>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2011</w:t>
            </w: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jc w:val="center"/>
              <w:ind w:right="74"/>
              <w:spacing w:after="0"/>
              <w:rPr>
                <w:sz w:val="20"/>
                <w:szCs w:val="20"/>
                <w:color w:val="auto"/>
              </w:rPr>
            </w:pPr>
            <w:r>
              <w:rPr>
                <w:rFonts w:ascii="Times New Roman" w:cs="Times New Roman" w:eastAsia="Times New Roman" w:hAnsi="Times New Roman"/>
                <w:sz w:val="14"/>
                <w:szCs w:val="14"/>
                <w:b w:val="1"/>
                <w:bCs w:val="1"/>
                <w:color w:val="auto"/>
                <w:w w:val="92"/>
              </w:rPr>
              <w:t>2010</w:t>
            </w: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jc w:val="right"/>
              <w:ind w:right="74"/>
              <w:spacing w:after="0"/>
              <w:rPr>
                <w:sz w:val="20"/>
                <w:szCs w:val="20"/>
                <w:color w:val="auto"/>
              </w:rPr>
            </w:pPr>
            <w:r>
              <w:rPr>
                <w:rFonts w:ascii="Times New Roman" w:cs="Times New Roman" w:eastAsia="Times New Roman" w:hAnsi="Times New Roman"/>
                <w:sz w:val="14"/>
                <w:szCs w:val="14"/>
                <w:b w:val="1"/>
                <w:bCs w:val="1"/>
                <w:color w:val="auto"/>
                <w:w w:val="99"/>
              </w:rPr>
              <w:t>2009</w:t>
            </w: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tcPr>
          <w:p>
            <w:pPr>
              <w:jc w:val="right"/>
              <w:ind w:right="54"/>
              <w:spacing w:after="0"/>
              <w:rPr>
                <w:sz w:val="20"/>
                <w:szCs w:val="20"/>
                <w:color w:val="auto"/>
              </w:rPr>
            </w:pPr>
            <w:r>
              <w:rPr>
                <w:rFonts w:ascii="Times New Roman" w:cs="Times New Roman" w:eastAsia="Times New Roman" w:hAnsi="Times New Roman"/>
                <w:sz w:val="14"/>
                <w:szCs w:val="14"/>
                <w:b w:val="1"/>
                <w:bCs w:val="1"/>
                <w:color w:val="auto"/>
              </w:rPr>
              <w:t>2008</w:t>
            </w:r>
          </w:p>
        </w:tc>
        <w:tc>
          <w:tcPr>
            <w:tcW w:w="10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55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540" w:type="dxa"/>
            <w:vAlign w:val="bottom"/>
            <w:tcBorders>
              <w:top w:val="single" w:sz="8" w:color="auto"/>
            </w:tcBorders>
            <w:gridSpan w:val="4"/>
          </w:tcPr>
          <w:p>
            <w:pPr>
              <w:jc w:val="center"/>
              <w:ind w:right="120"/>
              <w:spacing w:after="0" w:line="142" w:lineRule="exact"/>
              <w:rPr>
                <w:sz w:val="20"/>
                <w:szCs w:val="20"/>
                <w:color w:val="auto"/>
              </w:rPr>
            </w:pPr>
            <w:r>
              <w:rPr>
                <w:rFonts w:ascii="Times New Roman" w:cs="Times New Roman" w:eastAsia="Times New Roman" w:hAnsi="Times New Roman"/>
                <w:sz w:val="14"/>
                <w:szCs w:val="14"/>
                <w:color w:val="auto"/>
                <w:w w:val="94"/>
              </w:rPr>
              <w:t>(in millions)</w:t>
            </w:r>
          </w:p>
        </w:tc>
        <w:tc>
          <w:tcPr>
            <w:tcW w:w="14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Data:</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Adjusted EBITDA (2)</w:t>
            </w: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48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60.9</w:t>
            </w:r>
          </w:p>
        </w:tc>
        <w:tc>
          <w:tcPr>
            <w:tcW w:w="10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93.7</w:t>
            </w:r>
          </w:p>
        </w:tc>
        <w:tc>
          <w:tcPr>
            <w:tcW w:w="60" w:type="dxa"/>
            <w:vAlign w:val="bottom"/>
          </w:tcPr>
          <w:p>
            <w:pPr>
              <w:spacing w:after="0"/>
              <w:rPr>
                <w:sz w:val="18"/>
                <w:szCs w:val="18"/>
                <w:color w:val="auto"/>
              </w:rPr>
            </w:pP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$ 103.0</w:t>
            </w:r>
          </w:p>
        </w:tc>
        <w:tc>
          <w:tcPr>
            <w:tcW w:w="5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77.6</w:t>
            </w:r>
          </w:p>
        </w:tc>
        <w:tc>
          <w:tcPr>
            <w:tcW w:w="44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55.9</w:t>
            </w: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flows from operating activities</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24.6</w:t>
            </w: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123.5</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w:t>
            </w:r>
          </w:p>
        </w:tc>
        <w:tc>
          <w:tcPr>
            <w:tcW w:w="4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14.8</w:t>
            </w:r>
          </w:p>
        </w:tc>
      </w:tr>
      <w:tr>
        <w:trPr>
          <w:trHeight w:val="216"/>
        </w:trPr>
        <w:tc>
          <w:tcPr>
            <w:tcW w:w="20" w:type="dxa"/>
            <w:vAlign w:val="bottom"/>
          </w:tcPr>
          <w:p>
            <w:pPr>
              <w:spacing w:after="0"/>
              <w:rPr>
                <w:sz w:val="18"/>
                <w:szCs w:val="18"/>
                <w:color w:val="auto"/>
              </w:rPr>
            </w:pPr>
          </w:p>
        </w:tc>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Net cash flows from investing activities</w:t>
            </w:r>
          </w:p>
        </w:tc>
        <w:tc>
          <w:tcPr>
            <w:tcW w:w="13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(63.4)</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(16.7)</w:t>
            </w: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(62.7)</w:t>
            </w:r>
          </w:p>
        </w:tc>
        <w:tc>
          <w:tcPr>
            <w:tcW w:w="140" w:type="dxa"/>
            <w:vAlign w:val="bottom"/>
          </w:tcPr>
          <w:p>
            <w:pPr>
              <w:spacing w:after="0"/>
              <w:rPr>
                <w:sz w:val="18"/>
                <w:szCs w:val="18"/>
                <w:color w:val="auto"/>
              </w:rPr>
            </w:pPr>
          </w:p>
        </w:tc>
        <w:tc>
          <w:tcPr>
            <w:tcW w:w="9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(24.9)</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(26.3)</w:t>
            </w: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flows from financing activities</w:t>
            </w:r>
          </w:p>
        </w:tc>
        <w:tc>
          <w:tcPr>
            <w:tcW w:w="13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57.4</w:t>
            </w: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(15.6)</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(36.4)</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13.7</w:t>
            </w:r>
          </w:p>
        </w:tc>
      </w:tr>
      <w:tr>
        <w:trPr>
          <w:trHeight w:val="216"/>
        </w:trPr>
        <w:tc>
          <w:tcPr>
            <w:tcW w:w="20" w:type="dxa"/>
            <w:vAlign w:val="bottom"/>
          </w:tcPr>
          <w:p>
            <w:pPr>
              <w:spacing w:after="0"/>
              <w:rPr>
                <w:sz w:val="18"/>
                <w:szCs w:val="18"/>
                <w:color w:val="auto"/>
              </w:rPr>
            </w:pPr>
          </w:p>
        </w:tc>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40.0</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40.8</w:t>
            </w: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w:t>
            </w: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w:t>
            </w: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30.1</w:t>
            </w: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Maintenance expense</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51.8</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41.8</w:t>
            </w: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w:t>
            </w:r>
          </w:p>
        </w:tc>
        <w:tc>
          <w:tcPr>
            <w:tcW w:w="4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41.9</w:t>
            </w:r>
          </w:p>
        </w:tc>
      </w:tr>
      <w:tr>
        <w:trPr>
          <w:trHeight w:val="228"/>
        </w:trPr>
        <w:tc>
          <w:tcPr>
            <w:tcW w:w="20" w:type="dxa"/>
            <w:vAlign w:val="bottom"/>
          </w:tcPr>
          <w:p>
            <w:pPr>
              <w:spacing w:after="0"/>
              <w:rPr>
                <w:sz w:val="19"/>
                <w:szCs w:val="19"/>
                <w:color w:val="auto"/>
              </w:rPr>
            </w:pPr>
          </w:p>
        </w:tc>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Capital expenditures</w:t>
            </w: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66.5</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30.7</w:t>
            </w:r>
          </w:p>
        </w:tc>
        <w:tc>
          <w:tcPr>
            <w:tcW w:w="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w:t>
            </w:r>
          </w:p>
        </w:tc>
        <w:tc>
          <w:tcPr>
            <w:tcW w:w="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44.6</w:t>
            </w:r>
          </w:p>
        </w:tc>
      </w:tr>
      <w:tr>
        <w:trPr>
          <w:trHeight w:val="499"/>
        </w:trPr>
        <w:tc>
          <w:tcPr>
            <w:tcW w:w="20" w:type="dxa"/>
            <w:vAlign w:val="bottom"/>
          </w:tcPr>
          <w:p>
            <w:pPr>
              <w:spacing w:after="0"/>
              <w:rPr>
                <w:sz w:val="24"/>
                <w:szCs w:val="24"/>
                <w:color w:val="auto"/>
              </w:rPr>
            </w:pPr>
          </w:p>
        </w:tc>
        <w:tc>
          <w:tcPr>
            <w:tcW w:w="5560" w:type="dxa"/>
            <w:vAlign w:val="bottom"/>
          </w:tcPr>
          <w:p>
            <w:pPr>
              <w:spacing w:after="0"/>
              <w:rPr>
                <w:sz w:val="24"/>
                <w:szCs w:val="24"/>
                <w:color w:val="auto"/>
              </w:rPr>
            </w:pPr>
          </w:p>
        </w:tc>
        <w:tc>
          <w:tcPr>
            <w:tcW w:w="660" w:type="dxa"/>
            <w:vAlign w:val="bottom"/>
          </w:tcPr>
          <w:p>
            <w:pPr>
              <w:jc w:val="right"/>
              <w:ind w:right="355"/>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455" w:right="239" w:bottom="1440" w:gutter="0" w:footer="0" w:header="0"/>
        </w:sectPr>
      </w:pPr>
    </w:p>
    <w:bookmarkStart w:id="36" w:name="page37"/>
    <w:bookmarkEnd w:id="3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460" w:right="400" w:hanging="452"/>
        <w:spacing w:after="0" w:line="257" w:lineRule="auto"/>
        <w:tabs>
          <w:tab w:leader="none" w:pos="4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 to Note 1 in the Company’s consolidated financial statements for the years ended December 31, 2012, 2011 and 2010 and above information for additional details regarding these calculations.</w:t>
      </w:r>
    </w:p>
    <w:p>
      <w:pPr>
        <w:spacing w:after="0" w:line="1"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definition of Adjusted EBITDA in Item 7. Management’s Discussion and Analysis of Financial Condition and Results of Operations.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As of December 31,</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165"/>
        </w:trPr>
        <w:tc>
          <w:tcPr>
            <w:tcW w:w="7040" w:type="dxa"/>
            <w:vAlign w:val="bottom"/>
          </w:tcPr>
          <w:p>
            <w:pPr>
              <w:spacing w:after="0"/>
              <w:rPr>
                <w:sz w:val="14"/>
                <w:szCs w:val="14"/>
                <w:color w:val="auto"/>
              </w:rPr>
            </w:pPr>
          </w:p>
        </w:tc>
        <w:tc>
          <w:tcPr>
            <w:tcW w:w="720" w:type="dxa"/>
            <w:vAlign w:val="bottom"/>
            <w:tcBorders>
              <w:bottom w:val="single" w:sz="8" w:color="auto"/>
            </w:tcBorders>
          </w:tcPr>
          <w:p>
            <w:pPr>
              <w:jc w:val="right"/>
              <w:ind w:right="256"/>
              <w:spacing w:after="0"/>
              <w:rPr>
                <w:sz w:val="20"/>
                <w:szCs w:val="20"/>
                <w:color w:val="auto"/>
              </w:rPr>
            </w:pPr>
            <w:r>
              <w:rPr>
                <w:rFonts w:ascii="Times New Roman" w:cs="Times New Roman" w:eastAsia="Times New Roman" w:hAnsi="Times New Roman"/>
                <w:sz w:val="14"/>
                <w:szCs w:val="14"/>
                <w:b w:val="1"/>
                <w:bCs w:val="1"/>
                <w:color w:val="auto"/>
              </w:rPr>
              <w:t>2012</w:t>
            </w:r>
          </w:p>
        </w:tc>
        <w:tc>
          <w:tcPr>
            <w:tcW w:w="80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2011</w:t>
            </w:r>
          </w:p>
        </w:tc>
        <w:tc>
          <w:tcPr>
            <w:tcW w:w="1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2010</w:t>
            </w:r>
          </w:p>
        </w:tc>
        <w:tc>
          <w:tcPr>
            <w:tcW w:w="800" w:type="dxa"/>
            <w:vAlign w:val="bottom"/>
            <w:tcBorders>
              <w:bottom w:val="single" w:sz="8" w:color="auto"/>
            </w:tcBorders>
          </w:tcPr>
          <w:p>
            <w:pPr>
              <w:jc w:val="right"/>
              <w:ind w:right="256"/>
              <w:spacing w:after="0"/>
              <w:rPr>
                <w:sz w:val="20"/>
                <w:szCs w:val="20"/>
                <w:color w:val="auto"/>
              </w:rPr>
            </w:pPr>
            <w:r>
              <w:rPr>
                <w:rFonts w:ascii="Times New Roman" w:cs="Times New Roman" w:eastAsia="Times New Roman" w:hAnsi="Times New Roman"/>
                <w:sz w:val="14"/>
                <w:szCs w:val="14"/>
                <w:b w:val="1"/>
                <w:bCs w:val="1"/>
                <w:color w:val="auto"/>
              </w:rPr>
              <w:t>2009</w:t>
            </w:r>
          </w:p>
        </w:tc>
        <w:tc>
          <w:tcPr>
            <w:tcW w:w="72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2008</w:t>
            </w:r>
          </w:p>
        </w:tc>
        <w:tc>
          <w:tcPr>
            <w:tcW w:w="60" w:type="dxa"/>
            <w:vAlign w:val="bottom"/>
          </w:tcPr>
          <w:p>
            <w:pPr>
              <w:spacing w:after="0"/>
              <w:rPr>
                <w:sz w:val="14"/>
                <w:szCs w:val="14"/>
                <w:color w:val="auto"/>
              </w:rPr>
            </w:pPr>
          </w:p>
        </w:tc>
      </w:tr>
      <w:tr>
        <w:trPr>
          <w:trHeight w:val="142"/>
        </w:trPr>
        <w:tc>
          <w:tcPr>
            <w:tcW w:w="70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8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color w:val="auto"/>
                <w:w w:val="97"/>
              </w:rPr>
              <w:t>(in millions)</w:t>
            </w:r>
          </w:p>
        </w:tc>
        <w:tc>
          <w:tcPr>
            <w:tcW w:w="8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216"/>
        </w:trPr>
        <w:tc>
          <w:tcPr>
            <w:tcW w:w="7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Sheet Data:</w:t>
            </w:r>
          </w:p>
        </w:tc>
        <w:tc>
          <w:tcPr>
            <w:tcW w:w="7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704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720" w:type="dxa"/>
            <w:vAlign w:val="bottom"/>
          </w:tcPr>
          <w:p>
            <w:pPr>
              <w:jc w:val="right"/>
              <w:ind w:right="136"/>
              <w:spacing w:after="0"/>
              <w:rPr>
                <w:sz w:val="20"/>
                <w:szCs w:val="20"/>
                <w:color w:val="auto"/>
              </w:rPr>
            </w:pPr>
            <w:r>
              <w:rPr>
                <w:rFonts w:ascii="Times New Roman" w:cs="Times New Roman" w:eastAsia="Times New Roman" w:hAnsi="Times New Roman"/>
                <w:sz w:val="18"/>
                <w:szCs w:val="18"/>
                <w:color w:val="auto"/>
              </w:rPr>
              <w:t>$ 24.4</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$ 113.3</w:t>
            </w:r>
          </w:p>
        </w:tc>
        <w:tc>
          <w:tcPr>
            <w:tcW w:w="1280" w:type="dxa"/>
            <w:vAlign w:val="bottom"/>
          </w:tcPr>
          <w:p>
            <w:pPr>
              <w:jc w:val="right"/>
              <w:ind w:right="320"/>
              <w:spacing w:after="0"/>
              <w:rPr>
                <w:sz w:val="20"/>
                <w:szCs w:val="20"/>
                <w:color w:val="auto"/>
              </w:rPr>
            </w:pPr>
            <w:r>
              <w:rPr>
                <w:rFonts w:ascii="Times New Roman" w:cs="Times New Roman" w:eastAsia="Times New Roman" w:hAnsi="Times New Roman"/>
                <w:sz w:val="18"/>
                <w:szCs w:val="18"/>
                <w:color w:val="auto"/>
              </w:rPr>
              <w:t>$ 48.5</w:t>
            </w:r>
          </w:p>
        </w:tc>
        <w:tc>
          <w:tcPr>
            <w:tcW w:w="800" w:type="dxa"/>
            <w:vAlign w:val="bottom"/>
          </w:tcPr>
          <w:p>
            <w:pPr>
              <w:jc w:val="right"/>
              <w:ind w:right="156"/>
              <w:spacing w:after="0"/>
              <w:rPr>
                <w:sz w:val="20"/>
                <w:szCs w:val="20"/>
                <w:color w:val="auto"/>
              </w:rPr>
            </w:pPr>
            <w:r>
              <w:rPr>
                <w:rFonts w:ascii="Times New Roman" w:cs="Times New Roman" w:eastAsia="Times New Roman" w:hAnsi="Times New Roman"/>
                <w:sz w:val="18"/>
                <w:szCs w:val="18"/>
                <w:color w:val="auto"/>
              </w:rPr>
              <w:t>$  3.3</w:t>
            </w: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$ 10.5</w:t>
            </w:r>
          </w:p>
        </w:tc>
      </w:tr>
      <w:tr>
        <w:trPr>
          <w:trHeight w:val="216"/>
        </w:trPr>
        <w:tc>
          <w:tcPr>
            <w:tcW w:w="7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Working capital</w:t>
            </w:r>
          </w:p>
        </w:tc>
        <w:tc>
          <w:tcPr>
            <w:tcW w:w="72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127.7</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195.3</w:t>
            </w:r>
          </w:p>
        </w:tc>
        <w:tc>
          <w:tcPr>
            <w:tcW w:w="1280" w:type="dxa"/>
            <w:vAlign w:val="bottom"/>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90.2</w:t>
            </w:r>
          </w:p>
        </w:tc>
        <w:tc>
          <w:tcPr>
            <w:tcW w:w="80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8"/>
                <w:szCs w:val="18"/>
                <w:color w:val="auto"/>
              </w:rPr>
              <w:t>91.3</w:t>
            </w: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87.7</w:t>
            </w:r>
          </w:p>
        </w:tc>
      </w:tr>
      <w:tr>
        <w:trPr>
          <w:trHeight w:val="216"/>
        </w:trPr>
        <w:tc>
          <w:tcPr>
            <w:tcW w:w="7040" w:type="dxa"/>
            <w:vAlign w:val="bottom"/>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720" w:type="dxa"/>
            <w:vAlign w:val="bottom"/>
          </w:tcPr>
          <w:p>
            <w:pPr>
              <w:jc w:val="right"/>
              <w:ind w:right="136"/>
              <w:spacing w:after="0"/>
              <w:rPr>
                <w:sz w:val="20"/>
                <w:szCs w:val="20"/>
                <w:color w:val="auto"/>
              </w:rPr>
            </w:pPr>
            <w:r>
              <w:rPr>
                <w:rFonts w:ascii="Times New Roman" w:cs="Times New Roman" w:eastAsia="Times New Roman" w:hAnsi="Times New Roman"/>
                <w:sz w:val="18"/>
                <w:szCs w:val="18"/>
                <w:color w:val="auto"/>
              </w:rPr>
              <w:t>826.4</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788.5</w:t>
            </w:r>
          </w:p>
        </w:tc>
        <w:tc>
          <w:tcPr>
            <w:tcW w:w="1280" w:type="dxa"/>
            <w:vAlign w:val="bottom"/>
          </w:tcPr>
          <w:p>
            <w:pPr>
              <w:jc w:val="right"/>
              <w:ind w:right="320"/>
              <w:spacing w:after="0"/>
              <w:rPr>
                <w:sz w:val="20"/>
                <w:szCs w:val="20"/>
                <w:color w:val="auto"/>
              </w:rPr>
            </w:pPr>
            <w:r>
              <w:rPr>
                <w:rFonts w:ascii="Times New Roman" w:cs="Times New Roman" w:eastAsia="Times New Roman" w:hAnsi="Times New Roman"/>
                <w:sz w:val="18"/>
                <w:szCs w:val="18"/>
                <w:color w:val="auto"/>
              </w:rPr>
              <w:t>693.8</w:t>
            </w:r>
          </w:p>
        </w:tc>
        <w:tc>
          <w:tcPr>
            <w:tcW w:w="800" w:type="dxa"/>
            <w:vAlign w:val="bottom"/>
          </w:tcPr>
          <w:p>
            <w:pPr>
              <w:jc w:val="right"/>
              <w:ind w:right="156"/>
              <w:spacing w:after="0"/>
              <w:rPr>
                <w:sz w:val="20"/>
                <w:szCs w:val="20"/>
                <w:color w:val="auto"/>
              </w:rPr>
            </w:pPr>
            <w:r>
              <w:rPr>
                <w:rFonts w:ascii="Times New Roman" w:cs="Times New Roman" w:eastAsia="Times New Roman" w:hAnsi="Times New Roman"/>
                <w:sz w:val="18"/>
                <w:szCs w:val="18"/>
                <w:color w:val="auto"/>
              </w:rPr>
              <w:t>665.4</w:t>
            </w: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666.2</w:t>
            </w:r>
          </w:p>
        </w:tc>
      </w:tr>
      <w:tr>
        <w:trPr>
          <w:trHeight w:val="216"/>
        </w:trPr>
        <w:tc>
          <w:tcPr>
            <w:tcW w:w="7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 term senior debt, promissory notes and subordinated notes</w:t>
            </w:r>
          </w:p>
        </w:tc>
        <w:tc>
          <w:tcPr>
            <w:tcW w:w="72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263.1</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255.0</w:t>
            </w:r>
          </w:p>
        </w:tc>
        <w:tc>
          <w:tcPr>
            <w:tcW w:w="1280" w:type="dxa"/>
            <w:vAlign w:val="bottom"/>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182.5</w:t>
            </w:r>
          </w:p>
        </w:tc>
        <w:tc>
          <w:tcPr>
            <w:tcW w:w="80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8"/>
                <w:szCs w:val="18"/>
                <w:color w:val="auto"/>
              </w:rPr>
              <w:t>186.0</w:t>
            </w: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216.5</w:t>
            </w:r>
          </w:p>
        </w:tc>
      </w:tr>
      <w:tr>
        <w:trPr>
          <w:trHeight w:val="228"/>
        </w:trPr>
        <w:tc>
          <w:tcPr>
            <w:tcW w:w="7040" w:type="dxa"/>
            <w:vAlign w:val="bottom"/>
          </w:tcPr>
          <w:p>
            <w:pPr>
              <w:spacing w:after="0"/>
              <w:rPr>
                <w:sz w:val="20"/>
                <w:szCs w:val="20"/>
                <w:color w:val="auto"/>
              </w:rPr>
            </w:pPr>
            <w:r>
              <w:rPr>
                <w:rFonts w:ascii="Times New Roman" w:cs="Times New Roman" w:eastAsia="Times New Roman" w:hAnsi="Times New Roman"/>
                <w:sz w:val="18"/>
                <w:szCs w:val="18"/>
                <w:color w:val="auto"/>
              </w:rPr>
              <w:t>Total stockholder’s equity</w:t>
            </w:r>
          </w:p>
        </w:tc>
        <w:tc>
          <w:tcPr>
            <w:tcW w:w="720" w:type="dxa"/>
            <w:vAlign w:val="bottom"/>
          </w:tcPr>
          <w:p>
            <w:pPr>
              <w:jc w:val="right"/>
              <w:ind w:right="136"/>
              <w:spacing w:after="0"/>
              <w:rPr>
                <w:sz w:val="20"/>
                <w:szCs w:val="20"/>
                <w:color w:val="auto"/>
              </w:rPr>
            </w:pPr>
            <w:r>
              <w:rPr>
                <w:rFonts w:ascii="Times New Roman" w:cs="Times New Roman" w:eastAsia="Times New Roman" w:hAnsi="Times New Roman"/>
                <w:sz w:val="18"/>
                <w:szCs w:val="18"/>
                <w:color w:val="auto"/>
              </w:rPr>
              <w:t>273.4</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292.0</w:t>
            </w:r>
          </w:p>
        </w:tc>
        <w:tc>
          <w:tcPr>
            <w:tcW w:w="1280" w:type="dxa"/>
            <w:vAlign w:val="bottom"/>
          </w:tcPr>
          <w:p>
            <w:pPr>
              <w:jc w:val="right"/>
              <w:ind w:right="320"/>
              <w:spacing w:after="0"/>
              <w:rPr>
                <w:sz w:val="20"/>
                <w:szCs w:val="20"/>
                <w:color w:val="auto"/>
              </w:rPr>
            </w:pPr>
            <w:r>
              <w:rPr>
                <w:rFonts w:ascii="Times New Roman" w:cs="Times New Roman" w:eastAsia="Times New Roman" w:hAnsi="Times New Roman"/>
                <w:sz w:val="18"/>
                <w:szCs w:val="18"/>
                <w:color w:val="auto"/>
              </w:rPr>
              <w:t>279.0</w:t>
            </w:r>
          </w:p>
        </w:tc>
        <w:tc>
          <w:tcPr>
            <w:tcW w:w="800" w:type="dxa"/>
            <w:vAlign w:val="bottom"/>
          </w:tcPr>
          <w:p>
            <w:pPr>
              <w:jc w:val="right"/>
              <w:ind w:right="156"/>
              <w:spacing w:after="0"/>
              <w:rPr>
                <w:sz w:val="20"/>
                <w:szCs w:val="20"/>
                <w:color w:val="auto"/>
              </w:rPr>
            </w:pPr>
            <w:r>
              <w:rPr>
                <w:rFonts w:ascii="Times New Roman" w:cs="Times New Roman" w:eastAsia="Times New Roman" w:hAnsi="Times New Roman"/>
                <w:sz w:val="18"/>
                <w:szCs w:val="18"/>
                <w:color w:val="auto"/>
              </w:rPr>
              <w:t>245.8</w:t>
            </w: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228.1</w:t>
            </w:r>
          </w:p>
        </w:tc>
      </w:tr>
    </w:tbl>
    <w:p>
      <w:pPr>
        <w:spacing w:after="0" w:line="255" w:lineRule="exact"/>
        <w:rPr>
          <w:sz w:val="20"/>
          <w:szCs w:val="20"/>
          <w:color w:val="auto"/>
        </w:rPr>
      </w:pPr>
    </w:p>
    <w:p>
      <w:pPr>
        <w:ind w:right="3840"/>
        <w:spacing w:after="0" w:line="345" w:lineRule="auto"/>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 Overview</w:t>
      </w:r>
    </w:p>
    <w:p>
      <w:pPr>
        <w:spacing w:after="0" w:line="1" w:lineRule="exact"/>
        <w:rPr>
          <w:sz w:val="20"/>
          <w:szCs w:val="20"/>
          <w:color w:val="auto"/>
        </w:rPr>
      </w:pPr>
    </w:p>
    <w:p>
      <w:pPr>
        <w:ind w:right="280" w:firstLine="456"/>
        <w:spacing w:after="0" w:line="275" w:lineRule="auto"/>
        <w:rPr>
          <w:sz w:val="20"/>
          <w:szCs w:val="20"/>
          <w:color w:val="auto"/>
        </w:rPr>
      </w:pPr>
      <w:r>
        <w:rPr>
          <w:rFonts w:ascii="Times New Roman" w:cs="Times New Roman" w:eastAsia="Times New Roman" w:hAnsi="Times New Roman"/>
          <w:sz w:val="18"/>
          <w:szCs w:val="18"/>
          <w:color w:val="auto"/>
        </w:rPr>
        <w:t>The Company is the largest provider of dredging services in the United States. In addition, the Company is the only U.S. dredging service provider with significant international operations, which represented 19% of its dredging revenues for 2012.</w:t>
      </w:r>
    </w:p>
    <w:p>
      <w:pPr>
        <w:spacing w:after="0" w:line="120" w:lineRule="exact"/>
        <w:rPr>
          <w:sz w:val="20"/>
          <w:szCs w:val="20"/>
          <w:color w:val="auto"/>
        </w:rPr>
      </w:pPr>
    </w:p>
    <w:p>
      <w:pPr>
        <w:ind w:right="240" w:firstLine="456"/>
        <w:spacing w:after="0" w:line="256" w:lineRule="auto"/>
        <w:rPr>
          <w:sz w:val="20"/>
          <w:szCs w:val="20"/>
          <w:color w:val="auto"/>
        </w:rPr>
      </w:pPr>
      <w:r>
        <w:rPr>
          <w:rFonts w:ascii="Times New Roman" w:cs="Times New Roman" w:eastAsia="Times New Roman" w:hAnsi="Times New Roman"/>
          <w:sz w:val="18"/>
          <w:szCs w:val="18"/>
          <w:color w:val="auto"/>
        </w:rPr>
        <w:t>Dredging generally involves the enhancement or preservation of the navigability of waterways or the protection of shorelines through the removal or replenishment of soil, sand or rock. The U.S. dredging market consists of three primary types of work: capital, coastal protection (formerly referred to as beach nourishment) and maintenance. Capital projects include large port deepenings and other infrastructure projects such as land reclamations. Coastal protection projects include rebuilding of shoreline areas that have been damaged by storm activity or ongoing erosion. Maintenance projects include routine dredging of ports, rivers and channels to remove the regular build up of sediment.</w:t>
      </w:r>
    </w:p>
    <w:p>
      <w:pPr>
        <w:spacing w:after="0" w:line="139" w:lineRule="exact"/>
        <w:rPr>
          <w:sz w:val="20"/>
          <w:szCs w:val="20"/>
          <w:color w:val="auto"/>
        </w:rPr>
      </w:pPr>
    </w:p>
    <w:p>
      <w:pPr>
        <w:ind w:right="580" w:firstLine="456"/>
        <w:spacing w:after="0" w:line="262" w:lineRule="auto"/>
        <w:rPr>
          <w:sz w:val="20"/>
          <w:szCs w:val="20"/>
          <w:color w:val="auto"/>
        </w:rPr>
      </w:pPr>
      <w:r>
        <w:rPr>
          <w:rFonts w:ascii="Times New Roman" w:cs="Times New Roman" w:eastAsia="Times New Roman" w:hAnsi="Times New Roman"/>
          <w:sz w:val="18"/>
          <w:szCs w:val="18"/>
          <w:color w:val="auto"/>
        </w:rPr>
        <w:t>With the acquisition of L.W. Matteson, Inc. (“Matteson”) assets on December 31, 2010, the Company began to provide the following rivers &amp; lakes services in 2011: lake and river dredging, inland levee and construction dredging, environmental restoration and habitat improvement and other marine construction.</w:t>
      </w:r>
    </w:p>
    <w:p>
      <w:pPr>
        <w:spacing w:after="0" w:line="132" w:lineRule="exact"/>
        <w:rPr>
          <w:sz w:val="20"/>
          <w:szCs w:val="20"/>
          <w:color w:val="auto"/>
        </w:rPr>
      </w:pPr>
    </w:p>
    <w:p>
      <w:pPr>
        <w:ind w:right="300" w:firstLine="456"/>
        <w:spacing w:after="0" w:line="258" w:lineRule="auto"/>
        <w:rPr>
          <w:sz w:val="20"/>
          <w:szCs w:val="20"/>
          <w:color w:val="auto"/>
        </w:rPr>
      </w:pPr>
      <w:r>
        <w:rPr>
          <w:rFonts w:ascii="Times New Roman" w:cs="Times New Roman" w:eastAsia="Times New Roman" w:hAnsi="Times New Roman"/>
          <w:sz w:val="18"/>
          <w:szCs w:val="18"/>
          <w:color w:val="auto"/>
        </w:rPr>
        <w:t>On December 31, 2012, the Company acquired the assets and assumed certain liabilities of Terra, a respected provider of a wide variety of essential services for environmental, maintenance and infrastructure-related applications headquartered in Kalamazoo, MI, for a purchase price of approximately $26 million. The Terra acquisition has broadened the Company’s demolition segment with additional services and expertise as well as expanded its footprint in the Midwest.</w:t>
      </w:r>
    </w:p>
    <w:p>
      <w:pPr>
        <w:spacing w:after="0" w:line="136" w:lineRule="exact"/>
        <w:rPr>
          <w:sz w:val="20"/>
          <w:szCs w:val="20"/>
          <w:color w:val="auto"/>
        </w:rPr>
      </w:pPr>
    </w:p>
    <w:p>
      <w:pPr>
        <w:ind w:right="40" w:firstLine="456"/>
        <w:spacing w:after="0" w:line="258" w:lineRule="auto"/>
        <w:rPr>
          <w:sz w:val="20"/>
          <w:szCs w:val="20"/>
          <w:color w:val="auto"/>
        </w:rPr>
      </w:pPr>
      <w:r>
        <w:rPr>
          <w:rFonts w:ascii="Times New Roman" w:cs="Times New Roman" w:eastAsia="Times New Roman" w:hAnsi="Times New Roman"/>
          <w:sz w:val="18"/>
          <w:szCs w:val="18"/>
          <w:color w:val="auto"/>
        </w:rPr>
        <w:t>The Company’s bid market is defined as the aggregate dollar value of domestic projects on which the Company bid or could have bid if not for capacity constraints (“bid market”). The Company experienced an average combined bid market share in the U.S. of 39% over the prior three years, including 41%, 60% and 32% of the domestic capital, coastal protection and maintenance sectors, respectively. The foregoing bid market data does not reflect rivers &amp; lakes activities. The Company’s bid market share of rivers &amp; lakes has averaged 39% over the prior two years.</w:t>
      </w:r>
    </w:p>
    <w:p>
      <w:pPr>
        <w:spacing w:after="0" w:line="136" w:lineRule="exact"/>
        <w:rPr>
          <w:sz w:val="20"/>
          <w:szCs w:val="20"/>
          <w:color w:val="auto"/>
        </w:rPr>
      </w:pPr>
    </w:p>
    <w:p>
      <w:pPr>
        <w:jc w:val="both"/>
        <w:ind w:right="480" w:firstLine="456"/>
        <w:spacing w:after="0" w:line="262" w:lineRule="auto"/>
        <w:rPr>
          <w:sz w:val="20"/>
          <w:szCs w:val="20"/>
          <w:color w:val="auto"/>
        </w:rPr>
      </w:pPr>
      <w:r>
        <w:rPr>
          <w:rFonts w:ascii="Times New Roman" w:cs="Times New Roman" w:eastAsia="Times New Roman" w:hAnsi="Times New Roman"/>
          <w:sz w:val="18"/>
          <w:szCs w:val="18"/>
          <w:color w:val="auto"/>
        </w:rPr>
        <w:t>The Company’s fleet of 33 dredges, of which nine are deployed internationally, 19 material transportation barges, two drillboats, and numerous other specialized support vessels is the largest and most diverse fleet of any U.S. dredging company. For the dredging segment, the Company’s fleet of dredging equipment can be utilized on one or many types of work and in various geographic locations. This flexible approach to the Company’s fleet</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420"/>
          </w:cols>
          <w:pgMar w:left="240" w:top="455" w:right="239" w:bottom="1440" w:gutter="0" w:footer="0" w:header="0"/>
        </w:sectPr>
      </w:pPr>
    </w:p>
    <w:bookmarkStart w:id="37" w:name="page38"/>
    <w:bookmarkEnd w:id="3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spacing w:after="0" w:line="339" w:lineRule="auto"/>
        <w:rPr>
          <w:sz w:val="20"/>
          <w:szCs w:val="20"/>
          <w:color w:val="auto"/>
        </w:rPr>
      </w:pPr>
      <w:r>
        <w:rPr>
          <w:rFonts w:ascii="Times New Roman" w:cs="Times New Roman" w:eastAsia="Times New Roman" w:hAnsi="Times New Roman"/>
          <w:sz w:val="16"/>
          <w:szCs w:val="16"/>
          <w:color w:val="auto"/>
        </w:rPr>
        <w:t>utilization, driven by the project scope and equipment, enables us to move equipment in response to changes in demand for dredging services to take advantage of the most attractive opportunities. The Company estimates the replacement cost of the Company’s fleet to be in excess of $1.5 billion in the current market.</w:t>
      </w:r>
    </w:p>
    <w:p>
      <w:pPr>
        <w:spacing w:after="0" w:line="74"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The Company’s largest domestic dredging customer is the U.S. Army Corps of Engineers (the “Corps”), which has responsibility for federally funded projects related to navigation and flood control of U.S. waterways. The advance of multi-jurisdictional cost sharing arrangements are allowing the Corps to utilize funds from sources other than the federal budget to prioritize additional projects where waterway infrastructure improvements can have an impact to large regions. Although some of a project’s funding may ultimately be derived from multiple sources, the Corps maintains the authority over the project and is the Company’s customer. In 2012, the Company’s dredging revenues earned from contracts with federal government agencies, including the Corps as well as other federal entities such as the U.S. Coast Guard and the U.S. Navy, were approximately 69% of dredging revenues, up from the Company’s prior three year average of 59%.</w:t>
      </w:r>
    </w:p>
    <w:p>
      <w:pPr>
        <w:spacing w:after="0" w:line="141" w:lineRule="exact"/>
        <w:rPr>
          <w:sz w:val="20"/>
          <w:szCs w:val="20"/>
          <w:color w:val="auto"/>
        </w:rPr>
      </w:pPr>
    </w:p>
    <w:p>
      <w:pPr>
        <w:ind w:right="20" w:firstLine="456"/>
        <w:spacing w:after="0" w:line="289" w:lineRule="auto"/>
        <w:rPr>
          <w:sz w:val="20"/>
          <w:szCs w:val="20"/>
          <w:color w:val="auto"/>
        </w:rPr>
      </w:pPr>
      <w:r>
        <w:rPr>
          <w:rFonts w:ascii="Times New Roman" w:cs="Times New Roman" w:eastAsia="Times New Roman" w:hAnsi="Times New Roman"/>
          <w:sz w:val="16"/>
          <w:szCs w:val="16"/>
          <w:color w:val="auto"/>
        </w:rPr>
        <w:t>In 2012, demolition revenues accounted for 15% of total revenues, above the prior three year average of 12%. The demolition segment’s principal services consist of commercial and industrial demolition services such as interior and exterior demolition for site preparation as well as environmental remediation. Historically, the majority of the demolition segment’s work was performed in the New England area. Through increased collaboration with Great Lakes’ other lines of business, the demolition segment recently expanded into the New York area and marine demolition markets, specifically, bridge demolition across the eastern part of the U.S. Through an acquisition at the end of 2012, the demolition segment’s scope of work has been expanded into the Midwest U.S. market. The Company also owns 50% of Amboy Aggregates (“Amboy”) and 50% of TerraSea Environmental Solutions (“TerraSea”) as joint ventures. Amboy’s primary business is dredging sand from the entrance channel to the New York harbor in order to provide sand and aggregate for use in road and building construction and for clean land fill. Amboy also imports stone from upstate New York and Nova Scotia and distributes it throughout the New York area. TerraSea is engaged in the environmental services business through its ability to remediate contaminated soil and dredged sediment treatment.</w:t>
      </w:r>
    </w:p>
    <w:p>
      <w:pPr>
        <w:spacing w:after="0" w:line="33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Company operates in two reportable segments: dredging and demolition.</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 Revenues</w:t>
      </w:r>
    </w:p>
    <w:p>
      <w:pPr>
        <w:spacing w:after="0" w:line="92" w:lineRule="exact"/>
        <w:rPr>
          <w:sz w:val="20"/>
          <w:szCs w:val="20"/>
          <w:color w:val="auto"/>
        </w:rPr>
      </w:pPr>
    </w:p>
    <w:p>
      <w:pPr>
        <w:ind w:right="480" w:firstLine="456"/>
        <w:spacing w:after="0" w:line="262" w:lineRule="auto"/>
        <w:rPr>
          <w:sz w:val="20"/>
          <w:szCs w:val="20"/>
          <w:color w:val="auto"/>
        </w:rPr>
      </w:pPr>
      <w:r>
        <w:rPr>
          <w:rFonts w:ascii="Times New Roman" w:cs="Times New Roman" w:eastAsia="Times New Roman" w:hAnsi="Times New Roman"/>
          <w:sz w:val="18"/>
          <w:szCs w:val="18"/>
          <w:color w:val="auto"/>
        </w:rPr>
        <w:t>Most of the Company’s dredging contracts are obtained through competitive bidding on terms specified by the party inviting the bid. The types of equipment required to perform the specified service and the estimated project duration affect the cost of performing the contract and the price that dredging contractors will bid.</w:t>
      </w:r>
    </w:p>
    <w:p>
      <w:pPr>
        <w:spacing w:after="0" w:line="132" w:lineRule="exact"/>
        <w:rPr>
          <w:sz w:val="20"/>
          <w:szCs w:val="20"/>
          <w:color w:val="auto"/>
        </w:rPr>
      </w:pPr>
    </w:p>
    <w:p>
      <w:pPr>
        <w:ind w:right="20" w:firstLine="456"/>
        <w:spacing w:after="0" w:line="288" w:lineRule="auto"/>
        <w:rPr>
          <w:sz w:val="20"/>
          <w:szCs w:val="20"/>
          <w:color w:val="auto"/>
        </w:rPr>
      </w:pPr>
      <w:r>
        <w:rPr>
          <w:rFonts w:ascii="Times New Roman" w:cs="Times New Roman" w:eastAsia="Times New Roman" w:hAnsi="Times New Roman"/>
          <w:sz w:val="16"/>
          <w:szCs w:val="16"/>
          <w:color w:val="auto"/>
        </w:rPr>
        <w:t>The Company recognizes contract revenues under the percentage-of-completion method, based on the Company’s engineering estimates of the physical percentage completed for dredging projects and using a cost-to-cost approach for demolition projects. For dredging projects, costs of contract revenues are adjusted to reflect the gross profit percentage expected to be achieved upon ultimate completion of each dredging project. For demolition projects, contract revenues are adjusted to reflect the estimated gross profit percentage. Provisions for estimated losses on contracts in progress are made in the period in which such losses are determined. Claims for additional compensation due to the Company are not recognized in contract revenues until such claims are settled. Billings on contracts are generally submitted after verification with the customers of physical progress and may not match the timing of revenue recognition. The difference between amounts billed and recognized as revenue is reflected in the balance sheet as either contract revenues in excess of billings or billings in excess of contract revenues. Contract modifications may be negotiated when a change from the original contract specifications is encountered, necessitating a change in project scope or performance methodology and/or material disposal. Significant expenditures incurred directly for major contracts are deferred and recognized as costs of contracts based on contract performance over the duration of the related project. These expenditures are reported as prepaid expenses.</w:t>
      </w:r>
    </w:p>
    <w:p>
      <w:pPr>
        <w:spacing w:after="0" w:line="11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See Item 9A. “Controls and Procedures.”</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400"/>
          </w:cols>
          <w:pgMar w:left="240" w:top="455" w:right="259" w:bottom="1440" w:gutter="0" w:footer="0" w:header="0"/>
        </w:sectPr>
      </w:pPr>
    </w:p>
    <w:bookmarkStart w:id="38" w:name="page39"/>
    <w:bookmarkEnd w:id="3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Costs and Expenses</w:t>
      </w:r>
    </w:p>
    <w:p>
      <w:pPr>
        <w:spacing w:after="0" w:line="92" w:lineRule="exact"/>
        <w:rPr>
          <w:sz w:val="20"/>
          <w:szCs w:val="20"/>
          <w:color w:val="auto"/>
        </w:rPr>
      </w:pPr>
    </w:p>
    <w:p>
      <w:pPr>
        <w:ind w:right="160" w:firstLine="456"/>
        <w:spacing w:after="0" w:line="258" w:lineRule="auto"/>
        <w:rPr>
          <w:sz w:val="20"/>
          <w:szCs w:val="20"/>
          <w:color w:val="auto"/>
        </w:rPr>
      </w:pPr>
      <w:r>
        <w:rPr>
          <w:rFonts w:ascii="Times New Roman" w:cs="Times New Roman" w:eastAsia="Times New Roman" w:hAnsi="Times New Roman"/>
          <w:sz w:val="18"/>
          <w:szCs w:val="18"/>
          <w:color w:val="auto"/>
        </w:rPr>
        <w:t>The components of costs of contract revenues include labor, equipment (including depreciation, maintenance, insurance and long-term rentals), fuel, subcontracts, short-term rentals and project overhead. Hourly labor is generally hired on a project-by-project basis. Much of our domestic hourly labor force is represented by labor unions with collective bargaining agreements that expire at various dates during 2013 through 2015, which historically have been extended without disruption.</w:t>
      </w:r>
    </w:p>
    <w:p>
      <w:pPr>
        <w:spacing w:after="0" w:line="136" w:lineRule="exact"/>
        <w:rPr>
          <w:sz w:val="20"/>
          <w:szCs w:val="20"/>
          <w:color w:val="auto"/>
        </w:rPr>
      </w:pPr>
    </w:p>
    <w:p>
      <w:pPr>
        <w:ind w:right="320"/>
        <w:spacing w:after="0" w:line="262" w:lineRule="auto"/>
        <w:rPr>
          <w:sz w:val="20"/>
          <w:szCs w:val="20"/>
          <w:color w:val="auto"/>
        </w:rPr>
      </w:pPr>
      <w:r>
        <w:rPr>
          <w:rFonts w:ascii="Times New Roman" w:cs="Times New Roman" w:eastAsia="Times New Roman" w:hAnsi="Times New Roman"/>
          <w:sz w:val="18"/>
          <w:szCs w:val="18"/>
          <w:color w:val="auto"/>
        </w:rPr>
        <w:t>Costs of contract revenues vary significantly depending on the type and location of work performed and assets utilized. Generally, capital projects have the highest margins due to the complexity of the projects, while coastal protection projects have the most volatile margins because they are most often exposed to variability in weather conditions.</w:t>
      </w:r>
    </w:p>
    <w:p>
      <w:pPr>
        <w:spacing w:after="0" w:line="132"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The Company’s cost structure includes significant annual equipment related costs, including depreciation, maintenance, insurance and long-term equipment rentals, averaging approximately 21% to 25% of total costs of contract revenues over the last three years. During the year, both equipment utilization and the timing of cost expenditures fluctuate significantly. Accordingly, the Company allocates these equipment costs to interim periods in proportion to revenues recognized over the year to better match revenues and expenses. Specifically, at each interim reporting date the Company compares actual revenues earned to date on the Company’s dredging contracts to expected annual revenues and recognizes equipment costs on the same proportionate basis. In the fourth quarter, any over or under allocated equipment costs are recognized such that the expense for the year equals actual equipment costs incurred during the year. As a result of this methodology, the recorded expense in any interim period may be higher or lower than the actual equipment costs incurred in that interim period.</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Primary Factors that Determine Operating Profitability</w:t>
      </w:r>
    </w:p>
    <w:p>
      <w:pPr>
        <w:spacing w:after="0" w:line="90" w:lineRule="exact"/>
        <w:rPr>
          <w:sz w:val="20"/>
          <w:szCs w:val="20"/>
          <w:color w:val="auto"/>
        </w:rPr>
      </w:pPr>
    </w:p>
    <w:p>
      <w:pPr>
        <w:ind w:right="100" w:firstLine="456"/>
        <w:spacing w:after="0" w:line="277" w:lineRule="auto"/>
        <w:rPr>
          <w:sz w:val="20"/>
          <w:szCs w:val="20"/>
          <w:color w:val="auto"/>
        </w:rPr>
      </w:pPr>
      <w:r>
        <w:rPr>
          <w:rFonts w:ascii="Times New Roman" w:cs="Times New Roman" w:eastAsia="Times New Roman" w:hAnsi="Times New Roman"/>
          <w:sz w:val="18"/>
          <w:szCs w:val="18"/>
          <w:i w:val="1"/>
          <w:iCs w:val="1"/>
          <w:color w:val="auto"/>
        </w:rPr>
        <w:t>Dredging</w:t>
      </w:r>
      <w:r>
        <w:rPr>
          <w:rFonts w:ascii="Times New Roman" w:cs="Times New Roman" w:eastAsia="Times New Roman" w:hAnsi="Times New Roman"/>
          <w:sz w:val="18"/>
          <w:szCs w:val="18"/>
          <w:color w:val="auto"/>
        </w:rPr>
        <w:t>. The Company’s results of operations for its dredging segment for a calendar or quarterly period are generally determined by the following three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factors:</w:t>
      </w:r>
    </w:p>
    <w:p>
      <w:pPr>
        <w:spacing w:after="0" w:line="157" w:lineRule="exact"/>
        <w:rPr>
          <w:sz w:val="20"/>
          <w:szCs w:val="20"/>
          <w:color w:val="auto"/>
        </w:rPr>
      </w:pPr>
    </w:p>
    <w:p>
      <w:pPr>
        <w:ind w:left="900" w:right="60" w:hanging="325"/>
        <w:spacing w:after="0" w:line="257" w:lineRule="auto"/>
        <w:tabs>
          <w:tab w:leader="none" w:pos="9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Bid wins and dredge employment </w:t>
      </w:r>
      <w:r>
        <w:rPr>
          <w:rFonts w:ascii="Times New Roman" w:cs="Times New Roman" w:eastAsia="Times New Roman" w:hAnsi="Times New Roman"/>
          <w:sz w:val="18"/>
          <w:szCs w:val="18"/>
          <w:color w:val="auto"/>
        </w:rPr>
        <w:t>—The Company’s dredging segment generates revenues when the Company wins a bid for a dredging contract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starts that project. Although the Company’s dredging equipment is subject to downtime for scheduled periodic maintenance and repair, the Company seeks to maximize its revenues by employing its dredging equipment on a full-time basis. If a dredge is idle (i.e., the dredge is not employed on a dredging project or undergoing scheduled periodic maintenance and repair), the Company does not earn revenue with respect to that dredge during the time period for which it is idle.</w:t>
      </w:r>
    </w:p>
    <w:p>
      <w:pPr>
        <w:spacing w:after="0" w:line="53" w:lineRule="exact"/>
        <w:rPr>
          <w:rFonts w:ascii="Times New Roman" w:cs="Times New Roman" w:eastAsia="Times New Roman" w:hAnsi="Times New Roman"/>
          <w:sz w:val="18"/>
          <w:szCs w:val="18"/>
          <w:color w:val="auto"/>
        </w:rPr>
      </w:pPr>
    </w:p>
    <w:p>
      <w:pPr>
        <w:ind w:left="900" w:right="180" w:hanging="325"/>
        <w:spacing w:after="0" w:line="302" w:lineRule="auto"/>
        <w:tabs>
          <w:tab w:leader="none" w:pos="90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Project and dredge mix </w:t>
      </w:r>
      <w:r>
        <w:rPr>
          <w:rFonts w:ascii="Times New Roman" w:cs="Times New Roman" w:eastAsia="Times New Roman" w:hAnsi="Times New Roman"/>
          <w:sz w:val="16"/>
          <w:szCs w:val="16"/>
          <w:color w:val="auto"/>
        </w:rPr>
        <w:t>—The Company’s domestic dredging projects generally involve domestic capital, maintenance and coastal protection work</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and its foreign dredging projects generally involve capital work. In addition, the Company’s dredging projects vary in duration and, in general, projects of longer duration result in less dredge downtime in a given period. Moreover, the Company’s dredges have different physical capabilities and typically work on certain types of dredging projects. Accordingly, the Company’s dredges have different daily revenue generating capacities.</w:t>
      </w:r>
    </w:p>
    <w:p>
      <w:pPr>
        <w:spacing w:after="0" w:line="21" w:lineRule="exact"/>
        <w:rPr>
          <w:sz w:val="20"/>
          <w:szCs w:val="20"/>
          <w:color w:val="auto"/>
        </w:rPr>
      </w:pPr>
    </w:p>
    <w:p>
      <w:pPr>
        <w:ind w:left="920"/>
        <w:spacing w:after="0" w:line="254" w:lineRule="auto"/>
        <w:rPr>
          <w:sz w:val="20"/>
          <w:szCs w:val="20"/>
          <w:color w:val="auto"/>
        </w:rPr>
      </w:pPr>
      <w:r>
        <w:rPr>
          <w:rFonts w:ascii="Times New Roman" w:cs="Times New Roman" w:eastAsia="Times New Roman" w:hAnsi="Times New Roman"/>
          <w:sz w:val="18"/>
          <w:szCs w:val="18"/>
          <w:color w:val="auto"/>
        </w:rPr>
        <w:t>The Company generally expects to achieve different levels of gross margin (i.e., gross profit divided by revenues) for work performed on the different types of dredging projects and for work performed by different types of dredges. The Company’s expected gross margin for a project is based upon the Company’s estimates at the time of the bid. Although the Company seeks to bid on and win projects that will maximize its gross margin, the Company cannot control the type of dredging projects that are available for bid from time to time, the type of dredge that is needed to complete these projects or the time schedule upon which these projects are required to be completed. As a result, in some quarters the Company works on a mix of dredging projects that, in the aggregate, have relatively high expected gross margins (based on project type and dredges employed) and in other quarters, the Company works on a mix of dredging projects that, in the aggregate, have relatively low expected gross margins (based on project type and dredges employed).</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420"/>
          </w:cols>
          <w:pgMar w:left="240" w:top="455" w:right="239" w:bottom="1440" w:gutter="0" w:footer="0" w:header="0"/>
        </w:sectPr>
      </w:pPr>
    </w:p>
    <w:bookmarkStart w:id="39" w:name="page40"/>
    <w:bookmarkEnd w:id="3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900" w:right="20" w:hanging="325"/>
        <w:spacing w:after="0" w:line="255" w:lineRule="auto"/>
        <w:tabs>
          <w:tab w:leader="none" w:pos="9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Project execution </w:t>
      </w:r>
      <w:r>
        <w:rPr>
          <w:rFonts w:ascii="Times New Roman" w:cs="Times New Roman" w:eastAsia="Times New Roman" w:hAnsi="Times New Roman"/>
          <w:sz w:val="18"/>
          <w:szCs w:val="18"/>
          <w:color w:val="auto"/>
        </w:rPr>
        <w:t>—The Company seeks to execute all of its dredging projects consistent with its project estimates. In general, the Company’s ability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achieve its project estimates depends upon many factors including weather, variances from estimated project conditions, equipment mobilization time periods, unplanned equipment downtime or other events or circumstances beyond the Company’s control. If the Company experiences any of these events and circumstances, the completion of a dredging project will often be accelerated or delayed, as applicable, and, consequently, the Company will experience project results that are better or worse than its estimates. The Company does its best to estimate for events and circumstances that are not within its control; however, these situations are inherent in dredging.</w:t>
      </w:r>
    </w:p>
    <w:p>
      <w:pPr>
        <w:spacing w:after="0" w:line="139" w:lineRule="exact"/>
        <w:rPr>
          <w:sz w:val="20"/>
          <w:szCs w:val="20"/>
          <w:color w:val="auto"/>
        </w:rPr>
      </w:pPr>
    </w:p>
    <w:p>
      <w:pPr>
        <w:ind w:firstLine="456"/>
        <w:spacing w:after="0" w:line="312" w:lineRule="auto"/>
        <w:rPr>
          <w:sz w:val="20"/>
          <w:szCs w:val="20"/>
          <w:color w:val="auto"/>
        </w:rPr>
      </w:pPr>
      <w:r>
        <w:rPr>
          <w:rFonts w:ascii="Times New Roman" w:cs="Times New Roman" w:eastAsia="Times New Roman" w:hAnsi="Times New Roman"/>
          <w:sz w:val="16"/>
          <w:szCs w:val="16"/>
          <w:i w:val="1"/>
          <w:iCs w:val="1"/>
          <w:color w:val="auto"/>
        </w:rPr>
        <w:t xml:space="preserve">Demolition. </w:t>
      </w:r>
      <w:r>
        <w:rPr>
          <w:rFonts w:ascii="Times New Roman" w:cs="Times New Roman" w:eastAsia="Times New Roman" w:hAnsi="Times New Roman"/>
          <w:sz w:val="16"/>
          <w:szCs w:val="16"/>
          <w:color w:val="auto"/>
        </w:rPr>
        <w:t>The Company’s demolition segment generates revenues when the Company is awarded a contract for demolition services and starts the project.</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The Company’s revenues from its demolition segment increase or decrease based upon market demand. Like the Company’s dredging segment, results of operations for the Company’s demolition segment fluctuate based upon project mix and the Company’s ability to execute its projects consistent with its estimates.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92" w:lineRule="exact"/>
        <w:rPr>
          <w:sz w:val="20"/>
          <w:szCs w:val="20"/>
          <w:color w:val="auto"/>
        </w:rPr>
      </w:pPr>
    </w:p>
    <w:p>
      <w:pPr>
        <w:ind w:right="80" w:firstLine="456"/>
        <w:spacing w:after="0" w:line="254" w:lineRule="auto"/>
        <w:rPr>
          <w:sz w:val="20"/>
          <w:szCs w:val="20"/>
          <w:color w:val="auto"/>
        </w:rPr>
      </w:pPr>
      <w:r>
        <w:rPr>
          <w:rFonts w:ascii="Times New Roman" w:cs="Times New Roman" w:eastAsia="Times New Roman" w:hAnsi="Times New Roman"/>
          <w:sz w:val="18"/>
          <w:szCs w:val="18"/>
          <w:color w:val="auto"/>
        </w:rPr>
        <w:t>Our significant accounting policies are discussed in the Notes to the consolidated financial statements. The application of certain of these policies requires significant judgments or an estimation process that can affect the Company’s results of operations, financial position and cash flows, as well as the related footnote disclosures. The Company bases its estimates on historical experience and other assumptions that it believes are reasonable. If actual amounts are ultimately different from previous estimates, the revisions are included in the Company’s results of operations for the period in which the actual amounts become known. As disclosed in Item 9A. “Controls and Procedures,” the Company is implementing a remediation plan to address a material weakness in revenue recognition. The following accounting policies comprise those that management believes are the most critical to aid in fully understanding and evaluating the Company’s reported financial results.</w:t>
      </w:r>
    </w:p>
    <w:p>
      <w:pPr>
        <w:spacing w:after="0" w:line="139" w:lineRule="exact"/>
        <w:rPr>
          <w:sz w:val="20"/>
          <w:szCs w:val="20"/>
          <w:color w:val="auto"/>
        </w:rPr>
      </w:pPr>
    </w:p>
    <w:p>
      <w:pPr>
        <w:ind w:right="40" w:firstLine="456"/>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Percentage-of-completion method of revenue recognition </w:t>
      </w:r>
      <w:r>
        <w:rPr>
          <w:rFonts w:ascii="Times New Roman" w:cs="Times New Roman" w:eastAsia="Times New Roman" w:hAnsi="Times New Roman"/>
          <w:sz w:val="18"/>
          <w:szCs w:val="18"/>
          <w:color w:val="auto"/>
        </w:rPr>
        <w:t>—The Company’s contract revenues are recognized under the percentage-of-completion method,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which is by its nature based on an estimation process. For dredging projects, the Company uses engineering estimates of the physical percentage of completion. For demolition projects, the Company uses estimates of remaining costs-to-complete to determine the percentage of project completion. In preparing estimates, the Company draws on its extensive experience in the dredging and demolition businesses and its database of historical dredging information to ensure that its estimates are as accurate as possible, given current circumstances. Provisions for estimated losses on contracts in progress are made in the period in which such losses are determined. Change orders are not recognized in revenue until the recovery is probable and collectability is reasonably assured. Claims for additional compensation are not recognized in contract revenues until such claims are settled. Cost and profit estimates are reviewed on a periodic basis to reflect changes in expected project performance.</w:t>
      </w:r>
    </w:p>
    <w:p>
      <w:pPr>
        <w:spacing w:after="0" w:line="138" w:lineRule="exact"/>
        <w:rPr>
          <w:sz w:val="20"/>
          <w:szCs w:val="20"/>
          <w:color w:val="auto"/>
        </w:rPr>
      </w:pPr>
    </w:p>
    <w:p>
      <w:pPr>
        <w:ind w:right="20" w:firstLine="456"/>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Impairment of goodwill </w:t>
      </w:r>
      <w:r>
        <w:rPr>
          <w:rFonts w:ascii="Times New Roman" w:cs="Times New Roman" w:eastAsia="Times New Roman" w:hAnsi="Times New Roman"/>
          <w:sz w:val="18"/>
          <w:szCs w:val="18"/>
          <w:color w:val="auto"/>
        </w:rPr>
        <w:t>—Goodwill is tested for impairment at the reporting unit level on an annual basis and between annual tests if an event occurs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circumstances change that would more likely than not reduce the fair value of the reporting unit below its carrying value. The Company believes that this estimate is a critical accounting estimate because: (i) goodwill is a material asset and (ii) the impact of an impairment could be material to the consolidated balance sheet and consolidated statement of operations. The Company performs its annual impairment test as of July 1 each year. The Company operates in two reportable segments: dredging and demolition. Four operating segments were aggregated into two reportable segments as the segments have similarity in economic margins, services, production processes, customer types, distribution methods and regulatory environment. The Company has determined that the operating segments are the Company’s four reporting units. Prior to the re-evaluation of segments at year end, the Company had two reportable segments that were the operating segments and the reporting units.</w:t>
      </w:r>
    </w:p>
    <w:p>
      <w:pPr>
        <w:spacing w:after="0" w:line="1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420"/>
          </w:cols>
          <w:pgMar w:left="240" w:top="455" w:right="239" w:bottom="1440" w:gutter="0" w:footer="0" w:header="0"/>
        </w:sectPr>
      </w:pPr>
    </w:p>
    <w:bookmarkStart w:id="40" w:name="page41"/>
    <w:bookmarkEnd w:id="4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60" w:firstLine="456"/>
        <w:spacing w:after="0" w:line="255" w:lineRule="auto"/>
        <w:rPr>
          <w:sz w:val="20"/>
          <w:szCs w:val="20"/>
          <w:color w:val="auto"/>
        </w:rPr>
      </w:pPr>
      <w:r>
        <w:rPr>
          <w:rFonts w:ascii="Times New Roman" w:cs="Times New Roman" w:eastAsia="Times New Roman" w:hAnsi="Times New Roman"/>
          <w:sz w:val="18"/>
          <w:szCs w:val="18"/>
          <w:color w:val="auto"/>
        </w:rPr>
        <w:t>The Company assesses the fair values of its reporting units using both a market-based approach and an income-based approach. Under the income approach, the fair value of the reporting unit is based on the present value of estimated future cash flows. The income approach is dependent on a number of factors, including estimates of future market growth trends, forecasted revenues and expenses based upon historical operating data, appropriate discount rates and other variables. The estimates are based on assumptions that the Company believes to be reasonable, but such assumptions are subject to unpredictability and uncertainty. Changes in these estimates and assumptions could materially affect the determination of fair value, and may result in the impairment of goodwill in the event that actual results differ from those estimates.</w:t>
      </w:r>
    </w:p>
    <w:p>
      <w:pPr>
        <w:spacing w:after="0" w:line="139" w:lineRule="exact"/>
        <w:rPr>
          <w:sz w:val="20"/>
          <w:szCs w:val="20"/>
          <w:color w:val="auto"/>
        </w:rPr>
      </w:pPr>
    </w:p>
    <w:p>
      <w:pPr>
        <w:ind w:right="100" w:firstLine="456"/>
        <w:spacing w:after="0" w:line="258" w:lineRule="auto"/>
        <w:rPr>
          <w:sz w:val="20"/>
          <w:szCs w:val="20"/>
          <w:color w:val="auto"/>
        </w:rPr>
      </w:pPr>
      <w:r>
        <w:rPr>
          <w:rFonts w:ascii="Times New Roman" w:cs="Times New Roman" w:eastAsia="Times New Roman" w:hAnsi="Times New Roman"/>
          <w:sz w:val="18"/>
          <w:szCs w:val="18"/>
          <w:color w:val="auto"/>
        </w:rPr>
        <w:t>The market approach measures the value of a reporting unit through comparison to comparable companies. Under the market approach, the Company uses the guideline public company method by applying estimated market-based enterprise value multiples to the reporting unit’s estimated revenue and Adjusted EBITDA. The Company analyzed companies that performed similar services or are considered peers. Due to the fact that there are no public companies that are direct competitors, the Company weighed the results of this approach less than the income approach.</w:t>
      </w:r>
    </w:p>
    <w:p>
      <w:pPr>
        <w:spacing w:after="0" w:line="136" w:lineRule="exact"/>
        <w:rPr>
          <w:sz w:val="20"/>
          <w:szCs w:val="20"/>
          <w:color w:val="auto"/>
        </w:rPr>
      </w:pPr>
    </w:p>
    <w:p>
      <w:pPr>
        <w:ind w:right="400" w:firstLine="456"/>
        <w:spacing w:after="0" w:line="275" w:lineRule="auto"/>
        <w:rPr>
          <w:sz w:val="20"/>
          <w:szCs w:val="20"/>
          <w:color w:val="auto"/>
        </w:rPr>
      </w:pPr>
      <w:r>
        <w:rPr>
          <w:rFonts w:ascii="Times New Roman" w:cs="Times New Roman" w:eastAsia="Times New Roman" w:hAnsi="Times New Roman"/>
          <w:sz w:val="18"/>
          <w:szCs w:val="18"/>
          <w:color w:val="auto"/>
        </w:rPr>
        <w:t>At both December 31, 2012 and 2011, the dredging segment’s goodwill was $76.6 million. At December 31, 2012 and 2011, the demolition segment’s goodwill was $24.2 million and $21.5 million, respectively.</w:t>
      </w:r>
    </w:p>
    <w:p>
      <w:pPr>
        <w:spacing w:after="0" w:line="120" w:lineRule="exact"/>
        <w:rPr>
          <w:sz w:val="20"/>
          <w:szCs w:val="20"/>
          <w:color w:val="auto"/>
        </w:rPr>
      </w:pPr>
    </w:p>
    <w:p>
      <w:pPr>
        <w:ind w:right="180" w:firstLine="456"/>
        <w:spacing w:after="0" w:line="256" w:lineRule="auto"/>
        <w:rPr>
          <w:sz w:val="20"/>
          <w:szCs w:val="20"/>
          <w:color w:val="auto"/>
        </w:rPr>
      </w:pPr>
      <w:r>
        <w:rPr>
          <w:rFonts w:ascii="Times New Roman" w:cs="Times New Roman" w:eastAsia="Times New Roman" w:hAnsi="Times New Roman"/>
          <w:sz w:val="18"/>
          <w:szCs w:val="18"/>
          <w:color w:val="auto"/>
        </w:rPr>
        <w:t>The Company performed its most recent annual test of impairment as of July 1, 2012 for the goodwill in both the dredging and demolition segments with no indication of goodwill impairment as of the test date. As of the test date, the fair value of both the dredging segment and the demolition segment were in excess of their carrying values by at least 35%. The Company will perform its next scheduled annual test of goodwill in the third quarter of 2013 should no triggering events occur which would require a test prior to the next annual test. No goodwill impairment test was performed in the fourth quarter of 2012 for either segment because no triggering event occurred which would require such a test.</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Operations—Fiscal Years Ended December 31, 2012, 2011 and 2010</w:t>
      </w:r>
    </w:p>
    <w:p>
      <w:pPr>
        <w:spacing w:after="0" w:line="92" w:lineRule="exact"/>
        <w:rPr>
          <w:sz w:val="20"/>
          <w:szCs w:val="20"/>
          <w:color w:val="auto"/>
        </w:rPr>
      </w:pPr>
    </w:p>
    <w:p>
      <w:pPr>
        <w:ind w:right="280" w:firstLine="456"/>
        <w:spacing w:after="0" w:line="275" w:lineRule="auto"/>
        <w:rPr>
          <w:sz w:val="20"/>
          <w:szCs w:val="20"/>
          <w:color w:val="auto"/>
        </w:rPr>
      </w:pPr>
      <w:r>
        <w:rPr>
          <w:rFonts w:ascii="Times New Roman" w:cs="Times New Roman" w:eastAsia="Times New Roman" w:hAnsi="Times New Roman"/>
          <w:sz w:val="18"/>
          <w:szCs w:val="18"/>
          <w:color w:val="auto"/>
        </w:rPr>
        <w:t>The following table sets forth the components of net income attributable to Great Lakes Dredge &amp; Dock Corporation and Adjusted EBITDA, as defined below, as a percentage of contract revenues for the years ended December 31:</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5420" w:type="dxa"/>
            <w:vAlign w:val="bottom"/>
          </w:tcPr>
          <w:p>
            <w:pPr>
              <w:spacing w:after="0"/>
              <w:rPr>
                <w:sz w:val="14"/>
                <w:szCs w:val="14"/>
                <w:color w:val="auto"/>
              </w:rPr>
            </w:pPr>
          </w:p>
        </w:tc>
        <w:tc>
          <w:tcPr>
            <w:tcW w:w="3420" w:type="dxa"/>
            <w:vAlign w:val="bottom"/>
            <w:gridSpan w:val="2"/>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2012</w:t>
            </w:r>
          </w:p>
        </w:tc>
        <w:tc>
          <w:tcPr>
            <w:tcW w:w="660" w:type="dxa"/>
            <w:vAlign w:val="bottom"/>
          </w:tcPr>
          <w:p>
            <w:pPr>
              <w:spacing w:after="0"/>
              <w:rPr>
                <w:sz w:val="14"/>
                <w:szCs w:val="14"/>
                <w:color w:val="auto"/>
              </w:rPr>
            </w:pPr>
          </w:p>
        </w:tc>
        <w:tc>
          <w:tcPr>
            <w:tcW w:w="540" w:type="dxa"/>
            <w:vAlign w:val="bottom"/>
          </w:tcPr>
          <w:p>
            <w:pPr>
              <w:jc w:val="right"/>
              <w:ind w:right="33"/>
              <w:spacing w:after="0"/>
              <w:rPr>
                <w:sz w:val="20"/>
                <w:szCs w:val="20"/>
                <w:color w:val="auto"/>
              </w:rPr>
            </w:pPr>
            <w:r>
              <w:rPr>
                <w:rFonts w:ascii="Times New Roman" w:cs="Times New Roman" w:eastAsia="Times New Roman" w:hAnsi="Times New Roman"/>
                <w:sz w:val="14"/>
                <w:szCs w:val="14"/>
                <w:b w:val="1"/>
                <w:bCs w:val="1"/>
                <w:color w:val="auto"/>
              </w:rPr>
              <w:t>2011</w:t>
            </w:r>
          </w:p>
        </w:tc>
        <w:tc>
          <w:tcPr>
            <w:tcW w:w="620" w:type="dxa"/>
            <w:vAlign w:val="bottom"/>
          </w:tcPr>
          <w:p>
            <w:pPr>
              <w:spacing w:after="0"/>
              <w:rPr>
                <w:sz w:val="14"/>
                <w:szCs w:val="14"/>
                <w:color w:val="auto"/>
              </w:rPr>
            </w:pPr>
          </w:p>
        </w:tc>
        <w:tc>
          <w:tcPr>
            <w:tcW w:w="540" w:type="dxa"/>
            <w:vAlign w:val="bottom"/>
          </w:tcPr>
          <w:p>
            <w:pPr>
              <w:jc w:val="right"/>
              <w:ind w:right="53"/>
              <w:spacing w:after="0"/>
              <w:rPr>
                <w:sz w:val="20"/>
                <w:szCs w:val="20"/>
                <w:color w:val="auto"/>
              </w:rPr>
            </w:pPr>
            <w:r>
              <w:rPr>
                <w:rFonts w:ascii="Times New Roman" w:cs="Times New Roman" w:eastAsia="Times New Roman" w:hAnsi="Times New Roman"/>
                <w:sz w:val="14"/>
                <w:szCs w:val="14"/>
                <w:b w:val="1"/>
                <w:bCs w:val="1"/>
                <w:color w:val="auto"/>
              </w:rPr>
              <w:t>2010</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Contract revenues</w:t>
            </w:r>
          </w:p>
        </w:tc>
        <w:tc>
          <w:tcPr>
            <w:tcW w:w="288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660" w:type="dxa"/>
            <w:vAlign w:val="bottom"/>
            <w:tcBorders>
              <w:top w:val="single" w:sz="8" w:color="CCEEFF"/>
            </w:tcBorders>
            <w:shd w:val="clear" w:color="auto" w:fill="CCEEFF"/>
          </w:tcPr>
          <w:p>
            <w:pPr>
              <w:jc w:val="right"/>
              <w:ind w:right="412"/>
              <w:spacing w:after="0"/>
              <w:rPr>
                <w:sz w:val="20"/>
                <w:szCs w:val="20"/>
                <w:color w:val="auto"/>
              </w:rPr>
            </w:pPr>
            <w:r>
              <w:rPr>
                <w:rFonts w:ascii="Times New Roman" w:cs="Times New Roman" w:eastAsia="Times New Roman" w:hAnsi="Times New Roman"/>
                <w:sz w:val="18"/>
                <w:szCs w:val="18"/>
                <w:color w:val="auto"/>
                <w:w w:val="93"/>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620" w:type="dxa"/>
            <w:vAlign w:val="bottom"/>
            <w:tcBorders>
              <w:top w:val="single" w:sz="8" w:color="CCEEFF"/>
            </w:tcBorders>
            <w:shd w:val="clear" w:color="auto" w:fill="CCEEFF"/>
          </w:tcPr>
          <w:p>
            <w:pPr>
              <w:jc w:val="right"/>
              <w:ind w:right="372"/>
              <w:spacing w:after="0"/>
              <w:rPr>
                <w:sz w:val="20"/>
                <w:szCs w:val="20"/>
                <w:color w:val="auto"/>
              </w:rPr>
            </w:pPr>
            <w:r>
              <w:rPr>
                <w:rFonts w:ascii="Times New Roman" w:cs="Times New Roman" w:eastAsia="Times New Roman" w:hAnsi="Times New Roman"/>
                <w:sz w:val="18"/>
                <w:szCs w:val="18"/>
                <w:color w:val="auto"/>
                <w:w w:val="93"/>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Costs of contract revenues</w:t>
            </w:r>
          </w:p>
        </w:tc>
        <w:tc>
          <w:tcPr>
            <w:tcW w:w="2880" w:type="dxa"/>
            <w:vAlign w:val="bottom"/>
          </w:tcPr>
          <w:p>
            <w:pPr>
              <w:spacing w:after="0"/>
              <w:rPr>
                <w:sz w:val="19"/>
                <w:szCs w:val="19"/>
                <w:color w:val="auto"/>
              </w:rPr>
            </w:pPr>
          </w:p>
        </w:tc>
        <w:tc>
          <w:tcPr>
            <w:tcW w:w="1200" w:type="dxa"/>
            <w:vAlign w:val="bottom"/>
            <w:gridSpan w:val="2"/>
          </w:tcPr>
          <w:p>
            <w:pPr>
              <w:jc w:val="right"/>
              <w:ind w:right="512"/>
              <w:spacing w:after="0"/>
              <w:rPr>
                <w:sz w:val="20"/>
                <w:szCs w:val="20"/>
                <w:color w:val="auto"/>
              </w:rPr>
            </w:pPr>
            <w:r>
              <w:rPr>
                <w:rFonts w:ascii="Times New Roman" w:cs="Times New Roman" w:eastAsia="Times New Roman" w:hAnsi="Times New Roman"/>
                <w:sz w:val="18"/>
                <w:szCs w:val="18"/>
                <w:color w:val="auto"/>
              </w:rPr>
              <w:t>(90.1)</w:t>
            </w:r>
          </w:p>
        </w:tc>
        <w:tc>
          <w:tcPr>
            <w:tcW w:w="1160" w:type="dxa"/>
            <w:vAlign w:val="bottom"/>
            <w:gridSpan w:val="2"/>
          </w:tcPr>
          <w:p>
            <w:pPr>
              <w:jc w:val="right"/>
              <w:ind w:right="472"/>
              <w:spacing w:after="0"/>
              <w:rPr>
                <w:sz w:val="20"/>
                <w:szCs w:val="20"/>
                <w:color w:val="auto"/>
              </w:rPr>
            </w:pPr>
            <w:r>
              <w:rPr>
                <w:rFonts w:ascii="Times New Roman" w:cs="Times New Roman" w:eastAsia="Times New Roman" w:hAnsi="Times New Roman"/>
                <w:sz w:val="18"/>
                <w:szCs w:val="18"/>
                <w:color w:val="auto"/>
              </w:rPr>
              <w:t>(85.2)</w:t>
            </w:r>
          </w:p>
        </w:tc>
        <w:tc>
          <w:tcPr>
            <w:tcW w:w="740" w:type="dxa"/>
            <w:vAlign w:val="bottom"/>
            <w:gridSpan w:val="2"/>
          </w:tcPr>
          <w:p>
            <w:pPr>
              <w:jc w:val="right"/>
              <w:ind w:right="52"/>
              <w:spacing w:after="0"/>
              <w:rPr>
                <w:sz w:val="20"/>
                <w:szCs w:val="20"/>
                <w:color w:val="auto"/>
              </w:rPr>
            </w:pPr>
            <w:r>
              <w:rPr>
                <w:rFonts w:ascii="Times New Roman" w:cs="Times New Roman" w:eastAsia="Times New Roman" w:hAnsi="Times New Roman"/>
                <w:sz w:val="18"/>
                <w:szCs w:val="18"/>
                <w:color w:val="auto"/>
              </w:rPr>
              <w:t>(82.1)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Gross profit</w:t>
            </w:r>
          </w:p>
        </w:tc>
        <w:tc>
          <w:tcPr>
            <w:tcW w:w="2880" w:type="dxa"/>
            <w:vAlign w:val="bottom"/>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660" w:type="dxa"/>
            <w:vAlign w:val="bottom"/>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620" w:type="dxa"/>
            <w:vAlign w:val="bottom"/>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4080" w:type="dxa"/>
            <w:vAlign w:val="bottom"/>
            <w:gridSpan w:val="3"/>
          </w:tcPr>
          <w:p>
            <w:pPr>
              <w:jc w:val="right"/>
              <w:ind w:right="512"/>
              <w:spacing w:after="0"/>
              <w:rPr>
                <w:sz w:val="20"/>
                <w:szCs w:val="20"/>
                <w:color w:val="auto"/>
              </w:rPr>
            </w:pPr>
            <w:r>
              <w:rPr>
                <w:rFonts w:ascii="Times New Roman" w:cs="Times New Roman" w:eastAsia="Times New Roman" w:hAnsi="Times New Roman"/>
                <w:sz w:val="18"/>
                <w:szCs w:val="18"/>
                <w:color w:val="auto"/>
              </w:rPr>
              <w:t>(7.8)</w:t>
            </w:r>
          </w:p>
        </w:tc>
        <w:tc>
          <w:tcPr>
            <w:tcW w:w="1160" w:type="dxa"/>
            <w:vAlign w:val="bottom"/>
            <w:gridSpan w:val="2"/>
          </w:tcPr>
          <w:p>
            <w:pPr>
              <w:jc w:val="right"/>
              <w:ind w:right="472"/>
              <w:spacing w:after="0"/>
              <w:rPr>
                <w:sz w:val="20"/>
                <w:szCs w:val="20"/>
                <w:color w:val="auto"/>
              </w:rPr>
            </w:pPr>
            <w:r>
              <w:rPr>
                <w:rFonts w:ascii="Times New Roman" w:cs="Times New Roman" w:eastAsia="Times New Roman" w:hAnsi="Times New Roman"/>
                <w:sz w:val="18"/>
                <w:szCs w:val="18"/>
                <w:color w:val="auto"/>
              </w:rPr>
              <w:t>(8.0)</w:t>
            </w:r>
          </w:p>
        </w:tc>
        <w:tc>
          <w:tcPr>
            <w:tcW w:w="740" w:type="dxa"/>
            <w:vAlign w:val="bottom"/>
            <w:gridSpan w:val="2"/>
          </w:tcPr>
          <w:p>
            <w:pPr>
              <w:jc w:val="right"/>
              <w:ind w:right="52"/>
              <w:spacing w:after="0"/>
              <w:rPr>
                <w:sz w:val="20"/>
                <w:szCs w:val="20"/>
                <w:color w:val="auto"/>
              </w:rPr>
            </w:pPr>
            <w:r>
              <w:rPr>
                <w:rFonts w:ascii="Times New Roman" w:cs="Times New Roman" w:eastAsia="Times New Roman" w:hAnsi="Times New Roman"/>
                <w:sz w:val="18"/>
                <w:szCs w:val="18"/>
                <w:color w:val="auto"/>
              </w:rPr>
              <w:t>(7.9)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on sale of assets—net</w:t>
            </w:r>
          </w:p>
        </w:tc>
        <w:tc>
          <w:tcPr>
            <w:tcW w:w="3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6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6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4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Operating income</w:t>
            </w:r>
          </w:p>
        </w:tc>
        <w:tc>
          <w:tcPr>
            <w:tcW w:w="2880" w:type="dxa"/>
            <w:vAlign w:val="bottom"/>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660" w:type="dxa"/>
            <w:vAlign w:val="bottom"/>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620" w:type="dxa"/>
            <w:vAlign w:val="bottom"/>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expense—net</w:t>
            </w:r>
          </w:p>
        </w:tc>
        <w:tc>
          <w:tcPr>
            <w:tcW w:w="4080" w:type="dxa"/>
            <w:vAlign w:val="bottom"/>
            <w:gridSpan w:val="3"/>
            <w:shd w:val="clear" w:color="auto" w:fill="CCEEFF"/>
          </w:tcPr>
          <w:p>
            <w:pPr>
              <w:jc w:val="right"/>
              <w:ind w:right="512"/>
              <w:spacing w:after="0"/>
              <w:rPr>
                <w:sz w:val="20"/>
                <w:szCs w:val="20"/>
                <w:color w:val="auto"/>
              </w:rPr>
            </w:pPr>
            <w:r>
              <w:rPr>
                <w:rFonts w:ascii="Times New Roman" w:cs="Times New Roman" w:eastAsia="Times New Roman" w:hAnsi="Times New Roman"/>
                <w:sz w:val="18"/>
                <w:szCs w:val="18"/>
                <w:color w:val="auto"/>
              </w:rPr>
              <w:t>(3.0)</w:t>
            </w:r>
          </w:p>
        </w:tc>
        <w:tc>
          <w:tcPr>
            <w:tcW w:w="1160" w:type="dxa"/>
            <w:vAlign w:val="bottom"/>
            <w:gridSpan w:val="2"/>
            <w:shd w:val="clear" w:color="auto" w:fill="CCEEFF"/>
          </w:tcPr>
          <w:p>
            <w:pPr>
              <w:jc w:val="right"/>
              <w:ind w:right="472"/>
              <w:spacing w:after="0"/>
              <w:rPr>
                <w:sz w:val="20"/>
                <w:szCs w:val="20"/>
                <w:color w:val="auto"/>
              </w:rPr>
            </w:pPr>
            <w:r>
              <w:rPr>
                <w:rFonts w:ascii="Times New Roman" w:cs="Times New Roman" w:eastAsia="Times New Roman" w:hAnsi="Times New Roman"/>
                <w:sz w:val="18"/>
                <w:szCs w:val="18"/>
                <w:color w:val="auto"/>
              </w:rPr>
              <w:t>(3.5)</w:t>
            </w:r>
          </w:p>
        </w:tc>
        <w:tc>
          <w:tcPr>
            <w:tcW w:w="740" w:type="dxa"/>
            <w:vAlign w:val="bottom"/>
            <w:gridSpan w:val="2"/>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Equity in earnings (loss) of joint ventures</w:t>
            </w:r>
          </w:p>
        </w:tc>
        <w:tc>
          <w:tcPr>
            <w:tcW w:w="2880" w:type="dxa"/>
            <w:vAlign w:val="bottom"/>
          </w:tcPr>
          <w:p>
            <w:pPr>
              <w:spacing w:after="0"/>
              <w:rPr>
                <w:sz w:val="18"/>
                <w:szCs w:val="18"/>
                <w:color w:val="auto"/>
              </w:rPr>
            </w:pPr>
          </w:p>
        </w:tc>
        <w:tc>
          <w:tcPr>
            <w:tcW w:w="120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472"/>
              <w:spacing w:after="0"/>
              <w:rPr>
                <w:sz w:val="20"/>
                <w:szCs w:val="20"/>
                <w:color w:val="auto"/>
              </w:rPr>
            </w:pPr>
            <w:r>
              <w:rPr>
                <w:rFonts w:ascii="Times New Roman" w:cs="Times New Roman" w:eastAsia="Times New Roman" w:hAnsi="Times New Roman"/>
                <w:sz w:val="18"/>
                <w:szCs w:val="18"/>
                <w:color w:val="auto"/>
              </w:rPr>
              <w:t>(0.1)</w:t>
            </w:r>
          </w:p>
        </w:tc>
        <w:tc>
          <w:tcPr>
            <w:tcW w:w="740" w:type="dxa"/>
            <w:vAlign w:val="bottom"/>
            <w:gridSpan w:val="2"/>
          </w:tcPr>
          <w:p>
            <w:pPr>
              <w:jc w:val="right"/>
              <w:ind w:right="52"/>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on foreign currency transactions—net</w:t>
            </w:r>
          </w:p>
        </w:tc>
        <w:tc>
          <w:tcPr>
            <w:tcW w:w="28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612"/>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2880" w:type="dxa"/>
            <w:vAlign w:val="bottom"/>
          </w:tcPr>
          <w:p>
            <w:pPr>
              <w:spacing w:after="0"/>
              <w:rPr>
                <w:sz w:val="18"/>
                <w:szCs w:val="18"/>
                <w:color w:val="auto"/>
              </w:rPr>
            </w:pPr>
          </w:p>
        </w:tc>
        <w:tc>
          <w:tcPr>
            <w:tcW w:w="5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spacing w:after="0"/>
              <w:rPr>
                <w:sz w:val="18"/>
                <w:szCs w:val="18"/>
                <w:color w:val="auto"/>
              </w:rPr>
            </w:pPr>
          </w:p>
        </w:tc>
        <w:tc>
          <w:tcPr>
            <w:tcW w:w="1160" w:type="dxa"/>
            <w:vAlign w:val="bottom"/>
            <w:gridSpan w:val="2"/>
          </w:tcPr>
          <w:p>
            <w:pPr>
              <w:jc w:val="right"/>
              <w:ind w:right="472"/>
              <w:spacing w:after="0"/>
              <w:rPr>
                <w:sz w:val="20"/>
                <w:szCs w:val="20"/>
                <w:color w:val="auto"/>
              </w:rPr>
            </w:pPr>
            <w:r>
              <w:rPr>
                <w:rFonts w:ascii="Times New Roman" w:cs="Times New Roman" w:eastAsia="Times New Roman" w:hAnsi="Times New Roman"/>
                <w:sz w:val="18"/>
                <w:szCs w:val="18"/>
                <w:color w:val="auto"/>
              </w:rPr>
              <w:t>(0.8)</w:t>
            </w:r>
          </w:p>
        </w:tc>
        <w:tc>
          <w:tcPr>
            <w:tcW w:w="74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420" w:type="dxa"/>
            <w:vAlign w:val="bottom"/>
          </w:tcPr>
          <w:p>
            <w:pPr>
              <w:spacing w:after="0"/>
              <w:rPr>
                <w:sz w:val="2"/>
                <w:szCs w:val="2"/>
                <w:color w:val="auto"/>
              </w:rPr>
            </w:pPr>
          </w:p>
        </w:tc>
        <w:tc>
          <w:tcPr>
            <w:tcW w:w="288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28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12"/>
              <w:spacing w:after="0"/>
              <w:rPr>
                <w:sz w:val="20"/>
                <w:szCs w:val="20"/>
                <w:color w:val="auto"/>
              </w:rPr>
            </w:pPr>
            <w:r>
              <w:rPr>
                <w:rFonts w:ascii="Times New Roman" w:cs="Times New Roman" w:eastAsia="Times New Roman" w:hAnsi="Times New Roman"/>
                <w:sz w:val="18"/>
                <w:szCs w:val="18"/>
                <w:color w:val="auto"/>
              </w:rPr>
              <w:t>(0.8)</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6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Income tax (provision) benefit</w:t>
            </w:r>
          </w:p>
        </w:tc>
        <w:tc>
          <w:tcPr>
            <w:tcW w:w="28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660" w:type="dxa"/>
            <w:vAlign w:val="bottom"/>
          </w:tcPr>
          <w:p>
            <w:pPr>
              <w:spacing w:after="0"/>
              <w:rPr>
                <w:sz w:val="18"/>
                <w:szCs w:val="18"/>
                <w:color w:val="auto"/>
              </w:rPr>
            </w:pPr>
          </w:p>
        </w:tc>
        <w:tc>
          <w:tcPr>
            <w:tcW w:w="1160" w:type="dxa"/>
            <w:vAlign w:val="bottom"/>
            <w:gridSpan w:val="2"/>
          </w:tcPr>
          <w:p>
            <w:pPr>
              <w:jc w:val="right"/>
              <w:ind w:right="472"/>
              <w:spacing w:after="0"/>
              <w:rPr>
                <w:sz w:val="20"/>
                <w:szCs w:val="20"/>
                <w:color w:val="auto"/>
              </w:rPr>
            </w:pPr>
            <w:r>
              <w:rPr>
                <w:rFonts w:ascii="Times New Roman" w:cs="Times New Roman" w:eastAsia="Times New Roman" w:hAnsi="Times New Roman"/>
                <w:sz w:val="18"/>
                <w:szCs w:val="18"/>
                <w:color w:val="auto"/>
              </w:rPr>
              <w:t>(1.5)</w:t>
            </w:r>
          </w:p>
        </w:tc>
        <w:tc>
          <w:tcPr>
            <w:tcW w:w="740" w:type="dxa"/>
            <w:vAlign w:val="bottom"/>
            <w:gridSpan w:val="2"/>
          </w:tcPr>
          <w:p>
            <w:pPr>
              <w:jc w:val="right"/>
              <w:ind w:right="52"/>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420" w:type="dxa"/>
            <w:vAlign w:val="bottom"/>
          </w:tcPr>
          <w:p>
            <w:pPr>
              <w:spacing w:after="0"/>
              <w:rPr>
                <w:sz w:val="2"/>
                <w:szCs w:val="2"/>
                <w:color w:val="auto"/>
              </w:rPr>
            </w:pPr>
          </w:p>
        </w:tc>
        <w:tc>
          <w:tcPr>
            <w:tcW w:w="288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Net income (loss)</w:t>
            </w:r>
          </w:p>
        </w:tc>
        <w:tc>
          <w:tcPr>
            <w:tcW w:w="28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12"/>
              <w:spacing w:after="0"/>
              <w:rPr>
                <w:sz w:val="20"/>
                <w:szCs w:val="20"/>
                <w:color w:val="auto"/>
              </w:rPr>
            </w:pPr>
            <w:r>
              <w:rPr>
                <w:rFonts w:ascii="Times New Roman" w:cs="Times New Roman" w:eastAsia="Times New Roman" w:hAnsi="Times New Roman"/>
                <w:sz w:val="18"/>
                <w:szCs w:val="18"/>
                <w:color w:val="auto"/>
              </w:rPr>
              <w:t>(0.5)</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6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Net (income) loss attributable to noncontrolling interests</w:t>
            </w:r>
          </w:p>
        </w:tc>
        <w:tc>
          <w:tcPr>
            <w:tcW w:w="28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660" w:type="dxa"/>
            <w:vAlign w:val="bottom"/>
          </w:tcPr>
          <w:p>
            <w:pPr>
              <w:spacing w:after="0"/>
              <w:rPr>
                <w:sz w:val="18"/>
                <w:szCs w:val="18"/>
                <w:color w:val="auto"/>
              </w:rPr>
            </w:pPr>
          </w:p>
        </w:tc>
        <w:tc>
          <w:tcPr>
            <w:tcW w:w="1160" w:type="dxa"/>
            <w:vAlign w:val="bottom"/>
            <w:gridSpan w:val="2"/>
          </w:tcPr>
          <w:p>
            <w:pPr>
              <w:jc w:val="right"/>
              <w:ind w:right="472"/>
              <w:spacing w:after="0"/>
              <w:rPr>
                <w:sz w:val="20"/>
                <w:szCs w:val="20"/>
                <w:color w:val="auto"/>
              </w:rPr>
            </w:pPr>
            <w:r>
              <w:rPr>
                <w:rFonts w:ascii="Times New Roman" w:cs="Times New Roman" w:eastAsia="Times New Roman" w:hAnsi="Times New Roman"/>
                <w:sz w:val="18"/>
                <w:szCs w:val="18"/>
                <w:color w:val="auto"/>
              </w:rPr>
              <w:t>(0.1)</w:t>
            </w:r>
          </w:p>
        </w:tc>
        <w:tc>
          <w:tcPr>
            <w:tcW w:w="740" w:type="dxa"/>
            <w:vAlign w:val="bottom"/>
            <w:gridSpan w:val="2"/>
          </w:tcPr>
          <w:p>
            <w:pPr>
              <w:jc w:val="right"/>
              <w:ind w:right="112"/>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420" w:type="dxa"/>
            <w:vAlign w:val="bottom"/>
          </w:tcPr>
          <w:p>
            <w:pPr>
              <w:spacing w:after="0"/>
              <w:rPr>
                <w:sz w:val="2"/>
                <w:szCs w:val="2"/>
                <w:color w:val="auto"/>
              </w:rPr>
            </w:pPr>
          </w:p>
        </w:tc>
        <w:tc>
          <w:tcPr>
            <w:tcW w:w="288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 attributable to Great Lakes Dredge &amp; Dock Corporation</w:t>
            </w:r>
          </w:p>
        </w:tc>
        <w:tc>
          <w:tcPr>
            <w:tcW w:w="28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52"/>
              <w:spacing w:after="0"/>
              <w:rPr>
                <w:sz w:val="20"/>
                <w:szCs w:val="20"/>
                <w:color w:val="auto"/>
              </w:rPr>
            </w:pPr>
            <w:r>
              <w:rPr>
                <w:rFonts w:ascii="Times New Roman" w:cs="Times New Roman" w:eastAsia="Times New Roman" w:hAnsi="Times New Roman"/>
                <w:sz w:val="18"/>
                <w:szCs w:val="18"/>
                <w:color w:val="auto"/>
              </w:rPr>
              <w:t>(0.4)%</w:t>
            </w:r>
          </w:p>
        </w:tc>
        <w:tc>
          <w:tcPr>
            <w:tcW w:w="1160" w:type="dxa"/>
            <w:vAlign w:val="bottom"/>
            <w:gridSpan w:val="2"/>
            <w:shd w:val="clear" w:color="auto" w:fill="CCEEFF"/>
          </w:tcPr>
          <w:p>
            <w:pPr>
              <w:jc w:val="right"/>
              <w:ind w:right="372"/>
              <w:spacing w:after="0"/>
              <w:rPr>
                <w:sz w:val="20"/>
                <w:szCs w:val="20"/>
                <w:color w:val="auto"/>
              </w:rPr>
            </w:pPr>
            <w:r>
              <w:rPr>
                <w:rFonts w:ascii="Times New Roman" w:cs="Times New Roman" w:eastAsia="Times New Roman" w:hAnsi="Times New Roman"/>
                <w:sz w:val="18"/>
                <w:szCs w:val="18"/>
                <w:color w:val="auto"/>
              </w:rPr>
              <w:t>2.7 %</w:t>
            </w:r>
          </w:p>
        </w:tc>
        <w:tc>
          <w:tcPr>
            <w:tcW w:w="74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5.0 %</w:t>
            </w:r>
          </w:p>
        </w:tc>
        <w:tc>
          <w:tcPr>
            <w:tcW w:w="0" w:type="dxa"/>
            <w:vAlign w:val="bottom"/>
          </w:tcPr>
          <w:p>
            <w:pPr>
              <w:spacing w:after="0"/>
              <w:rPr>
                <w:sz w:val="1"/>
                <w:szCs w:val="1"/>
                <w:color w:val="auto"/>
              </w:rPr>
            </w:pPr>
          </w:p>
        </w:tc>
      </w:tr>
      <w:tr>
        <w:trPr>
          <w:trHeight w:val="20"/>
        </w:trPr>
        <w:tc>
          <w:tcPr>
            <w:tcW w:w="54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28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440" w:type="dxa"/>
            <w:vAlign w:val="bottom"/>
            <w:gridSpan w:val="2"/>
            <w:vMerge w:val="continue"/>
          </w:tcPr>
          <w:p>
            <w:pPr>
              <w:spacing w:after="0"/>
              <w:rPr>
                <w:sz w:val="18"/>
                <w:szCs w:val="18"/>
                <w:color w:val="auto"/>
              </w:rPr>
            </w:pPr>
          </w:p>
        </w:tc>
        <w:tc>
          <w:tcPr>
            <w:tcW w:w="2880" w:type="dxa"/>
            <w:vAlign w:val="bottom"/>
          </w:tcPr>
          <w:p>
            <w:pPr>
              <w:spacing w:after="0"/>
              <w:rPr>
                <w:sz w:val="18"/>
                <w:szCs w:val="18"/>
                <w:color w:val="auto"/>
              </w:rPr>
            </w:pPr>
          </w:p>
        </w:tc>
        <w:tc>
          <w:tcPr>
            <w:tcW w:w="54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8.9</w:t>
            </w:r>
          </w:p>
        </w:tc>
        <w:tc>
          <w:tcPr>
            <w:tcW w:w="660" w:type="dxa"/>
            <w:vAlign w:val="bottom"/>
          </w:tcPr>
          <w:p>
            <w:pPr>
              <w:jc w:val="right"/>
              <w:ind w:right="412"/>
              <w:spacing w:after="0"/>
              <w:rPr>
                <w:sz w:val="20"/>
                <w:szCs w:val="20"/>
                <w:color w:val="auto"/>
              </w:rPr>
            </w:pPr>
            <w:r>
              <w:rPr>
                <w:rFonts w:ascii="Times New Roman" w:cs="Times New Roman" w:eastAsia="Times New Roman" w:hAnsi="Times New Roman"/>
                <w:sz w:val="18"/>
                <w:szCs w:val="18"/>
                <w:color w:val="auto"/>
                <w:w w:val="93"/>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620" w:type="dxa"/>
            <w:vAlign w:val="bottom"/>
          </w:tcPr>
          <w:p>
            <w:pPr>
              <w:jc w:val="right"/>
              <w:ind w:right="372"/>
              <w:spacing w:after="0"/>
              <w:rPr>
                <w:sz w:val="20"/>
                <w:szCs w:val="20"/>
                <w:color w:val="auto"/>
              </w:rPr>
            </w:pPr>
            <w:r>
              <w:rPr>
                <w:rFonts w:ascii="Times New Roman" w:cs="Times New Roman" w:eastAsia="Times New Roman" w:hAnsi="Times New Roman"/>
                <w:sz w:val="18"/>
                <w:szCs w:val="18"/>
                <w:color w:val="auto"/>
                <w:w w:val="93"/>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2880" w:type="dxa"/>
            <w:vAlign w:val="bottom"/>
            <w:vMerge w:val="restart"/>
          </w:tcPr>
          <w:p>
            <w:pPr>
              <w:jc w:val="right"/>
              <w:ind w:right="2436"/>
              <w:spacing w:after="0"/>
              <w:rPr>
                <w:sz w:val="20"/>
                <w:szCs w:val="20"/>
                <w:color w:val="auto"/>
              </w:rPr>
            </w:pPr>
            <w:r>
              <w:rPr>
                <w:rFonts w:ascii="Times New Roman" w:cs="Times New Roman" w:eastAsia="Times New Roman" w:hAnsi="Times New Roman"/>
                <w:sz w:val="18"/>
                <w:szCs w:val="18"/>
                <w:color w:val="auto"/>
              </w:rPr>
              <w:t>39</w:t>
            </w:r>
          </w:p>
        </w:tc>
        <w:tc>
          <w:tcPr>
            <w:tcW w:w="54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6"/>
        </w:trPr>
        <w:tc>
          <w:tcPr>
            <w:tcW w:w="20" w:type="dxa"/>
            <w:vAlign w:val="bottom"/>
          </w:tcPr>
          <w:p>
            <w:pPr>
              <w:spacing w:after="0"/>
              <w:rPr>
                <w:sz w:val="24"/>
                <w:szCs w:val="24"/>
                <w:color w:val="auto"/>
              </w:rPr>
            </w:pPr>
          </w:p>
        </w:tc>
        <w:tc>
          <w:tcPr>
            <w:tcW w:w="5420" w:type="dxa"/>
            <w:vAlign w:val="bottom"/>
          </w:tcPr>
          <w:p>
            <w:pPr>
              <w:spacing w:after="0"/>
              <w:rPr>
                <w:sz w:val="24"/>
                <w:szCs w:val="24"/>
                <w:color w:val="auto"/>
              </w:rPr>
            </w:pPr>
          </w:p>
        </w:tc>
        <w:tc>
          <w:tcPr>
            <w:tcW w:w="2880" w:type="dxa"/>
            <w:vAlign w:val="bottom"/>
            <w:vMerge w:val="continue"/>
          </w:tcPr>
          <w:p>
            <w:pPr>
              <w:spacing w:after="0"/>
              <w:rPr>
                <w:sz w:val="24"/>
                <w:szCs w:val="24"/>
                <w:color w:val="auto"/>
              </w:rPr>
            </w:pPr>
          </w:p>
        </w:tc>
        <w:tc>
          <w:tcPr>
            <w:tcW w:w="5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5" w:right="239" w:bottom="1440" w:gutter="0" w:footer="0" w:header="0"/>
        </w:sectPr>
      </w:pPr>
    </w:p>
    <w:bookmarkStart w:id="41" w:name="page42"/>
    <w:bookmarkEnd w:id="4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Adjusted EBITDA</w:t>
      </w:r>
    </w:p>
    <w:p>
      <w:pPr>
        <w:spacing w:after="0" w:line="92"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Adjusted EBITDA, as provided herein, represents net income attributable to Great Lakes Dredge &amp; Dock Corporation, adjusted for net interest expense, income taxes, depreciation and amortization expense, debt extinguishment and accelerated maintenance expense for new international deployments. In 2012, the Company has modified the Adjusted EBITDA calculation for accelerated maintenance expense for new international deployments that are not directly recoverable under the related dredging contract and are therefore expensed as incurred. The Company does not frequently incur significant accelerated maintenance as a part of its international deployments. As such, the exclusion of these accelerated maintenance expenses from the calculation of Adjusted EBITDA allows users of the financial statements to more easily compare our year-to-year results. Adjusted EBITDA is not a measure derived in accordance with accounting principles generally accepted in the United States of America (“GAAP”). The Company presents Adjusted EBITDA as an additional measure by which to evaluate the Company’s operating trends. The Company believes that Adjusted EBITDA is a measure frequently used to evaluate performance of companies with substantial leverage and that the Company’s primary stakeholders (i.e., its stockholders, bondholders and banks) use Adjusted EBITDA to evaluate the Company’s period to period performance. Additionally, management believes that Adjusted EBITDA provides a transparent measure of the Company’s recurring operating performance and allows management to readily view operating trends, perform analytical comparisons and identify strategies to improve operating performance. For this reason, the Company uses a measure based upon Adjusted EBITDA to assess performance for purposes of determining compensation under the Company’s incentive plan. Adjusted EBITDA should not be considered an alternative to, or more meaningful than, amounts determined in accordance with GAAP including: (a) operating income as an indicator of operating performance; or (b) cash flows from operations as a measure of liquidity. As such, the Company’s use of Adjusted EBITDA, instead of a GAAP measure, has limitations as an analytical tool, including the inability to determine profitability or liquidity due to the exclusion of accelerated maintenance expense for new international deployments, interest and income tax expense and the associated significant cash requirements and the exclusion of depreciation and amortization, which represent significant and unavoidable operating costs given the level of indebtedness and capital expenditures needed to maintain the Company’s business. For these reasons, the Company uses operating income to measure the Company’s operating performance and uses Adjusted EBITDA only as a supplement. The following is a reconciliation of Adjusted EBITDA to net income attributable to Great Lakes Dredge &amp; Dock Corporation:</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00" w:type="dxa"/>
            <w:vAlign w:val="bottom"/>
          </w:tcPr>
          <w:p>
            <w:pPr>
              <w:spacing w:after="0"/>
              <w:rPr>
                <w:sz w:val="13"/>
                <w:szCs w:val="13"/>
                <w:color w:val="auto"/>
              </w:rPr>
            </w:pPr>
          </w:p>
        </w:tc>
        <w:tc>
          <w:tcPr>
            <w:tcW w:w="30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54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Year Ended December 31,</w:t>
            </w: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5600" w:type="dxa"/>
            <w:vAlign w:val="bottom"/>
          </w:tcPr>
          <w:p>
            <w:pPr>
              <w:spacing w:after="0"/>
              <w:rPr>
                <w:sz w:val="14"/>
                <w:szCs w:val="14"/>
                <w:color w:val="auto"/>
              </w:rPr>
            </w:pPr>
          </w:p>
        </w:tc>
        <w:tc>
          <w:tcPr>
            <w:tcW w:w="3600" w:type="dxa"/>
            <w:vAlign w:val="bottom"/>
            <w:gridSpan w:val="2"/>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2012</w:t>
            </w:r>
          </w:p>
        </w:tc>
        <w:tc>
          <w:tcPr>
            <w:tcW w:w="220" w:type="dxa"/>
            <w:vAlign w:val="bottom"/>
          </w:tcPr>
          <w:p>
            <w:pPr>
              <w:spacing w:after="0"/>
              <w:rPr>
                <w:sz w:val="14"/>
                <w:szCs w:val="14"/>
                <w:color w:val="auto"/>
              </w:rPr>
            </w:pPr>
          </w:p>
        </w:tc>
        <w:tc>
          <w:tcPr>
            <w:tcW w:w="800" w:type="dxa"/>
            <w:vAlign w:val="bottom"/>
            <w:gridSpan w:val="2"/>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2011</w:t>
            </w: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2010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60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240" w:type="dxa"/>
            <w:vAlign w:val="bottom"/>
            <w:tcBorders>
              <w:top w:val="single" w:sz="8" w:color="auto"/>
            </w:tcBorders>
            <w:gridSpan w:val="3"/>
          </w:tcPr>
          <w:p>
            <w:pPr>
              <w:jc w:val="center"/>
              <w:ind w:right="140"/>
              <w:spacing w:after="0" w:line="142" w:lineRule="exact"/>
              <w:rPr>
                <w:sz w:val="20"/>
                <w:szCs w:val="20"/>
                <w:color w:val="auto"/>
              </w:rPr>
            </w:pPr>
            <w:r>
              <w:rPr>
                <w:rFonts w:ascii="Times New Roman" w:cs="Times New Roman" w:eastAsia="Times New Roman" w:hAnsi="Times New Roman"/>
                <w:sz w:val="14"/>
                <w:szCs w:val="14"/>
                <w:color w:val="auto"/>
                <w:w w:val="97"/>
              </w:rPr>
              <w:t>(in thousands)</w:t>
            </w:r>
          </w:p>
        </w:tc>
        <w:tc>
          <w:tcPr>
            <w:tcW w:w="8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w w:val="97"/>
              </w:rPr>
              <w:t>Net income (loss) attributable to Great Lakes Dredge &amp; Dock Corporation</w:t>
            </w:r>
          </w:p>
        </w:tc>
        <w:tc>
          <w:tcPr>
            <w:tcW w:w="3820" w:type="dxa"/>
            <w:vAlign w:val="bottom"/>
            <w:gridSpan w:val="3"/>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 (2,695)</w:t>
            </w:r>
          </w:p>
        </w:tc>
        <w:tc>
          <w:tcPr>
            <w:tcW w:w="1240" w:type="dxa"/>
            <w:vAlign w:val="bottom"/>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$16,528</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34,609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Adjusted for:</w:t>
            </w:r>
          </w:p>
        </w:tc>
        <w:tc>
          <w:tcPr>
            <w:tcW w:w="30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Accelerated maintenance expenses</w:t>
            </w:r>
          </w:p>
        </w:tc>
        <w:tc>
          <w:tcPr>
            <w:tcW w:w="3820" w:type="dxa"/>
            <w:vAlign w:val="bottom"/>
            <w:gridSpan w:val="3"/>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4,672</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6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3020" w:type="dxa"/>
            <w:vAlign w:val="bottom"/>
          </w:tcPr>
          <w:p>
            <w:pPr>
              <w:spacing w:after="0"/>
              <w:rPr>
                <w:sz w:val="18"/>
                <w:szCs w:val="18"/>
                <w:color w:val="auto"/>
              </w:rPr>
            </w:pPr>
          </w:p>
        </w:tc>
        <w:tc>
          <w:tcPr>
            <w:tcW w:w="800" w:type="dxa"/>
            <w:vAlign w:val="bottom"/>
            <w:gridSpan w:val="2"/>
          </w:tcPr>
          <w:p>
            <w:pPr>
              <w:jc w:val="right"/>
              <w:ind w:right="252"/>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3"/>
          </w:tcPr>
          <w:p>
            <w:pPr>
              <w:jc w:val="right"/>
              <w:ind w:right="440"/>
              <w:spacing w:after="0"/>
              <w:rPr>
                <w:sz w:val="20"/>
                <w:szCs w:val="20"/>
                <w:color w:val="auto"/>
              </w:rPr>
            </w:pPr>
            <w:r>
              <w:rPr>
                <w:rFonts w:ascii="Times New Roman" w:cs="Times New Roman" w:eastAsia="Times New Roman" w:hAnsi="Times New Roman"/>
                <w:sz w:val="18"/>
                <w:szCs w:val="18"/>
                <w:color w:val="auto"/>
              </w:rPr>
              <w:t>5,145</w:t>
            </w:r>
          </w:p>
        </w:tc>
        <w:tc>
          <w:tcPr>
            <w:tcW w:w="80" w:type="dxa"/>
            <w:vAlign w:val="bottom"/>
          </w:tcPr>
          <w:p>
            <w:pPr>
              <w:spacing w:after="0"/>
              <w:rPr>
                <w:sz w:val="18"/>
                <w:szCs w:val="18"/>
                <w:color w:val="auto"/>
              </w:rPr>
            </w:pPr>
          </w:p>
        </w:tc>
        <w:tc>
          <w:tcPr>
            <w:tcW w:w="68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6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Interest expense—net</w:t>
            </w:r>
          </w:p>
        </w:tc>
        <w:tc>
          <w:tcPr>
            <w:tcW w:w="3820" w:type="dxa"/>
            <w:vAlign w:val="bottom"/>
            <w:gridSpan w:val="3"/>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20,922</w:t>
            </w:r>
          </w:p>
        </w:tc>
        <w:tc>
          <w:tcPr>
            <w:tcW w:w="1240" w:type="dxa"/>
            <w:vAlign w:val="bottom"/>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21,665</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13,542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Income tax provision (benefit)</w:t>
            </w:r>
          </w:p>
        </w:tc>
        <w:tc>
          <w:tcPr>
            <w:tcW w:w="3820" w:type="dxa"/>
            <w:vAlign w:val="bottom"/>
            <w:gridSpan w:val="3"/>
          </w:tcPr>
          <w:p>
            <w:pPr>
              <w:jc w:val="right"/>
              <w:ind w:right="92"/>
              <w:spacing w:after="0"/>
              <w:rPr>
                <w:sz w:val="20"/>
                <w:szCs w:val="20"/>
                <w:color w:val="auto"/>
              </w:rPr>
            </w:pPr>
            <w:r>
              <w:rPr>
                <w:rFonts w:ascii="Times New Roman" w:cs="Times New Roman" w:eastAsia="Times New Roman" w:hAnsi="Times New Roman"/>
                <w:sz w:val="18"/>
                <w:szCs w:val="18"/>
                <w:color w:val="auto"/>
              </w:rPr>
              <w:t>(2,071)</w:t>
            </w:r>
          </w:p>
        </w:tc>
        <w:tc>
          <w:tcPr>
            <w:tcW w:w="1240" w:type="dxa"/>
            <w:vAlign w:val="bottom"/>
            <w:gridSpan w:val="3"/>
          </w:tcPr>
          <w:p>
            <w:pPr>
              <w:jc w:val="right"/>
              <w:ind w:right="440"/>
              <w:spacing w:after="0"/>
              <w:rPr>
                <w:sz w:val="20"/>
                <w:szCs w:val="20"/>
                <w:color w:val="auto"/>
              </w:rPr>
            </w:pPr>
            <w:r>
              <w:rPr>
                <w:rFonts w:ascii="Times New Roman" w:cs="Times New Roman" w:eastAsia="Times New Roman" w:hAnsi="Times New Roman"/>
                <w:sz w:val="18"/>
                <w:szCs w:val="18"/>
                <w:color w:val="auto"/>
              </w:rPr>
              <w:t>9,545</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20,554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820" w:type="dxa"/>
            <w:vAlign w:val="bottom"/>
            <w:gridSpan w:val="3"/>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40,034</w:t>
            </w:r>
          </w:p>
        </w:tc>
        <w:tc>
          <w:tcPr>
            <w:tcW w:w="1240" w:type="dxa"/>
            <w:vAlign w:val="bottom"/>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40,838</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34,301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302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5"/>
              </w:rPr>
              <w:t>$</w:t>
            </w:r>
            <w:r>
              <w:rPr>
                <w:rFonts w:ascii="Times New Roman" w:cs="Times New Roman" w:eastAsia="Times New Roman" w:hAnsi="Times New Roman"/>
                <w:sz w:val="18"/>
                <w:szCs w:val="18"/>
                <w:color w:val="auto"/>
                <w:w w:val="95"/>
              </w:rPr>
              <w:t>60,862</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5"/>
              </w:rPr>
              <w:t>$</w:t>
            </w:r>
            <w:r>
              <w:rPr>
                <w:rFonts w:ascii="Times New Roman" w:cs="Times New Roman" w:eastAsia="Times New Roman" w:hAnsi="Times New Roman"/>
                <w:sz w:val="18"/>
                <w:szCs w:val="18"/>
                <w:color w:val="auto"/>
                <w:w w:val="95"/>
              </w:rPr>
              <w:t>93,721</w:t>
            </w:r>
          </w:p>
        </w:tc>
        <w:tc>
          <w:tcPr>
            <w:tcW w:w="44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u w:val="single" w:color="auto"/>
                <w:color w:val="auto"/>
                <w:w w:val="74"/>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103,006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3020" w:type="dxa"/>
            <w:vAlign w:val="bottom"/>
            <w:vMerge w:val="restart"/>
          </w:tcPr>
          <w:p>
            <w:pPr>
              <w:jc w:val="right"/>
              <w:ind w:right="2735"/>
              <w:spacing w:after="0"/>
              <w:rPr>
                <w:sz w:val="20"/>
                <w:szCs w:val="20"/>
                <w:color w:val="auto"/>
              </w:rPr>
            </w:pPr>
            <w:r>
              <w:rPr>
                <w:rFonts w:ascii="Times New Roman" w:cs="Times New Roman" w:eastAsia="Times New Roman" w:hAnsi="Times New Roman"/>
                <w:sz w:val="18"/>
                <w:szCs w:val="18"/>
                <w:color w:val="auto"/>
                <w:w w:val="99"/>
              </w:rPr>
              <w:t>40</w:t>
            </w: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5600" w:type="dxa"/>
            <w:vAlign w:val="bottom"/>
          </w:tcPr>
          <w:p>
            <w:pPr>
              <w:spacing w:after="0"/>
              <w:rPr>
                <w:sz w:val="24"/>
                <w:szCs w:val="24"/>
                <w:color w:val="auto"/>
              </w:rPr>
            </w:pPr>
          </w:p>
        </w:tc>
        <w:tc>
          <w:tcPr>
            <w:tcW w:w="3020" w:type="dxa"/>
            <w:vAlign w:val="bottom"/>
            <w:vMerge w:val="continue"/>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5" w:right="239" w:bottom="1440" w:gutter="0" w:footer="0" w:header="0"/>
        </w:sectPr>
      </w:pPr>
    </w:p>
    <w:bookmarkStart w:id="42" w:name="page43"/>
    <w:bookmarkEnd w:id="4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Contract Revenues</w:t>
      </w:r>
    </w:p>
    <w:p>
      <w:pPr>
        <w:spacing w:after="0" w:line="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sets forth, by segment and type of work, the Company’s contract revenues for the years ended December 31 (in thousands):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85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740" w:type="dxa"/>
            <w:vAlign w:val="bottom"/>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2012</w:t>
            </w:r>
          </w:p>
        </w:tc>
        <w:tc>
          <w:tcPr>
            <w:tcW w:w="1000" w:type="dxa"/>
            <w:vAlign w:val="bottom"/>
            <w:gridSpan w:val="2"/>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2011</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2010</w:t>
            </w:r>
          </w:p>
        </w:tc>
        <w:tc>
          <w:tcPr>
            <w:tcW w:w="120" w:type="dxa"/>
            <w:vAlign w:val="bottom"/>
          </w:tcPr>
          <w:p>
            <w:pPr>
              <w:spacing w:after="0"/>
              <w:rPr>
                <w:sz w:val="14"/>
                <w:szCs w:val="14"/>
                <w:color w:val="auto"/>
              </w:rPr>
            </w:pPr>
          </w:p>
        </w:tc>
      </w:tr>
      <w:tr>
        <w:trPr>
          <w:trHeight w:val="196"/>
        </w:trPr>
        <w:tc>
          <w:tcPr>
            <w:tcW w:w="20" w:type="dxa"/>
            <w:vAlign w:val="bottom"/>
          </w:tcPr>
          <w:p>
            <w:pPr>
              <w:spacing w:after="0"/>
              <w:rPr>
                <w:sz w:val="17"/>
                <w:szCs w:val="17"/>
                <w:color w:val="auto"/>
              </w:rPr>
            </w:pPr>
          </w:p>
        </w:tc>
        <w:tc>
          <w:tcPr>
            <w:tcW w:w="852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Dredging:</w:t>
            </w:r>
          </w:p>
        </w:tc>
        <w:tc>
          <w:tcPr>
            <w:tcW w:w="74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85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Capital—U.S.</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$ 175,317</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$ 156,251</w:t>
            </w:r>
          </w:p>
        </w:tc>
        <w:tc>
          <w:tcPr>
            <w:tcW w:w="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300,873</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5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Capital—foreign</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112,242</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77,232</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82,898</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5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Coastal protection</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126,873</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135,164</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106,163</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5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Maintenance</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136,550</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116,016</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119,035</w:t>
            </w:r>
          </w:p>
        </w:tc>
        <w:tc>
          <w:tcPr>
            <w:tcW w:w="1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85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Rivers &amp; lakes*</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35,873</w:t>
            </w:r>
          </w:p>
        </w:tc>
        <w:tc>
          <w:tcPr>
            <w:tcW w:w="260" w:type="dxa"/>
            <w:vAlign w:val="bottom"/>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35,471</w:t>
            </w:r>
          </w:p>
        </w:tc>
        <w:tc>
          <w:tcPr>
            <w:tcW w:w="2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52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Total dredging revenues</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586,855</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520,134</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608,969</w:t>
            </w:r>
          </w:p>
        </w:tc>
        <w:tc>
          <w:tcPr>
            <w:tcW w:w="1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8520" w:type="dxa"/>
            <w:vAlign w:val="bottom"/>
          </w:tcPr>
          <w:p>
            <w:pPr>
              <w:spacing w:after="0"/>
              <w:rPr>
                <w:sz w:val="20"/>
                <w:szCs w:val="20"/>
                <w:color w:val="auto"/>
              </w:rPr>
            </w:pPr>
            <w:r>
              <w:rPr>
                <w:rFonts w:ascii="Times New Roman" w:cs="Times New Roman" w:eastAsia="Times New Roman" w:hAnsi="Times New Roman"/>
                <w:sz w:val="18"/>
                <w:szCs w:val="18"/>
                <w:color w:val="auto"/>
              </w:rPr>
              <w:t>Demolition</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100,729</w:t>
            </w:r>
          </w:p>
        </w:tc>
        <w:tc>
          <w:tcPr>
            <w:tcW w:w="260" w:type="dxa"/>
            <w:vAlign w:val="bottom"/>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107,199</w:t>
            </w:r>
          </w:p>
        </w:tc>
        <w:tc>
          <w:tcPr>
            <w:tcW w:w="2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77,953</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$ 687,584</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$ 627,333</w:t>
            </w:r>
          </w:p>
        </w:tc>
        <w:tc>
          <w:tcPr>
            <w:tcW w:w="4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686,922</w:t>
            </w:r>
          </w:p>
        </w:tc>
        <w:tc>
          <w:tcPr>
            <w:tcW w:w="12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85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ind w:left="220" w:right="640" w:hanging="212"/>
        <w:spacing w:after="0" w:line="275" w:lineRule="auto"/>
        <w:tabs>
          <w:tab w:leader="none" w:pos="2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Rivers &amp; lakes was established by the Company on December 31, 2010 in connection with the Matteson acquisition, and did not operate as part of the Company prior to January 1, 2011.</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Year Ended December 31, 2012 Compared to Year Ended December 31, 2011</w:t>
      </w:r>
    </w:p>
    <w:p>
      <w:pPr>
        <w:spacing w:after="0" w:line="92" w:lineRule="exact"/>
        <w:rPr>
          <w:sz w:val="20"/>
          <w:szCs w:val="20"/>
          <w:color w:val="auto"/>
        </w:rPr>
      </w:pPr>
    </w:p>
    <w:p>
      <w:pPr>
        <w:ind w:right="20" w:firstLine="456"/>
        <w:spacing w:after="0" w:line="254" w:lineRule="auto"/>
        <w:rPr>
          <w:sz w:val="20"/>
          <w:szCs w:val="20"/>
          <w:color w:val="auto"/>
        </w:rPr>
      </w:pPr>
      <w:r>
        <w:rPr>
          <w:rFonts w:ascii="Times New Roman" w:cs="Times New Roman" w:eastAsia="Times New Roman" w:hAnsi="Times New Roman"/>
          <w:sz w:val="18"/>
          <w:szCs w:val="18"/>
          <w:color w:val="auto"/>
        </w:rPr>
        <w:t>Total revenue was $687.6 million in 2012, an increase of $60.3 million, or 9.6%, from 2011 total revenue of $627.3 million. Dredging contract revenues for 2012 are net of $1.4 million in intersegment revenues. Demolition contract revenues for 2012 are net of $0.1 million in intersegment revenues. Higher domestic and foreign capital dredging revenue as well as maintenance revenues were driven by strong execution on prior year backlog and early stages of mobilization for the Wheatstone LNG project in Western Australia. The increases in total revenue were partially offset by declines in coastal protection revenues with fewer contracts performed in 2012 as compared to the larger than normal number of contracts performed in 2011 and in demolition revenues. The Company categorizes revenue by service type to understand the market in which the Company operates and to assess how the Company is performing on bidding work or projects and is generating revenue from backlog.</w:t>
      </w:r>
    </w:p>
    <w:p>
      <w:pPr>
        <w:spacing w:after="0" w:line="141" w:lineRule="exact"/>
        <w:rPr>
          <w:sz w:val="20"/>
          <w:szCs w:val="20"/>
          <w:color w:val="auto"/>
        </w:rPr>
      </w:pPr>
    </w:p>
    <w:p>
      <w:pPr>
        <w:jc w:val="both"/>
        <w:ind w:right="20" w:firstLine="456"/>
        <w:spacing w:after="0" w:line="256" w:lineRule="auto"/>
        <w:rPr>
          <w:sz w:val="20"/>
          <w:szCs w:val="20"/>
          <w:color w:val="auto"/>
        </w:rPr>
      </w:pPr>
      <w:r>
        <w:rPr>
          <w:rFonts w:ascii="Times New Roman" w:cs="Times New Roman" w:eastAsia="Times New Roman" w:hAnsi="Times New Roman"/>
          <w:sz w:val="18"/>
          <w:szCs w:val="18"/>
          <w:color w:val="auto"/>
        </w:rPr>
        <w:t>Revenues from domestic capital dredging projects of $175.3 million in 2012 increased $19.0 million, or 12.2%, from 2011 revenues of $156.3 million. The Company executed substantially its entire backlog from 2011 in addition to 82% of the awards won in 2012. Coastal restoration projects in Louisiana added $58.4 million to domestic capital dredging revenue in the current year, compared to $2.2 million in the prior year. This increase was partially offset by a greater number of domestic capital projects worked in the prior year, including the remaining work on the construction of sand berms off the coast of Louisiana, which accounted for approximately $20.6 million of 2011 revenue that did not reoccur in 2012.</w:t>
      </w:r>
    </w:p>
    <w:p>
      <w:pPr>
        <w:spacing w:after="0" w:line="139"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Revenues from coastal protection projects of $126.9 million in 2012 decreased $8.3 million, or 6.1%, from $135.2 million in 2011. A significant increase in coastal protection projects were bid and awarded in 2011. The Company was able to convert a portion of these prior year awards into revenue in 2011 as the dredging work was performed and revenue was earned. In 2012, less bids for coastal protection were let to bid and they were awarded later in year causing fewer days in which to earn revenue. Additionally, the Company performed emergency work in New York City after Superstorm Sandy that deferred some of the ongoing coastal protection projects.</w:t>
      </w:r>
    </w:p>
    <w:p>
      <w:pPr>
        <w:spacing w:after="0" w:line="139"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Revenues from maintenance dredging projects in 2012 were $136.6 million, an increase of $20.6 million, or 17.8%, from $116.0 million in 2011. The Company performed a greater number of contracts at a larger dollar value in 2012 as compared to the prior year. An increased backlog at December 31, 2011 combined with larger dollar value of contracts awarded and strong execution contributed to increase the revenue from maintenance dredging year over year. This increase in revenue was partially muted by atypically high revenue in the first half of 2011 as the Company performed maintenance projects that had been delayed from 2010.</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420"/>
          </w:cols>
          <w:pgMar w:left="240" w:top="455" w:right="239" w:bottom="1440" w:gutter="0" w:footer="0" w:header="0"/>
        </w:sectPr>
      </w:pPr>
    </w:p>
    <w:bookmarkStart w:id="43" w:name="page44"/>
    <w:bookmarkEnd w:id="4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firstLine="456"/>
        <w:spacing w:after="0" w:line="262" w:lineRule="auto"/>
        <w:rPr>
          <w:sz w:val="20"/>
          <w:szCs w:val="20"/>
          <w:color w:val="auto"/>
        </w:rPr>
      </w:pPr>
      <w:r>
        <w:rPr>
          <w:rFonts w:ascii="Times New Roman" w:cs="Times New Roman" w:eastAsia="Times New Roman" w:hAnsi="Times New Roman"/>
          <w:sz w:val="18"/>
          <w:szCs w:val="18"/>
          <w:color w:val="auto"/>
        </w:rPr>
        <w:t>Revenues from rivers &amp; lakes projects were $35.9 million for 2012, an increase of $0.4 million, or 1.1%, from $35.5 million in 2011. Revenues were in line with the prior year as there was a slight rise in the number of contracts performed, especially for projects on the Mississippi River, which were offset by shorter length and lower value contracts than the prior year.</w:t>
      </w:r>
    </w:p>
    <w:p>
      <w:pPr>
        <w:spacing w:after="0" w:line="132" w:lineRule="exact"/>
        <w:rPr>
          <w:sz w:val="20"/>
          <w:szCs w:val="20"/>
          <w:color w:val="auto"/>
        </w:rPr>
      </w:pPr>
    </w:p>
    <w:p>
      <w:pPr>
        <w:ind w:right="40" w:firstLine="456"/>
        <w:spacing w:after="0" w:line="262" w:lineRule="auto"/>
        <w:rPr>
          <w:sz w:val="20"/>
          <w:szCs w:val="20"/>
          <w:color w:val="auto"/>
        </w:rPr>
      </w:pPr>
      <w:r>
        <w:rPr>
          <w:rFonts w:ascii="Times New Roman" w:cs="Times New Roman" w:eastAsia="Times New Roman" w:hAnsi="Times New Roman"/>
          <w:sz w:val="18"/>
          <w:szCs w:val="18"/>
          <w:color w:val="auto"/>
        </w:rPr>
        <w:t>Revenues from foreign dredging operations in 2012 totaled $112.2 million, an increase of $35.0 million, or 45.3%, from 2011 revenues of $77.2 million. 2012 foreign revenue was driven higher with a greater number of large value contracts earned in our Middle East business and early stages of mobilization for the Wheatstone LNG project in Western Australia. Four contracts in our foreign operations comprise over 90% of the revenue earned.</w:t>
      </w:r>
    </w:p>
    <w:p>
      <w:pPr>
        <w:spacing w:after="0" w:line="132" w:lineRule="exact"/>
        <w:rPr>
          <w:sz w:val="20"/>
          <w:szCs w:val="20"/>
          <w:color w:val="auto"/>
        </w:rPr>
      </w:pPr>
    </w:p>
    <w:p>
      <w:pPr>
        <w:jc w:val="both"/>
        <w:ind w:right="240" w:firstLine="456"/>
        <w:spacing w:after="0" w:line="262" w:lineRule="auto"/>
        <w:rPr>
          <w:sz w:val="20"/>
          <w:szCs w:val="20"/>
          <w:color w:val="auto"/>
        </w:rPr>
      </w:pPr>
      <w:r>
        <w:rPr>
          <w:rFonts w:ascii="Times New Roman" w:cs="Times New Roman" w:eastAsia="Times New Roman" w:hAnsi="Times New Roman"/>
          <w:sz w:val="18"/>
          <w:szCs w:val="18"/>
          <w:color w:val="auto"/>
        </w:rPr>
        <w:t>The demolition segment recorded revenues in 2012 of $100.7 million, a decrease of $6.5 million, or 6.1%, from 2011 revenues of $107.2 million. Lower revenue levels in 2012 were driven by decreases in bridge demolition work, partially offset by a greater number of site development projects in New York and New England, and a project to assist in debris clean-up in New York City after Superstorm Sandy.</w:t>
      </w:r>
    </w:p>
    <w:p>
      <w:pPr>
        <w:spacing w:after="0" w:line="132" w:lineRule="exact"/>
        <w:rPr>
          <w:sz w:val="20"/>
          <w:szCs w:val="20"/>
          <w:color w:val="auto"/>
        </w:rPr>
      </w:pPr>
    </w:p>
    <w:p>
      <w:pPr>
        <w:ind w:right="20" w:firstLine="456"/>
        <w:spacing w:after="0" w:line="258" w:lineRule="auto"/>
        <w:rPr>
          <w:sz w:val="20"/>
          <w:szCs w:val="20"/>
          <w:color w:val="auto"/>
        </w:rPr>
      </w:pPr>
      <w:r>
        <w:rPr>
          <w:rFonts w:ascii="Times New Roman" w:cs="Times New Roman" w:eastAsia="Times New Roman" w:hAnsi="Times New Roman"/>
          <w:sz w:val="18"/>
          <w:szCs w:val="18"/>
          <w:color w:val="auto"/>
        </w:rPr>
        <w:t>Dredging segment gross profit in 2012 decreased 5.3% to $78.3 million from $82.7 million in 2011, and dredging segment gross profit margin (dredging gross profit divided by dredging revenue) was 13.3% in 2012, down from 15.8% in 2011. Gross profit margin was lower as the project mix in the current year had a greater volume of projects that traditionally produce lower margins. Weather impacts in the first and third quarters of 2012 and equipment production delays as well as the costs of preparing part of our fleet in advance of foreign deployment lowered the overall dredging segment gross profit.</w:t>
      </w:r>
    </w:p>
    <w:p>
      <w:pPr>
        <w:spacing w:after="0" w:line="136" w:lineRule="exact"/>
        <w:rPr>
          <w:sz w:val="20"/>
          <w:szCs w:val="20"/>
          <w:color w:val="auto"/>
        </w:rPr>
      </w:pPr>
    </w:p>
    <w:p>
      <w:pPr>
        <w:jc w:val="both"/>
        <w:ind w:right="120" w:firstLine="456"/>
        <w:spacing w:after="0" w:line="301" w:lineRule="auto"/>
        <w:rPr>
          <w:sz w:val="20"/>
          <w:szCs w:val="20"/>
          <w:color w:val="auto"/>
        </w:rPr>
      </w:pPr>
      <w:r>
        <w:rPr>
          <w:rFonts w:ascii="Times New Roman" w:cs="Times New Roman" w:eastAsia="Times New Roman" w:hAnsi="Times New Roman"/>
          <w:sz w:val="16"/>
          <w:szCs w:val="16"/>
          <w:color w:val="auto"/>
        </w:rPr>
        <w:t>Demolition segment gross profit decreased $20.2 million to a loss of $9.9 million from a profit of $10.3 million in 2011 and demolition segment negative gross profit margin was 9.8%, down from a gross profit margin of 9.6% in 2011. A significant drop in gross profit margin was related to work on projects where costs were recognized immediately but the recognition of revenue was deferred due to pending change orders. Lower gross profit margins on a higher volume of site development projects, net losses in our abatement projects and $1.3 million of higher operating overhead also contributed to the decrease.</w:t>
      </w:r>
    </w:p>
    <w:p>
      <w:pPr>
        <w:spacing w:after="0" w:line="103" w:lineRule="exact"/>
        <w:rPr>
          <w:sz w:val="20"/>
          <w:szCs w:val="20"/>
          <w:color w:val="auto"/>
        </w:rPr>
      </w:pPr>
    </w:p>
    <w:p>
      <w:pPr>
        <w:ind w:right="100" w:firstLine="456"/>
        <w:spacing w:after="0" w:line="310" w:lineRule="auto"/>
        <w:rPr>
          <w:sz w:val="20"/>
          <w:szCs w:val="20"/>
          <w:color w:val="auto"/>
        </w:rPr>
      </w:pPr>
      <w:r>
        <w:rPr>
          <w:rFonts w:ascii="Times New Roman" w:cs="Times New Roman" w:eastAsia="Times New Roman" w:hAnsi="Times New Roman"/>
          <w:sz w:val="16"/>
          <w:szCs w:val="16"/>
          <w:color w:val="auto"/>
        </w:rPr>
        <w:t>Dredging segment operating income for 2012 decreased 38.9% to $32.9 million, from $53.8 million in 2011 due to the lower gross profit described above, $11.7 million of gains in the prior year from sales of underutilized assets, and higher general and administrative expenses. The prior year also included $2.2 million of amortization of intangibles from the Matteson acquisition that were fully amortized by the current year and partially offset the higher expenses.</w:t>
      </w:r>
    </w:p>
    <w:p>
      <w:pPr>
        <w:spacing w:after="0" w:line="97" w:lineRule="exact"/>
        <w:rPr>
          <w:sz w:val="20"/>
          <w:szCs w:val="20"/>
          <w:color w:val="auto"/>
        </w:rPr>
      </w:pPr>
    </w:p>
    <w:p>
      <w:pPr>
        <w:jc w:val="both"/>
        <w:ind w:right="520" w:firstLine="456"/>
        <w:spacing w:after="0" w:line="262" w:lineRule="auto"/>
        <w:rPr>
          <w:sz w:val="20"/>
          <w:szCs w:val="20"/>
          <w:color w:val="auto"/>
        </w:rPr>
      </w:pPr>
      <w:r>
        <w:rPr>
          <w:rFonts w:ascii="Times New Roman" w:cs="Times New Roman" w:eastAsia="Times New Roman" w:hAnsi="Times New Roman"/>
          <w:sz w:val="18"/>
          <w:szCs w:val="18"/>
          <w:color w:val="auto"/>
        </w:rPr>
        <w:t>Demolition segment operating loss was $17.4 million for 2012 down from an operating income in 2011 of $0.5 million due to the lower gross profit described above, which was partially offset by the recognition of $1.8 million of additional legal and consulting expenses in 2011 relating to the subpoenas received in April 2011 and gains on the sale of underutilized equipment.</w:t>
      </w:r>
    </w:p>
    <w:p>
      <w:pPr>
        <w:spacing w:after="0" w:line="132" w:lineRule="exact"/>
        <w:rPr>
          <w:sz w:val="20"/>
          <w:szCs w:val="20"/>
          <w:color w:val="auto"/>
        </w:rPr>
      </w:pPr>
    </w:p>
    <w:p>
      <w:pPr>
        <w:ind w:right="120" w:firstLine="456"/>
        <w:spacing w:after="0" w:line="256" w:lineRule="auto"/>
        <w:rPr>
          <w:sz w:val="20"/>
          <w:szCs w:val="20"/>
          <w:color w:val="auto"/>
        </w:rPr>
      </w:pPr>
      <w:r>
        <w:rPr>
          <w:rFonts w:ascii="Times New Roman" w:cs="Times New Roman" w:eastAsia="Times New Roman" w:hAnsi="Times New Roman"/>
          <w:sz w:val="18"/>
          <w:szCs w:val="18"/>
          <w:color w:val="auto"/>
        </w:rPr>
        <w:t>The Company’s net interest expense for 2012 totaled $20.9 million compared with $21.7 million in 2011. This decrease is primarily due to the Company’s issuance of $250 million of 7.375% senior notes and the related redemption of the Company’s $175 million of 7.75% senior subordinated notes in the 2011 first quarter. Due to timing requirements, both of these note issuances were outstanding and accruing interest for approximately 30 days in 2011, resulting in duplicative interest expense of approximately $1.1 million. In addition, in 2012 the Company realized a $0.1 million gain on interest rate swaps, while 2011 included a $0.4 million gain.</w:t>
      </w:r>
    </w:p>
    <w:p>
      <w:pPr>
        <w:spacing w:after="0" w:line="139" w:lineRule="exact"/>
        <w:rPr>
          <w:sz w:val="20"/>
          <w:szCs w:val="20"/>
          <w:color w:val="auto"/>
        </w:rPr>
      </w:pPr>
    </w:p>
    <w:p>
      <w:pPr>
        <w:jc w:val="both"/>
        <w:ind w:right="320" w:firstLine="456"/>
        <w:spacing w:after="0" w:line="262" w:lineRule="auto"/>
        <w:rPr>
          <w:sz w:val="20"/>
          <w:szCs w:val="20"/>
          <w:color w:val="auto"/>
        </w:rPr>
      </w:pPr>
      <w:r>
        <w:rPr>
          <w:rFonts w:ascii="Times New Roman" w:cs="Times New Roman" w:eastAsia="Times New Roman" w:hAnsi="Times New Roman"/>
          <w:sz w:val="18"/>
          <w:szCs w:val="18"/>
          <w:color w:val="auto"/>
        </w:rPr>
        <w:t>Income tax expense in 2012 was a benefit of $2.1 million compared to a provision of $9.5 million in 2011. This $11.6 million decrease is primarily the result of the decrease in the Company’s operating income. The effective tax rate for the year ended December 31, 2012 was 38.3% compared to 35.4% for the year ended December 31, 2011.</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420"/>
          </w:cols>
          <w:pgMar w:left="240" w:top="455" w:right="239" w:bottom="1440" w:gutter="0" w:footer="0" w:header="0"/>
        </w:sectPr>
      </w:pPr>
    </w:p>
    <w:bookmarkStart w:id="44" w:name="page45"/>
    <w:bookmarkEnd w:id="4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firstLine="456"/>
        <w:spacing w:after="0" w:line="262" w:lineRule="auto"/>
        <w:rPr>
          <w:sz w:val="20"/>
          <w:szCs w:val="20"/>
          <w:color w:val="auto"/>
        </w:rPr>
      </w:pPr>
      <w:r>
        <w:rPr>
          <w:rFonts w:ascii="Times New Roman" w:cs="Times New Roman" w:eastAsia="Times New Roman" w:hAnsi="Times New Roman"/>
          <w:sz w:val="18"/>
          <w:szCs w:val="18"/>
          <w:color w:val="auto"/>
        </w:rPr>
        <w:t>For the year ended December 31, 2012, net loss attributable to Great Lakes Dredge &amp; Dock Corporation was $2.7 million compared to net income attributable to Great Lakes Dredge &amp; Dock Corporation of $16.5 million for the year ended December 31, 2011. This $19.2 million decrease was primarily driven by the lower operating income, net of taxes in 2012 as described above.</w:t>
      </w:r>
    </w:p>
    <w:p>
      <w:pPr>
        <w:spacing w:after="0" w:line="132" w:lineRule="exact"/>
        <w:rPr>
          <w:sz w:val="20"/>
          <w:szCs w:val="20"/>
          <w:color w:val="auto"/>
        </w:rPr>
      </w:pPr>
    </w:p>
    <w:p>
      <w:pPr>
        <w:ind w:right="60" w:firstLine="456"/>
        <w:spacing w:after="0" w:line="254" w:lineRule="auto"/>
        <w:rPr>
          <w:sz w:val="20"/>
          <w:szCs w:val="20"/>
          <w:color w:val="auto"/>
        </w:rPr>
      </w:pPr>
      <w:r>
        <w:rPr>
          <w:rFonts w:ascii="Times New Roman" w:cs="Times New Roman" w:eastAsia="Times New Roman" w:hAnsi="Times New Roman"/>
          <w:sz w:val="18"/>
          <w:szCs w:val="18"/>
          <w:color w:val="auto"/>
        </w:rPr>
        <w:t>Adjusted EBITDA (as defined above) was $60.9 million and $93.7 million for the years ended December 31, 2012 and 2011, respectively. The decrease of $32.8 million, or 35.0%, is related to the decrease in dredging segment and demolition segment operating income described above. In 2012, the Company recorded $40.0 million of depreciation and amortization expense that is included as a component of operating income, but is excluded for the purposes of calculating Adjusted EBITDA. The depreciation and amortization expense recorded in 2011 was $40.8 million. During 2012, the Company incurred $4.7 million of accelerated maintenance expenses related to preparation of vessels for the Wheatstone project in Australia that are recognized in the Company’s operating income. The Company does not frequently incur significant accelerated maintenance as a part of its international deployments. We have therefore excluded these accelerated maintenance expenses from the calculation of Adjusted EBITDA.</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Year Ended December 31, 2011 Compared to Year Ended December 31, 2010</w:t>
      </w:r>
    </w:p>
    <w:p>
      <w:pPr>
        <w:spacing w:after="0" w:line="92" w:lineRule="exact"/>
        <w:rPr>
          <w:sz w:val="20"/>
          <w:szCs w:val="20"/>
          <w:color w:val="auto"/>
        </w:rPr>
      </w:pPr>
    </w:p>
    <w:p>
      <w:pPr>
        <w:jc w:val="both"/>
        <w:ind w:right="220" w:firstLine="456"/>
        <w:spacing w:after="0" w:line="258" w:lineRule="auto"/>
        <w:rPr>
          <w:sz w:val="20"/>
          <w:szCs w:val="20"/>
          <w:color w:val="auto"/>
        </w:rPr>
      </w:pPr>
      <w:r>
        <w:rPr>
          <w:rFonts w:ascii="Times New Roman" w:cs="Times New Roman" w:eastAsia="Times New Roman" w:hAnsi="Times New Roman"/>
          <w:sz w:val="18"/>
          <w:szCs w:val="18"/>
          <w:color w:val="auto"/>
        </w:rPr>
        <w:t>Revenues from domestic capital dredging projects of $156.3 million in 2011 decreased $144.6 million, or 48.1%, from 2010 revenues of $300.9 million. The decrease in revenue is primarily due to $108.3 million of revenue in 2010 that did not repeat in 2011 from work on sand berm construction off the coast of Louisiana in response to the Deepwater Horizon oil spill in the Gulf of Mexico. In addition, 2010 revenue benefited from $56 million for deepening projects in the ports of New Jersey that were not repeated in 2011.</w:t>
      </w:r>
    </w:p>
    <w:p>
      <w:pPr>
        <w:spacing w:after="0" w:line="136" w:lineRule="exact"/>
        <w:rPr>
          <w:sz w:val="20"/>
          <w:szCs w:val="20"/>
          <w:color w:val="auto"/>
        </w:rPr>
      </w:pPr>
    </w:p>
    <w:p>
      <w:pPr>
        <w:ind w:right="200" w:firstLine="456"/>
        <w:spacing w:after="0" w:line="256" w:lineRule="auto"/>
        <w:rPr>
          <w:sz w:val="20"/>
          <w:szCs w:val="20"/>
          <w:color w:val="auto"/>
        </w:rPr>
      </w:pPr>
      <w:r>
        <w:rPr>
          <w:rFonts w:ascii="Times New Roman" w:cs="Times New Roman" w:eastAsia="Times New Roman" w:hAnsi="Times New Roman"/>
          <w:sz w:val="18"/>
          <w:szCs w:val="18"/>
          <w:color w:val="auto"/>
        </w:rPr>
        <w:t>Revenues from coastal protection projects of $135.2 million in 2011 increased $29.0 million, or 27.3%, from $106.2 million in 2010. The Company won $198 million of coastal protection projects in 2011, which is $143 million higher than the amount of projects won in 2010. The significant increase in coastal protection awards created a larger supply of projects in backlog, of which the Company was able to convert a portion into revenue for projects worked in 2011. Additionally, revenue was positively impacted as the Company was able to work on projects which were not subjected to environmental windows, which are limitations as to the timing of when dredging activity can occur, unlike the prior year when such projects were not available.</w:t>
      </w:r>
    </w:p>
    <w:p>
      <w:pPr>
        <w:spacing w:after="0" w:line="139" w:lineRule="exact"/>
        <w:rPr>
          <w:sz w:val="20"/>
          <w:szCs w:val="20"/>
          <w:color w:val="auto"/>
        </w:rPr>
      </w:pPr>
    </w:p>
    <w:p>
      <w:pPr>
        <w:ind w:right="20" w:firstLine="456"/>
        <w:spacing w:after="0" w:line="339" w:lineRule="auto"/>
        <w:rPr>
          <w:sz w:val="20"/>
          <w:szCs w:val="20"/>
          <w:color w:val="auto"/>
        </w:rPr>
      </w:pPr>
      <w:r>
        <w:rPr>
          <w:rFonts w:ascii="Times New Roman" w:cs="Times New Roman" w:eastAsia="Times New Roman" w:hAnsi="Times New Roman"/>
          <w:sz w:val="16"/>
          <w:szCs w:val="16"/>
          <w:color w:val="auto"/>
        </w:rPr>
        <w:t>Revenues from maintenance dredging projects in 2011 were $116.0 million, a decrease of $3.0 million, or 2.5%, from $119.0 million in 2010. Maintenance revenue in 2011 decreased slightly as $4.7 million of projects traditionally included in maintenance revenue was shifted to the rivers &amp; lakes revenue category.</w:t>
      </w:r>
    </w:p>
    <w:p>
      <w:pPr>
        <w:spacing w:after="0" w:line="74" w:lineRule="exact"/>
        <w:rPr>
          <w:sz w:val="20"/>
          <w:szCs w:val="20"/>
          <w:color w:val="auto"/>
        </w:rPr>
      </w:pPr>
    </w:p>
    <w:p>
      <w:pPr>
        <w:ind w:right="420" w:firstLine="456"/>
        <w:spacing w:after="0" w:line="275" w:lineRule="auto"/>
        <w:rPr>
          <w:sz w:val="20"/>
          <w:szCs w:val="20"/>
          <w:color w:val="auto"/>
        </w:rPr>
      </w:pPr>
      <w:r>
        <w:rPr>
          <w:rFonts w:ascii="Times New Roman" w:cs="Times New Roman" w:eastAsia="Times New Roman" w:hAnsi="Times New Roman"/>
          <w:sz w:val="18"/>
          <w:szCs w:val="18"/>
          <w:color w:val="auto"/>
        </w:rPr>
        <w:t>Revenues from rivers &amp; lakes projects were $35.5 million for 2011. The Company purchased its rivers &amp; lakes operations on December 31, 2010 and therefore had no revenues from rivers &amp; lakes projects in 2010.</w:t>
      </w:r>
    </w:p>
    <w:p>
      <w:pPr>
        <w:spacing w:after="0" w:line="120" w:lineRule="exact"/>
        <w:rPr>
          <w:sz w:val="20"/>
          <w:szCs w:val="20"/>
          <w:color w:val="auto"/>
        </w:rPr>
      </w:pPr>
    </w:p>
    <w:p>
      <w:pPr>
        <w:ind w:right="340" w:firstLine="456"/>
        <w:spacing w:after="0" w:line="310" w:lineRule="auto"/>
        <w:rPr>
          <w:sz w:val="20"/>
          <w:szCs w:val="20"/>
          <w:color w:val="auto"/>
        </w:rPr>
      </w:pPr>
      <w:r>
        <w:rPr>
          <w:rFonts w:ascii="Times New Roman" w:cs="Times New Roman" w:eastAsia="Times New Roman" w:hAnsi="Times New Roman"/>
          <w:sz w:val="16"/>
          <w:szCs w:val="16"/>
          <w:color w:val="auto"/>
        </w:rPr>
        <w:t>Revenues from foreign dredging operations in 2011 totaled $77.2 million, a decrease of $5.7 million, or 6.8%, from 2010 revenues of $82.9 million. In 2011, revenues were from projects comprised of smaller values and scopes than those in the prior year. Foreign revenues in 2011 also benefited from the resolution of outstanding project claims of approximately $3.8 million in the 2011 first quarter, offset by fewer projects in the Middle East.</w:t>
      </w:r>
    </w:p>
    <w:p>
      <w:pPr>
        <w:spacing w:after="0" w:line="97" w:lineRule="exact"/>
        <w:rPr>
          <w:sz w:val="20"/>
          <w:szCs w:val="20"/>
          <w:color w:val="auto"/>
        </w:rPr>
      </w:pPr>
    </w:p>
    <w:p>
      <w:pPr>
        <w:ind w:right="240" w:firstLine="456"/>
        <w:spacing w:after="0" w:line="262" w:lineRule="auto"/>
        <w:rPr>
          <w:sz w:val="20"/>
          <w:szCs w:val="20"/>
          <w:color w:val="auto"/>
        </w:rPr>
      </w:pPr>
      <w:r>
        <w:rPr>
          <w:rFonts w:ascii="Times New Roman" w:cs="Times New Roman" w:eastAsia="Times New Roman" w:hAnsi="Times New Roman"/>
          <w:sz w:val="18"/>
          <w:szCs w:val="18"/>
          <w:color w:val="auto"/>
        </w:rPr>
        <w:t>The demolition segment recorded revenues in 2011 of $107.2 million, an increase of $29.2 million, or 37.5%, over 2010 revenues of $78.0 million. This increase was primarily related to improved market conditions in Massachusetts based on the continued economic recovery in this market and the I-10 bridge demolition project in Louisiana.</w:t>
      </w:r>
    </w:p>
    <w:p>
      <w:pPr>
        <w:spacing w:after="0" w:line="132" w:lineRule="exact"/>
        <w:rPr>
          <w:sz w:val="20"/>
          <w:szCs w:val="20"/>
          <w:color w:val="auto"/>
        </w:rPr>
      </w:pPr>
    </w:p>
    <w:p>
      <w:pPr>
        <w:jc w:val="both"/>
        <w:ind w:right="40" w:firstLine="456"/>
        <w:spacing w:after="0" w:line="262" w:lineRule="auto"/>
        <w:rPr>
          <w:sz w:val="20"/>
          <w:szCs w:val="20"/>
          <w:color w:val="auto"/>
        </w:rPr>
      </w:pPr>
      <w:r>
        <w:rPr>
          <w:rFonts w:ascii="Times New Roman" w:cs="Times New Roman" w:eastAsia="Times New Roman" w:hAnsi="Times New Roman"/>
          <w:sz w:val="18"/>
          <w:szCs w:val="18"/>
          <w:color w:val="auto"/>
        </w:rPr>
        <w:t>Dredging segment gross profit in 2011 decreased 30.0% to $82.7 million from $117.7 million in 2010, and dredging segment gross profit margin (dredging gross profit divided by dredging revenue) was 15.8% in 2011, down from 19.3% in 2010. Gross profit margin benefited in the prior year from a favorable project mix and</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400"/>
          </w:cols>
          <w:pgMar w:left="240" w:top="455" w:right="259" w:bottom="1440" w:gutter="0" w:footer="0" w:header="0"/>
        </w:sectPr>
      </w:pPr>
    </w:p>
    <w:bookmarkStart w:id="45" w:name="page46"/>
    <w:bookmarkEnd w:id="4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100"/>
        <w:spacing w:after="0" w:line="275" w:lineRule="auto"/>
        <w:rPr>
          <w:sz w:val="20"/>
          <w:szCs w:val="20"/>
          <w:color w:val="auto"/>
        </w:rPr>
      </w:pPr>
      <w:r>
        <w:rPr>
          <w:rFonts w:ascii="Times New Roman" w:cs="Times New Roman" w:eastAsia="Times New Roman" w:hAnsi="Times New Roman"/>
          <w:sz w:val="18"/>
          <w:szCs w:val="18"/>
          <w:color w:val="auto"/>
        </w:rPr>
        <w:t>better vessel employment on a number of domestic capital dredging projects allowing better fixed cost coverage. In addition the prior year experienced favorable project execution and weather conditions on coastal protection projects.</w:t>
      </w:r>
    </w:p>
    <w:p>
      <w:pPr>
        <w:spacing w:after="0" w:line="120" w:lineRule="exact"/>
        <w:rPr>
          <w:sz w:val="20"/>
          <w:szCs w:val="20"/>
          <w:color w:val="auto"/>
        </w:rPr>
      </w:pPr>
    </w:p>
    <w:p>
      <w:pPr>
        <w:jc w:val="both"/>
        <w:ind w:right="140" w:firstLine="456"/>
        <w:spacing w:after="0" w:line="262" w:lineRule="auto"/>
        <w:rPr>
          <w:sz w:val="20"/>
          <w:szCs w:val="20"/>
          <w:color w:val="auto"/>
        </w:rPr>
      </w:pPr>
      <w:r>
        <w:rPr>
          <w:rFonts w:ascii="Times New Roman" w:cs="Times New Roman" w:eastAsia="Times New Roman" w:hAnsi="Times New Roman"/>
          <w:sz w:val="18"/>
          <w:szCs w:val="18"/>
          <w:color w:val="auto"/>
        </w:rPr>
        <w:t>Demolition segment gross profit increased $5.3 million to $10.3 million from $5.0 million in 2010 and demolition segment gross profit margin was 9.6%, up from 6.5% in 2010, primarily due to the increase in profit margin on new projects, led by the I-10 bridge demolition project in Louisiana as well as improved market conditions from the continued economic recovery in the demolition segment’s primary market.</w:t>
      </w:r>
    </w:p>
    <w:p>
      <w:pPr>
        <w:spacing w:after="0" w:line="132" w:lineRule="exact"/>
        <w:rPr>
          <w:sz w:val="20"/>
          <w:szCs w:val="20"/>
          <w:color w:val="auto"/>
        </w:rPr>
      </w:pPr>
    </w:p>
    <w:p>
      <w:pPr>
        <w:jc w:val="both"/>
        <w:ind w:right="360" w:firstLine="456"/>
        <w:spacing w:after="0" w:line="262" w:lineRule="auto"/>
        <w:rPr>
          <w:sz w:val="20"/>
          <w:szCs w:val="20"/>
          <w:color w:val="auto"/>
        </w:rPr>
      </w:pPr>
      <w:r>
        <w:rPr>
          <w:rFonts w:ascii="Times New Roman" w:cs="Times New Roman" w:eastAsia="Times New Roman" w:hAnsi="Times New Roman"/>
          <w:sz w:val="18"/>
          <w:szCs w:val="18"/>
          <w:color w:val="auto"/>
        </w:rPr>
        <w:t>Dredging segment operating income for 2011 decreased 24.3% to $53.8 million, from $70.5 million in 2010 due to the lower revenues and gross profit described above, offset by $11.7 million of gains from sales of underutilized assets. In 2010, the dredging segment operating income included $6.4 million of severance, legal and consulting charges that were recorded in conjunction with the senior management reorganization.</w:t>
      </w:r>
    </w:p>
    <w:p>
      <w:pPr>
        <w:spacing w:after="0" w:line="132" w:lineRule="exact"/>
        <w:rPr>
          <w:sz w:val="20"/>
          <w:szCs w:val="20"/>
          <w:color w:val="auto"/>
        </w:rPr>
      </w:pPr>
    </w:p>
    <w:p>
      <w:pPr>
        <w:ind w:right="240" w:firstLine="456"/>
        <w:spacing w:after="0" w:line="262" w:lineRule="auto"/>
        <w:rPr>
          <w:sz w:val="20"/>
          <w:szCs w:val="20"/>
          <w:color w:val="auto"/>
        </w:rPr>
      </w:pPr>
      <w:r>
        <w:rPr>
          <w:rFonts w:ascii="Times New Roman" w:cs="Times New Roman" w:eastAsia="Times New Roman" w:hAnsi="Times New Roman"/>
          <w:sz w:val="18"/>
          <w:szCs w:val="18"/>
          <w:color w:val="auto"/>
        </w:rPr>
        <w:t>Demolition segment operating income improved to $0.5 million for 2011 from an operating loss in 2010 of $2.1 million due to the higher revenues and gross profit described above, which were offset by the recognition of $1.8 million of additional legal and consulting expenses in 2011 relating to the subpoenas received in April 2011.</w:t>
      </w:r>
    </w:p>
    <w:p>
      <w:pPr>
        <w:spacing w:after="0" w:line="132" w:lineRule="exact"/>
        <w:rPr>
          <w:sz w:val="20"/>
          <w:szCs w:val="20"/>
          <w:color w:val="auto"/>
        </w:rPr>
      </w:pPr>
    </w:p>
    <w:p>
      <w:pPr>
        <w:ind w:right="20" w:firstLine="456"/>
        <w:spacing w:after="0" w:line="255" w:lineRule="auto"/>
        <w:rPr>
          <w:sz w:val="20"/>
          <w:szCs w:val="20"/>
          <w:color w:val="auto"/>
        </w:rPr>
      </w:pPr>
      <w:r>
        <w:rPr>
          <w:rFonts w:ascii="Times New Roman" w:cs="Times New Roman" w:eastAsia="Times New Roman" w:hAnsi="Times New Roman"/>
          <w:sz w:val="18"/>
          <w:szCs w:val="18"/>
          <w:color w:val="auto"/>
        </w:rPr>
        <w:t>The Company’s net interest expense for 2011 totaled $21.7 million compared with $13.5 million in 2010. This increase is primarily due to the Company’s issuance of $250 million of 7.375% senior notes and the related redemption of the Company’s $175 million of 7.75% senior subordinated notes in the 2011 first quarter. Due to timing requirements, both of these note issuances were outstanding and accruing interest for approximately 30 days in 2011, resulting in duplicative interest expense of approximately $1.1 million. Although the senior notes accrue interest at a lower interest rate than the previously outstanding senior subordinated notes, the increase in principal outstanding resulted in an additional $4.5 million of interest expense in 2011 as compared to 2010. In addition, in 2011 the Company realized a $0.4 million gain on interest rate swaps, while favorable interest rates in 2010 led to a $2.1 million gain.</w:t>
      </w:r>
    </w:p>
    <w:p>
      <w:pPr>
        <w:spacing w:after="0" w:line="139" w:lineRule="exact"/>
        <w:rPr>
          <w:sz w:val="20"/>
          <w:szCs w:val="20"/>
          <w:color w:val="auto"/>
        </w:rPr>
      </w:pPr>
    </w:p>
    <w:p>
      <w:pPr>
        <w:ind w:firstLine="456"/>
        <w:spacing w:after="0" w:line="262" w:lineRule="auto"/>
        <w:rPr>
          <w:sz w:val="20"/>
          <w:szCs w:val="20"/>
          <w:color w:val="auto"/>
        </w:rPr>
      </w:pPr>
      <w:r>
        <w:rPr>
          <w:rFonts w:ascii="Times New Roman" w:cs="Times New Roman" w:eastAsia="Times New Roman" w:hAnsi="Times New Roman"/>
          <w:sz w:val="18"/>
          <w:szCs w:val="18"/>
          <w:color w:val="auto"/>
        </w:rPr>
        <w:t>The Company incurred income tax expense of $9.5 million in 2011 compared with $20.6 million in 2010. This $11.1 million decrease is primarily the result of the decrease in the Company’s operating income. The effective tax rate for the year ended December 31, 2011 was 35.4% compared to 37.9% for the year ended December 31, 2010.</w:t>
      </w:r>
    </w:p>
    <w:p>
      <w:pPr>
        <w:spacing w:after="0" w:line="132" w:lineRule="exact"/>
        <w:rPr>
          <w:sz w:val="20"/>
          <w:szCs w:val="20"/>
          <w:color w:val="auto"/>
        </w:rPr>
      </w:pPr>
    </w:p>
    <w:p>
      <w:pPr>
        <w:ind w:right="180" w:firstLine="456"/>
        <w:spacing w:after="0" w:line="339" w:lineRule="auto"/>
        <w:rPr>
          <w:sz w:val="20"/>
          <w:szCs w:val="20"/>
          <w:color w:val="auto"/>
        </w:rPr>
      </w:pPr>
      <w:r>
        <w:rPr>
          <w:rFonts w:ascii="Times New Roman" w:cs="Times New Roman" w:eastAsia="Times New Roman" w:hAnsi="Times New Roman"/>
          <w:sz w:val="16"/>
          <w:szCs w:val="16"/>
          <w:color w:val="auto"/>
        </w:rPr>
        <w:t>For the year ended December 31, 2011, net income attributable to Great Lakes Dredge &amp; Dock Corporation was $16.5 million compared to $34.6 million for the year ended December 31, 2010. This $18.1 million decrease was primarily driven by the lower operating income, net of taxes in 2011 described above.</w:t>
      </w:r>
    </w:p>
    <w:p>
      <w:pPr>
        <w:spacing w:after="0" w:line="74" w:lineRule="exact"/>
        <w:rPr>
          <w:sz w:val="20"/>
          <w:szCs w:val="20"/>
          <w:color w:val="auto"/>
        </w:rPr>
      </w:pPr>
    </w:p>
    <w:p>
      <w:pPr>
        <w:ind w:right="60" w:firstLine="456"/>
        <w:spacing w:after="0" w:line="254" w:lineRule="auto"/>
        <w:rPr>
          <w:sz w:val="20"/>
          <w:szCs w:val="20"/>
          <w:color w:val="auto"/>
        </w:rPr>
      </w:pPr>
      <w:r>
        <w:rPr>
          <w:rFonts w:ascii="Times New Roman" w:cs="Times New Roman" w:eastAsia="Times New Roman" w:hAnsi="Times New Roman"/>
          <w:sz w:val="18"/>
          <w:szCs w:val="18"/>
          <w:color w:val="auto"/>
        </w:rPr>
        <w:t>Adjusted EBITDA (as defined above) was $93.7 million and $103.0 million for the year ended December 31, 2011 and 2010, respectively. The decrease of $9.3 million, or 9.0%, is related to the decrease in dredging segment operating income net of the increase in demolition segment operating income described above. In 2011, the Company recorded $40.8 million of depreciation and amortization expense that is included as a component of operating income, but is excluded for the purposes of calculating Adjusted EBITDA. The increase in depreciation from 2011 is partially related to the Company’s decision to accelerate certain capital expenditures into 2011 to take advantage of the federal tax benefit allowing for full tax depreciation in the year of service for new assets. In addition, the purchase of Matteson assets in December 2010 added $1.7 million of depreciation in 2011 that had no associated impact in the prior year. The depreciation and amortization expense recorded in 2010 was $34.3 million.</w:t>
      </w:r>
    </w:p>
    <w:p>
      <w:pPr>
        <w:spacing w:after="0" w:line="1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420"/>
          </w:cols>
          <w:pgMar w:left="240" w:top="455" w:right="239" w:bottom="1440" w:gutter="0" w:footer="0" w:header="0"/>
        </w:sectPr>
      </w:pPr>
    </w:p>
    <w:bookmarkStart w:id="46" w:name="page47"/>
    <w:bookmarkEnd w:id="4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Bidding Activity and Backlog</w:t>
      </w:r>
    </w:p>
    <w:p>
      <w:pPr>
        <w:spacing w:after="0" w:line="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sets forth, by segment and type of dredging work, the Company’s backlog as of the dates indicated (in thousands):</w:t>
      </w:r>
    </w:p>
    <w:p>
      <w:pPr>
        <w:spacing w:after="0" w:line="19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580" w:type="dxa"/>
            <w:vAlign w:val="bottom"/>
          </w:tcPr>
          <w:p>
            <w:pPr>
              <w:spacing w:after="0"/>
              <w:rPr>
                <w:sz w:val="13"/>
                <w:szCs w:val="13"/>
                <w:color w:val="auto"/>
              </w:rPr>
            </w:pPr>
          </w:p>
        </w:tc>
        <w:tc>
          <w:tcPr>
            <w:tcW w:w="15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5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65"/>
        </w:trPr>
        <w:tc>
          <w:tcPr>
            <w:tcW w:w="55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b w:val="1"/>
                <w:bCs w:val="1"/>
                <w:color w:val="auto"/>
              </w:rPr>
              <w:t>Backlog</w:t>
            </w: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4"/>
                <w:szCs w:val="14"/>
                <w:b w:val="1"/>
                <w:bCs w:val="1"/>
                <w:color w:val="auto"/>
              </w:rPr>
              <w:t>2012</w:t>
            </w:r>
          </w:p>
        </w:tc>
        <w:tc>
          <w:tcPr>
            <w:tcW w:w="76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2011</w:t>
            </w:r>
          </w:p>
        </w:tc>
        <w:tc>
          <w:tcPr>
            <w:tcW w:w="74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2010</w:t>
            </w:r>
          </w:p>
        </w:tc>
        <w:tc>
          <w:tcPr>
            <w:tcW w:w="140" w:type="dxa"/>
            <w:vAlign w:val="bottom"/>
            <w:tcBorders>
              <w:bottom w:val="single" w:sz="8" w:color="CCEEFF"/>
            </w:tcBorders>
          </w:tcPr>
          <w:p>
            <w:pPr>
              <w:spacing w:after="0"/>
              <w:rPr>
                <w:sz w:val="14"/>
                <w:szCs w:val="14"/>
                <w:color w:val="auto"/>
              </w:rPr>
            </w:pPr>
          </w:p>
        </w:tc>
      </w:tr>
      <w:tr>
        <w:trPr>
          <w:trHeight w:val="196"/>
        </w:trPr>
        <w:tc>
          <w:tcPr>
            <w:tcW w:w="558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Dredging:</w:t>
            </w: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16"/>
        </w:trPr>
        <w:tc>
          <w:tcPr>
            <w:tcW w:w="55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Capital - U.S.</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760"/>
              <w:spacing w:after="0"/>
              <w:rPr>
                <w:sz w:val="20"/>
                <w:szCs w:val="20"/>
                <w:color w:val="auto"/>
              </w:rPr>
            </w:pPr>
            <w:r>
              <w:rPr>
                <w:rFonts w:ascii="Times New Roman" w:cs="Times New Roman" w:eastAsia="Times New Roman" w:hAnsi="Times New Roman"/>
                <w:sz w:val="18"/>
                <w:szCs w:val="18"/>
                <w:color w:val="auto"/>
              </w:rPr>
              <w:t>43,177</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color w:val="auto"/>
              </w:rPr>
              <w:t>109,897</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117,866</w:t>
            </w:r>
          </w:p>
        </w:tc>
      </w:tr>
      <w:tr>
        <w:trPr>
          <w:trHeight w:val="216"/>
        </w:trPr>
        <w:tc>
          <w:tcPr>
            <w:tcW w:w="55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Capital - foreign</w:t>
            </w:r>
          </w:p>
        </w:tc>
        <w:tc>
          <w:tcPr>
            <w:tcW w:w="1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760"/>
              <w:spacing w:after="0"/>
              <w:rPr>
                <w:sz w:val="20"/>
                <w:szCs w:val="20"/>
                <w:color w:val="auto"/>
              </w:rPr>
            </w:pPr>
            <w:r>
              <w:rPr>
                <w:rFonts w:ascii="Times New Roman" w:cs="Times New Roman" w:eastAsia="Times New Roman" w:hAnsi="Times New Roman"/>
                <w:sz w:val="18"/>
                <w:szCs w:val="18"/>
                <w:color w:val="auto"/>
              </w:rPr>
              <w:t>218,953</w:t>
            </w:r>
          </w:p>
        </w:tc>
        <w:tc>
          <w:tcPr>
            <w:tcW w:w="1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auto"/>
              </w:rPr>
              <w:t>78,379</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65,334</w:t>
            </w:r>
          </w:p>
        </w:tc>
      </w:tr>
      <w:tr>
        <w:trPr>
          <w:trHeight w:val="216"/>
        </w:trPr>
        <w:tc>
          <w:tcPr>
            <w:tcW w:w="55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Coastal protection</w:t>
            </w:r>
          </w:p>
        </w:tc>
        <w:tc>
          <w:tcPr>
            <w:tcW w:w="140" w:type="dxa"/>
            <w:vAlign w:val="bottom"/>
          </w:tcPr>
          <w:p>
            <w:pPr>
              <w:spacing w:after="0"/>
              <w:rPr>
                <w:sz w:val="18"/>
                <w:szCs w:val="18"/>
                <w:color w:val="auto"/>
              </w:rPr>
            </w:pPr>
          </w:p>
        </w:tc>
        <w:tc>
          <w:tcPr>
            <w:tcW w:w="1400" w:type="dxa"/>
            <w:vAlign w:val="bottom"/>
            <w:gridSpan w:val="2"/>
          </w:tcPr>
          <w:p>
            <w:pPr>
              <w:jc w:val="right"/>
              <w:ind w:right="760"/>
              <w:spacing w:after="0"/>
              <w:rPr>
                <w:sz w:val="20"/>
                <w:szCs w:val="20"/>
                <w:color w:val="auto"/>
              </w:rPr>
            </w:pPr>
            <w:r>
              <w:rPr>
                <w:rFonts w:ascii="Times New Roman" w:cs="Times New Roman" w:eastAsia="Times New Roman" w:hAnsi="Times New Roman"/>
                <w:sz w:val="18"/>
                <w:szCs w:val="18"/>
                <w:color w:val="auto"/>
              </w:rPr>
              <w:t>80,245</w:t>
            </w:r>
          </w:p>
        </w:tc>
        <w:tc>
          <w:tcPr>
            <w:tcW w:w="140" w:type="dxa"/>
            <w:vAlign w:val="bottom"/>
          </w:tcPr>
          <w:p>
            <w:pPr>
              <w:spacing w:after="0"/>
              <w:rPr>
                <w:sz w:val="18"/>
                <w:szCs w:val="18"/>
                <w:color w:val="auto"/>
              </w:rPr>
            </w:pPr>
          </w:p>
        </w:tc>
        <w:tc>
          <w:tcPr>
            <w:tcW w:w="138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color w:val="auto"/>
              </w:rPr>
              <w:t>84,607</w:t>
            </w:r>
          </w:p>
        </w:tc>
        <w:tc>
          <w:tcPr>
            <w:tcW w:w="16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18,080</w:t>
            </w:r>
          </w:p>
        </w:tc>
      </w:tr>
      <w:tr>
        <w:trPr>
          <w:trHeight w:val="216"/>
        </w:trPr>
        <w:tc>
          <w:tcPr>
            <w:tcW w:w="55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Maintenance</w:t>
            </w:r>
          </w:p>
        </w:tc>
        <w:tc>
          <w:tcPr>
            <w:tcW w:w="1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760"/>
              <w:spacing w:after="0"/>
              <w:rPr>
                <w:sz w:val="20"/>
                <w:szCs w:val="20"/>
                <w:color w:val="auto"/>
              </w:rPr>
            </w:pPr>
            <w:r>
              <w:rPr>
                <w:rFonts w:ascii="Times New Roman" w:cs="Times New Roman" w:eastAsia="Times New Roman" w:hAnsi="Times New Roman"/>
                <w:sz w:val="18"/>
                <w:szCs w:val="18"/>
                <w:color w:val="auto"/>
              </w:rPr>
              <w:t>22,406</w:t>
            </w:r>
          </w:p>
        </w:tc>
        <w:tc>
          <w:tcPr>
            <w:tcW w:w="1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auto"/>
              </w:rPr>
              <w:t>31,293</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56,140</w:t>
            </w:r>
          </w:p>
        </w:tc>
      </w:tr>
      <w:tr>
        <w:trPr>
          <w:trHeight w:val="216"/>
        </w:trPr>
        <w:tc>
          <w:tcPr>
            <w:tcW w:w="55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Rivers &amp; lakes</w:t>
            </w:r>
          </w:p>
        </w:tc>
        <w:tc>
          <w:tcPr>
            <w:tcW w:w="140" w:type="dxa"/>
            <w:vAlign w:val="bottom"/>
          </w:tcPr>
          <w:p>
            <w:pPr>
              <w:spacing w:after="0"/>
              <w:rPr>
                <w:sz w:val="18"/>
                <w:szCs w:val="18"/>
                <w:color w:val="auto"/>
              </w:rPr>
            </w:pPr>
          </w:p>
        </w:tc>
        <w:tc>
          <w:tcPr>
            <w:tcW w:w="1400" w:type="dxa"/>
            <w:vAlign w:val="bottom"/>
            <w:gridSpan w:val="2"/>
          </w:tcPr>
          <w:p>
            <w:pPr>
              <w:jc w:val="right"/>
              <w:ind w:right="760"/>
              <w:spacing w:after="0"/>
              <w:rPr>
                <w:sz w:val="20"/>
                <w:szCs w:val="20"/>
                <w:color w:val="auto"/>
              </w:rPr>
            </w:pPr>
            <w:r>
              <w:rPr>
                <w:rFonts w:ascii="Times New Roman" w:cs="Times New Roman" w:eastAsia="Times New Roman" w:hAnsi="Times New Roman"/>
                <w:sz w:val="18"/>
                <w:szCs w:val="18"/>
                <w:color w:val="auto"/>
              </w:rPr>
              <w:t>24,510</w:t>
            </w:r>
          </w:p>
        </w:tc>
        <w:tc>
          <w:tcPr>
            <w:tcW w:w="140" w:type="dxa"/>
            <w:vAlign w:val="bottom"/>
          </w:tcPr>
          <w:p>
            <w:pPr>
              <w:spacing w:after="0"/>
              <w:rPr>
                <w:sz w:val="18"/>
                <w:szCs w:val="18"/>
                <w:color w:val="auto"/>
              </w:rPr>
            </w:pPr>
          </w:p>
        </w:tc>
        <w:tc>
          <w:tcPr>
            <w:tcW w:w="138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color w:val="auto"/>
              </w:rPr>
              <w:t>15,256</w:t>
            </w:r>
          </w:p>
        </w:tc>
        <w:tc>
          <w:tcPr>
            <w:tcW w:w="16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25,116*</w:t>
            </w:r>
          </w:p>
        </w:tc>
      </w:tr>
      <w:tr>
        <w:trPr>
          <w:trHeight w:val="27"/>
        </w:trPr>
        <w:tc>
          <w:tcPr>
            <w:tcW w:w="55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7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7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r>
        <w:trPr>
          <w:trHeight w:val="216"/>
        </w:trPr>
        <w:tc>
          <w:tcPr>
            <w:tcW w:w="558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Dredging Backlog</w:t>
            </w:r>
          </w:p>
        </w:tc>
        <w:tc>
          <w:tcPr>
            <w:tcW w:w="1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760"/>
              <w:spacing w:after="0"/>
              <w:rPr>
                <w:sz w:val="20"/>
                <w:szCs w:val="20"/>
                <w:color w:val="auto"/>
              </w:rPr>
            </w:pPr>
            <w:r>
              <w:rPr>
                <w:rFonts w:ascii="Times New Roman" w:cs="Times New Roman" w:eastAsia="Times New Roman" w:hAnsi="Times New Roman"/>
                <w:sz w:val="18"/>
                <w:szCs w:val="18"/>
                <w:color w:val="auto"/>
              </w:rPr>
              <w:t>389,291</w:t>
            </w:r>
          </w:p>
        </w:tc>
        <w:tc>
          <w:tcPr>
            <w:tcW w:w="1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auto"/>
              </w:rPr>
              <w:t>319,432</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282,536</w:t>
            </w:r>
          </w:p>
        </w:tc>
      </w:tr>
      <w:tr>
        <w:trPr>
          <w:trHeight w:val="216"/>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Demolition</w:t>
            </w:r>
          </w:p>
        </w:tc>
        <w:tc>
          <w:tcPr>
            <w:tcW w:w="140" w:type="dxa"/>
            <w:vAlign w:val="bottom"/>
          </w:tcPr>
          <w:p>
            <w:pPr>
              <w:spacing w:after="0"/>
              <w:rPr>
                <w:sz w:val="18"/>
                <w:szCs w:val="18"/>
                <w:color w:val="auto"/>
              </w:rPr>
            </w:pPr>
          </w:p>
        </w:tc>
        <w:tc>
          <w:tcPr>
            <w:tcW w:w="14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60,148 †</w:t>
            </w:r>
          </w:p>
        </w:tc>
        <w:tc>
          <w:tcPr>
            <w:tcW w:w="140" w:type="dxa"/>
            <w:vAlign w:val="bottom"/>
          </w:tcPr>
          <w:p>
            <w:pPr>
              <w:spacing w:after="0"/>
              <w:rPr>
                <w:sz w:val="18"/>
                <w:szCs w:val="18"/>
                <w:color w:val="auto"/>
              </w:rPr>
            </w:pPr>
          </w:p>
        </w:tc>
        <w:tc>
          <w:tcPr>
            <w:tcW w:w="138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color w:val="auto"/>
              </w:rPr>
              <w:t>50,672</w:t>
            </w:r>
          </w:p>
        </w:tc>
        <w:tc>
          <w:tcPr>
            <w:tcW w:w="16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80,984</w:t>
            </w:r>
          </w:p>
        </w:tc>
      </w:tr>
      <w:tr>
        <w:trPr>
          <w:trHeight w:val="27"/>
        </w:trPr>
        <w:tc>
          <w:tcPr>
            <w:tcW w:w="55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7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7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r>
        <w:trPr>
          <w:trHeight w:val="216"/>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Backlog</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760"/>
              <w:spacing w:after="0"/>
              <w:rPr>
                <w:sz w:val="20"/>
                <w:szCs w:val="20"/>
                <w:color w:val="auto"/>
              </w:rPr>
            </w:pPr>
            <w:r>
              <w:rPr>
                <w:rFonts w:ascii="Times New Roman" w:cs="Times New Roman" w:eastAsia="Times New Roman" w:hAnsi="Times New Roman"/>
                <w:sz w:val="18"/>
                <w:szCs w:val="18"/>
                <w:color w:val="auto"/>
              </w:rPr>
              <w:t>449,439</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auto"/>
              </w:rPr>
              <w:t>370,104</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363,520</w:t>
            </w:r>
          </w:p>
        </w:tc>
      </w:tr>
      <w:tr>
        <w:trPr>
          <w:trHeight w:val="20"/>
        </w:trPr>
        <w:tc>
          <w:tcPr>
            <w:tcW w:w="55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Represents backlog acquired by the Company on December 31, 2010 in connection with the Matteson acquisition.</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December 31, 2012 demolition backlog includes backlog acquired by the Company on December 31, 2012 in connection with the Terra acquisition.</w:t>
      </w:r>
    </w:p>
    <w:p>
      <w:pPr>
        <w:spacing w:after="0" w:line="159" w:lineRule="exact"/>
        <w:rPr>
          <w:sz w:val="20"/>
          <w:szCs w:val="20"/>
          <w:color w:val="auto"/>
        </w:rPr>
      </w:pPr>
    </w:p>
    <w:p>
      <w:pPr>
        <w:ind w:firstLine="456"/>
        <w:spacing w:after="0" w:line="253" w:lineRule="auto"/>
        <w:rPr>
          <w:sz w:val="20"/>
          <w:szCs w:val="20"/>
          <w:color w:val="auto"/>
        </w:rPr>
      </w:pPr>
      <w:r>
        <w:rPr>
          <w:rFonts w:ascii="Times New Roman" w:cs="Times New Roman" w:eastAsia="Times New Roman" w:hAnsi="Times New Roman"/>
          <w:sz w:val="18"/>
          <w:szCs w:val="18"/>
          <w:color w:val="auto"/>
        </w:rPr>
        <w:t>The Company’s contract backlog represents its estimate of the revenues that will be realized under the portion of the contracts remaining to be performed. For dredging contracts these estimates are based primarily upon the time and costs required to mobilize the necessary assets to and from the project site, the amount and type of material to be dredged and the expected production capabilities of the equipment performing the work. For demolition contracts, these estimates are based on the time and remaining costs required to complete the project relative to total estimated project costs and project revenues agreed to with the customer. However, these estimates are necessarily subject to variances based upon actual circumstances. Because of these factors, as well as factors affecting the time required to complete each job, backlog is not necessarily indicative of future revenues or profitability. Also, 22% of the Company’s 2012 dredging backlog relates to federal government contracts, which can be canceled at any time without penalty to the government, subject to the Company’s contractual right to recover the Company’s actual committed costs and profit on work performed up to the date of cancellation. The Company’s backlog may fluctuate significantly from quarter to quarter based upon the type and size of the projects the Company is awarded from the bid market. A quarterly increase or decrease of the Company’s backlog does not necessarily result in an improvement or a deterioration of the Company’s business. The Company’s backlog includes only those projects for which the Company has obtained a signed contract with the customer.</w:t>
      </w:r>
    </w:p>
    <w:p>
      <w:pPr>
        <w:spacing w:after="0" w:line="13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Approximately 77% of the Company’s backlog at December 31, 2012 is expected to be completed and converted into revenue in 2013.</w:t>
      </w:r>
    </w:p>
    <w:p>
      <w:pPr>
        <w:spacing w:after="0" w:line="25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Dredging</w:t>
      </w:r>
    </w:p>
    <w:p>
      <w:pPr>
        <w:spacing w:after="0" w:line="9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2012 domestic dredging bid market totaled $939.3 million, a 9.8% decrease from the 2011 domestic dredging bid market of $1,041.0 million. The 2012 bid market saw lower domestic capital and coastal protection contracts put to bid as the prior year grew primarily from additional federal and state funded projects for infrastructure and coastal restoration and protection. In the prior year, domestic capital market included several large coastal restoration, beach nourishment and ship channel deepening projects that were let to bid and did not repeat or were bid at lower contract values in the current year. Partially offsetting the decline were increases in maintenance dredging and rivers &amp; lakes contract values let to bid in the current year. The Company won 37% of the overall 2012 domestic bid market, below its 43% win rate of the overall 2011 domestic bid market. The</w:t>
      </w:r>
    </w:p>
    <w:p>
      <w:pPr>
        <w:spacing w:after="0" w:line="1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400"/>
          </w:cols>
          <w:pgMar w:left="240" w:top="455" w:right="259" w:bottom="1440" w:gutter="0" w:footer="0" w:header="0"/>
        </w:sectPr>
      </w:pPr>
    </w:p>
    <w:bookmarkStart w:id="47" w:name="page48"/>
    <w:bookmarkEnd w:id="4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240"/>
        <w:spacing w:after="0" w:line="275" w:lineRule="auto"/>
        <w:rPr>
          <w:sz w:val="20"/>
          <w:szCs w:val="20"/>
          <w:color w:val="auto"/>
        </w:rPr>
      </w:pPr>
      <w:r>
        <w:rPr>
          <w:rFonts w:ascii="Times New Roman" w:cs="Times New Roman" w:eastAsia="Times New Roman" w:hAnsi="Times New Roman"/>
          <w:sz w:val="18"/>
          <w:szCs w:val="18"/>
          <w:color w:val="auto"/>
        </w:rPr>
        <w:t>Company’s prior three-year average win rate is 39%. Variability in contract wins from period to period is not unusual. The Company believes trends in its win rate over the prior three year periods provide a historical background against which current year results can be compared.</w:t>
      </w:r>
    </w:p>
    <w:p>
      <w:pPr>
        <w:spacing w:after="0" w:line="120" w:lineRule="exact"/>
        <w:rPr>
          <w:sz w:val="20"/>
          <w:szCs w:val="20"/>
          <w:color w:val="auto"/>
        </w:rPr>
      </w:pPr>
    </w:p>
    <w:p>
      <w:pPr>
        <w:ind w:right="40" w:firstLine="456"/>
        <w:spacing w:after="0" w:line="255" w:lineRule="auto"/>
        <w:rPr>
          <w:sz w:val="20"/>
          <w:szCs w:val="20"/>
          <w:color w:val="auto"/>
        </w:rPr>
      </w:pPr>
      <w:r>
        <w:rPr>
          <w:rFonts w:ascii="Times New Roman" w:cs="Times New Roman" w:eastAsia="Times New Roman" w:hAnsi="Times New Roman"/>
          <w:sz w:val="18"/>
          <w:szCs w:val="18"/>
          <w:color w:val="auto"/>
        </w:rPr>
        <w:t>The Company’s December 31, 2012 contracted dredging backlog was $389.3 million. This represents an increase of $69.9 million, or 21.9%, over the Company’s December 31, 2011 dredging backlog of $319.4 million. These amounts do not reflect approximately $82.1 million of domestic low bids pending formal award and additional phases (“options”) pending on projects currently in backlog. At December 31, 2011 the amount of domestic low bids pending award was $36.1 million. Backlog at December 31, 2012 includes $148 million related to the Wheatstone LNG project that was awarded in the current year. Excluding the backlog for this project, the remaining decrease in the Company’s annual dredging backlog is primarily the result of lower domestic capital projects as compared to the prior year.</w:t>
      </w:r>
    </w:p>
    <w:p>
      <w:pPr>
        <w:spacing w:after="0" w:line="139" w:lineRule="exact"/>
        <w:rPr>
          <w:sz w:val="20"/>
          <w:szCs w:val="20"/>
          <w:color w:val="auto"/>
        </w:rPr>
      </w:pPr>
    </w:p>
    <w:p>
      <w:pPr>
        <w:ind w:firstLine="456"/>
        <w:spacing w:after="0" w:line="288" w:lineRule="auto"/>
        <w:rPr>
          <w:sz w:val="20"/>
          <w:szCs w:val="20"/>
          <w:color w:val="auto"/>
        </w:rPr>
      </w:pPr>
      <w:r>
        <w:rPr>
          <w:rFonts w:ascii="Times New Roman" w:cs="Times New Roman" w:eastAsia="Times New Roman" w:hAnsi="Times New Roman"/>
          <w:sz w:val="16"/>
          <w:szCs w:val="16"/>
          <w:color w:val="auto"/>
        </w:rPr>
        <w:t>The Company won 35%, or $84.4 million, of the domestic capital dredging projects awarded in 2012. Significant new awards during the year included $46 million for Louisiana coastal restoration and $38 million for three East Coast harbor deepening projects. Approximately $43.2 million, or 11%, of the Company’s December 31, 2012 contracted dredging backlog consists of domestic capital dredging work, a substantial portion of which is expected to be performed in 2013. Domestic capital dredging backlog at December 31, 2012 was $66.7 million less than the prior year. Subsequent to year end, the Company was awarded a $68 million project in the New York market. In 2012, the Company earned 99% of its backlog carried forward from December 31, 2011. Fewer overall contracts were let to bid in the current year as the Corps prioritized high priority short term projects outside of capital dredging. There are several large capital projects being prepared by the Corps which are expected to expand the volume and dollar value of contracts from this service type in the upcoming years. The ongoing expansion of the Panama Canal has focused the U.S. efforts to deepen its East and Gulf Coast ports to facilitate larger draft vessels from international trade. In July 2012, the Administration announced that that the Corps will accelerate the approval process for five key East Coast ports. The acceleration will likely streamline feasibility studies and permitting. The first of these deepening projects, the Port of Miami, was released for proposal in January 2013.</w:t>
      </w:r>
    </w:p>
    <w:p>
      <w:pPr>
        <w:spacing w:after="0" w:line="115" w:lineRule="exact"/>
        <w:rPr>
          <w:sz w:val="20"/>
          <w:szCs w:val="20"/>
          <w:color w:val="auto"/>
        </w:rPr>
      </w:pPr>
    </w:p>
    <w:p>
      <w:pPr>
        <w:ind w:firstLine="456"/>
        <w:spacing w:after="0" w:line="253" w:lineRule="auto"/>
        <w:rPr>
          <w:sz w:val="20"/>
          <w:szCs w:val="20"/>
          <w:color w:val="auto"/>
        </w:rPr>
      </w:pPr>
      <w:r>
        <w:rPr>
          <w:rFonts w:ascii="Times New Roman" w:cs="Times New Roman" w:eastAsia="Times New Roman" w:hAnsi="Times New Roman"/>
          <w:sz w:val="18"/>
          <w:szCs w:val="18"/>
          <w:color w:val="auto"/>
        </w:rPr>
        <w:t>The Company won 52%, or $107.9 million, of the coastal protection projects awarded in 2012. Coastal protection projects were awarded for communities in Southern California and Florida as well as several beaches on the New York/New Jersey coast. The Company has contracted dredging backlog related to coastal protection of $80.2 million at December 31, 2012 compared to $84.6 million at the end of 2011. The Company expects to perform its entire coastal protection backlog throughout 2013. The 2012 bid market contained lower overall contracts than the historic 2011 coastal protection bid market, but more of these contracts have been located in the Northeast U.S. In October 2012, Superstorm Sandy impacted the East Coast of the U.S. causing damage to a wide area of public and public infrastructure including severe erosion in many beachfront communities. In January 2013, the President signed legislation appropriating $50.5 billion in emergency funds to assist the needed relief for the region. These monies will help people rebuild their homes and communities which in many cases abut the coastline and rely upon the beach. The legislation included nearly $4 billion for long-term Corps projects to clear navigation channels, renourish damaged beaches and mitigate shore erosion from future storms.</w:t>
      </w:r>
    </w:p>
    <w:p>
      <w:pPr>
        <w:spacing w:after="0" w:line="143"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The Company won 29%, or $114.9 million, of the maintenance dredging projects awarded in 2012. The Corps awarded several maintenance projects in the year including $24.2 million, which includes pending options, in the Baltimore harbor, $10.8 million for channel maintenance in Louisiana and $25.5 million for three separate projects on the Mississippi River. The Company has contracted dredging backlog at December 31, 2012 for maintenance dredging of $22.4 million which is $8.9 million lower than the backlog of $31.3 million at December 31, 2011. The decrease in maintenance backlog is a result of the Company’s ability to work through backlog carried forward from 2011 and projects awarded during 2012. In June, leaders in Congress along with the President approved a bill that called for appropriations from the Harbor Maintenance Trust Fund (“HMTF”) to the Corps so that total budget resources on harbor maintenance for a fiscal year will be equal to the level of receipts. The recognition of the need for additional investment in U.S. ports and waterways is expected to support an increase of appropriations to future Corps’ budgets for maintenance dredging.</w:t>
      </w:r>
    </w:p>
    <w:p>
      <w:pPr>
        <w:spacing w:after="0" w:line="1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360"/>
          </w:cols>
          <w:pgMar w:left="240" w:top="455" w:right="299" w:bottom="1440" w:gutter="0" w:footer="0" w:header="0"/>
        </w:sectPr>
      </w:pPr>
    </w:p>
    <w:bookmarkStart w:id="48" w:name="page49"/>
    <w:bookmarkEnd w:id="4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60" w:firstLine="456"/>
        <w:spacing w:after="0" w:line="256" w:lineRule="auto"/>
        <w:rPr>
          <w:sz w:val="20"/>
          <w:szCs w:val="20"/>
          <w:color w:val="auto"/>
        </w:rPr>
      </w:pPr>
      <w:r>
        <w:rPr>
          <w:rFonts w:ascii="Times New Roman" w:cs="Times New Roman" w:eastAsia="Times New Roman" w:hAnsi="Times New Roman"/>
          <w:sz w:val="18"/>
          <w:szCs w:val="18"/>
          <w:color w:val="auto"/>
        </w:rPr>
        <w:t>Rivers &amp; lakes won 45%, or $41.6 million, of the projects in the markets where the group operates. Rivers &amp; lakes has contracted backlog of $24.5 million at December 31, 2012 which is $9.3 million more than the backlog at December 31, 2011. Throughout 2012, rivers &amp; lakes provided support to the Corps on the Mississippi River and its tributaries to assist in flood and levee repair from the prior year in addition to keeping the waterway navigable as the current year drought has brought ever lower levels on the river. In addition, rivers &amp; lakes was awarded a $12.5 million municipal project and a $7.7 million multi-year contract to dredge sediment in Florida to use in phosphate mining.</w:t>
      </w:r>
    </w:p>
    <w:p>
      <w:pPr>
        <w:spacing w:after="0" w:line="139" w:lineRule="exact"/>
        <w:rPr>
          <w:sz w:val="20"/>
          <w:szCs w:val="20"/>
          <w:color w:val="auto"/>
        </w:rPr>
      </w:pPr>
    </w:p>
    <w:p>
      <w:pPr>
        <w:ind w:right="80" w:firstLine="456"/>
        <w:spacing w:after="0" w:line="253" w:lineRule="auto"/>
        <w:rPr>
          <w:sz w:val="20"/>
          <w:szCs w:val="20"/>
          <w:color w:val="auto"/>
        </w:rPr>
      </w:pPr>
      <w:r>
        <w:rPr>
          <w:rFonts w:ascii="Times New Roman" w:cs="Times New Roman" w:eastAsia="Times New Roman" w:hAnsi="Times New Roman"/>
          <w:sz w:val="18"/>
          <w:szCs w:val="18"/>
          <w:color w:val="auto"/>
        </w:rPr>
        <w:t xml:space="preserve">Foreign capital dredging backlog increased to $219.0 million at December 31, 2012 from $78.4 million at the end of 2011. The Company was awarded a dredging contract for the Wheatstone LNG project in Western Australia for our backhoe dredge </w:t>
      </w:r>
      <w:r>
        <w:rPr>
          <w:rFonts w:ascii="Times New Roman" w:cs="Times New Roman" w:eastAsia="Times New Roman" w:hAnsi="Times New Roman"/>
          <w:sz w:val="18"/>
          <w:szCs w:val="18"/>
          <w:i w:val="1"/>
          <w:iCs w:val="1"/>
          <w:color w:val="auto"/>
        </w:rPr>
        <w:t>New York</w:t>
      </w:r>
      <w:r>
        <w:rPr>
          <w:rFonts w:ascii="Times New Roman" w:cs="Times New Roman" w:eastAsia="Times New Roman" w:hAnsi="Times New Roman"/>
          <w:sz w:val="18"/>
          <w:szCs w:val="18"/>
          <w:color w:val="auto"/>
        </w:rPr>
        <w:t>. The dredge is moving from the domestic market to the international market for approximately 27 months to complete this project. The Company currently expects to realize at least $180 million in revenue on this project. In addition, the Company was awarded a $47.6 million contract for a land reclamation project in the Middle East and a $19.6 million contract in Brazil for dredging related to the construction of a refinery. The growth in demand for transportation of energy worldwide has driven the need for dredging to support new terminals, harbors, channels and pipelines. Growth around these energy resources has spurred land reclamation and large public projects involving dredging to support expanding populations. Further global energy demand will necessitate improvements in the infrastructure base around sources of rich resources and countries that import global energy. The Company expects to bid and win contracts driven by this global energy trend to provide a source of increased future international revenue.</w:t>
      </w:r>
    </w:p>
    <w:p>
      <w:pPr>
        <w:spacing w:after="0" w:line="22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Demolition</w:t>
      </w:r>
    </w:p>
    <w:p>
      <w:pPr>
        <w:spacing w:after="0" w:line="92" w:lineRule="exact"/>
        <w:rPr>
          <w:sz w:val="20"/>
          <w:szCs w:val="20"/>
          <w:color w:val="auto"/>
        </w:rPr>
      </w:pPr>
    </w:p>
    <w:p>
      <w:pPr>
        <w:ind w:right="140" w:firstLine="456"/>
        <w:spacing w:after="0" w:line="256" w:lineRule="auto"/>
        <w:rPr>
          <w:sz w:val="20"/>
          <w:szCs w:val="20"/>
          <w:color w:val="auto"/>
        </w:rPr>
      </w:pPr>
      <w:r>
        <w:rPr>
          <w:rFonts w:ascii="Times New Roman" w:cs="Times New Roman" w:eastAsia="Times New Roman" w:hAnsi="Times New Roman"/>
          <w:sz w:val="18"/>
          <w:szCs w:val="18"/>
          <w:color w:val="auto"/>
        </w:rPr>
        <w:t>Demolition services backlog was $60.1 million and $50.7 million at December 31, 2012 and 2011, respectively, an increase of $9.4 million. In 2012, the Company was awarded a $22.2 million contract for a brownfield remediation project in New Jersey, several site development projects, including a $11.8 million former industrial building in Ohio and $7.1 million emergency contract from FEMA to assist with Superstorm Sandy clean-up in the New York area. As part of the Terra acquisition, the Company acquired $7.7 million of backlog that is expected to be earned throughout 2013. The addition of Terra will complement the existing breadth of services which the Company offers.</w:t>
      </w:r>
    </w:p>
    <w:p>
      <w:pPr>
        <w:spacing w:after="0" w:line="21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Dredge New York litigation development</w:t>
      </w:r>
    </w:p>
    <w:p>
      <w:pPr>
        <w:spacing w:after="0" w:line="94" w:lineRule="exact"/>
        <w:rPr>
          <w:sz w:val="20"/>
          <w:szCs w:val="20"/>
          <w:color w:val="auto"/>
        </w:rPr>
      </w:pPr>
    </w:p>
    <w:p>
      <w:pPr>
        <w:ind w:firstLine="456"/>
        <w:spacing w:after="0" w:line="310" w:lineRule="auto"/>
        <w:rPr>
          <w:sz w:val="20"/>
          <w:szCs w:val="20"/>
          <w:color w:val="auto"/>
        </w:rPr>
      </w:pPr>
      <w:r>
        <w:rPr>
          <w:rFonts w:ascii="Times New Roman" w:cs="Times New Roman" w:eastAsia="Times New Roman" w:hAnsi="Times New Roman"/>
          <w:sz w:val="16"/>
          <w:szCs w:val="16"/>
          <w:color w:val="auto"/>
        </w:rPr>
        <w:t xml:space="preserve">During the quarter ended March 31, 2012, a judgment in the aggregate amount of $13.3 million was rendered in the Company’s favor in its litigation regarding the dredge </w:t>
      </w:r>
      <w:r>
        <w:rPr>
          <w:rFonts w:ascii="Times New Roman" w:cs="Times New Roman" w:eastAsia="Times New Roman" w:hAnsi="Times New Roman"/>
          <w:sz w:val="16"/>
          <w:szCs w:val="16"/>
          <w:i w:val="1"/>
          <w:iCs w:val="1"/>
          <w:color w:val="auto"/>
        </w:rPr>
        <w:t>New York</w:t>
      </w:r>
      <w:r>
        <w:rPr>
          <w:rFonts w:ascii="Times New Roman" w:cs="Times New Roman" w:eastAsia="Times New Roman" w:hAnsi="Times New Roman"/>
          <w:sz w:val="16"/>
          <w:szCs w:val="16"/>
          <w:color w:val="auto"/>
        </w:rPr>
        <w:t xml:space="preserve"> loss of use claim. The defendants are appealing the judgment and the Company cannot be assured when the appeal will be heard or predict the outcome of the appellate process. For additional information regarding this matter, see Note 12 to the Company’s consolidated financial statements.</w:t>
      </w:r>
    </w:p>
    <w:p>
      <w:pPr>
        <w:spacing w:after="0" w:line="17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Liquidity and Capital Resources</w:t>
      </w:r>
    </w:p>
    <w:p>
      <w:pPr>
        <w:spacing w:after="0" w:line="94" w:lineRule="exact"/>
        <w:rPr>
          <w:sz w:val="20"/>
          <w:szCs w:val="20"/>
          <w:color w:val="auto"/>
        </w:rPr>
      </w:pPr>
    </w:p>
    <w:p>
      <w:pPr>
        <w:ind w:right="180" w:firstLine="456"/>
        <w:spacing w:after="0" w:line="262" w:lineRule="auto"/>
        <w:rPr>
          <w:sz w:val="20"/>
          <w:szCs w:val="20"/>
          <w:color w:val="auto"/>
        </w:rPr>
      </w:pPr>
      <w:r>
        <w:rPr>
          <w:rFonts w:ascii="Times New Roman" w:cs="Times New Roman" w:eastAsia="Times New Roman" w:hAnsi="Times New Roman"/>
          <w:sz w:val="18"/>
          <w:szCs w:val="18"/>
          <w:color w:val="auto"/>
        </w:rPr>
        <w:t>The Company’s principal sources of liquidity are net cash flows provided by operating activities and proceeds from previous issuances of long term debt. See Note 7 in the Company’s consolidated financial statements. The Company’s principal uses of cash are to meet debt service requirements, finance capital expenditures, provide working capital and other general corporate purposes.</w:t>
      </w:r>
    </w:p>
    <w:p>
      <w:pPr>
        <w:spacing w:after="0" w:line="132"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The Company’s net cash provided by (used in) operating activities for the years ended December 31, 2012, 2011 and 2010 totaled $(1.9) million, $24.6 million and $123.5 million, respectively. Normal increases or decreases in the level of working capital relative to the level of operational activity impact cash flow from operating activities. In 2012, the increase in net cash used in operating activities was primarily the result of lower adjusted EBITDA and an increased investment in working capital as compared to the same period in the prior year. Two projects with the most significant investment are Wheatstone and the Scofield coastal restoration in Louisiana. Between these two projects, the Company has invested nearly $60 million.</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420"/>
          </w:cols>
          <w:pgMar w:left="240" w:top="455" w:right="239" w:bottom="1440" w:gutter="0" w:footer="0" w:header="0"/>
        </w:sectPr>
      </w:pPr>
    </w:p>
    <w:bookmarkStart w:id="49" w:name="page50"/>
    <w:bookmarkEnd w:id="4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20" w:firstLine="456"/>
        <w:spacing w:after="0" w:line="253" w:lineRule="auto"/>
        <w:rPr>
          <w:sz w:val="20"/>
          <w:szCs w:val="20"/>
          <w:color w:val="auto"/>
        </w:rPr>
      </w:pPr>
      <w:r>
        <w:rPr>
          <w:rFonts w:ascii="Times New Roman" w:cs="Times New Roman" w:eastAsia="Times New Roman" w:hAnsi="Times New Roman"/>
          <w:sz w:val="18"/>
          <w:szCs w:val="18"/>
          <w:color w:val="auto"/>
        </w:rPr>
        <w:t xml:space="preserve">The Company’s net cash flows used in investing activities for the years ended December 31, 2012, 2011 and 2010 totaled $(63.4) million, $(16.7) million and $(62.7) million, respectively. Investing activities in all periods primarily relate to normal course upgrades and capital maintenance of the Company’s dredging fleet. During 2012, the Company overhauled the engines on the dredge </w:t>
      </w:r>
      <w:r>
        <w:rPr>
          <w:rFonts w:ascii="Times New Roman" w:cs="Times New Roman" w:eastAsia="Times New Roman" w:hAnsi="Times New Roman"/>
          <w:sz w:val="18"/>
          <w:szCs w:val="18"/>
          <w:i w:val="1"/>
          <w:iCs w:val="1"/>
          <w:color w:val="auto"/>
        </w:rPr>
        <w:t>Alaska</w:t>
      </w:r>
      <w:r>
        <w:rPr>
          <w:rFonts w:ascii="Times New Roman" w:cs="Times New Roman" w:eastAsia="Times New Roman" w:hAnsi="Times New Roman"/>
          <w:sz w:val="18"/>
          <w:szCs w:val="18"/>
          <w:color w:val="auto"/>
        </w:rPr>
        <w:t xml:space="preserve"> to provide increased useful life and efficiency which accounted for $5.5 million of investing capital expenditures. The Company also spent $4.0 million in capital additions to the plant to be utilized on the Wheatstone project. Additionally, the Company spent $13.7 million building a semi-permanent pipeline and purchased a storage yard for $6.4 million during the year. The Company’s capital expenditures in 2012 include $10.4 million of construction in progress for vessels being built to our specifications that we intend to have funded through operating leases upon delivery. In 2011, the Company sold the dredges </w:t>
      </w:r>
      <w:r>
        <w:rPr>
          <w:rFonts w:ascii="Times New Roman" w:cs="Times New Roman" w:eastAsia="Times New Roman" w:hAnsi="Times New Roman"/>
          <w:sz w:val="18"/>
          <w:szCs w:val="18"/>
          <w:i w:val="1"/>
          <w:iCs w:val="1"/>
          <w:color w:val="auto"/>
        </w:rPr>
        <w:t>Northerly Island</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Victoria Island</w:t>
      </w:r>
      <w:r>
        <w:rPr>
          <w:rFonts w:ascii="Times New Roman" w:cs="Times New Roman" w:eastAsia="Times New Roman" w:hAnsi="Times New Roman"/>
          <w:sz w:val="18"/>
          <w:szCs w:val="18"/>
          <w:color w:val="auto"/>
        </w:rPr>
        <w:t xml:space="preserve"> along with a parcel of land in Channelview, Texas adding $15.6 million in proceeds from dispositions of property and equipment. The large investment in 2010 is primarily due to the Company’s acquisition of Matteson on December 31, 2010. See Note 14 to the Company’s consolidated financial statements. The 2010 expenditures also included $14.6 million on the upgrade of the dredge Ohio.</w:t>
      </w:r>
    </w:p>
    <w:p>
      <w:pPr>
        <w:spacing w:after="0" w:line="141" w:lineRule="exact"/>
        <w:rPr>
          <w:sz w:val="20"/>
          <w:szCs w:val="20"/>
          <w:color w:val="auto"/>
        </w:rPr>
      </w:pPr>
    </w:p>
    <w:p>
      <w:pPr>
        <w:ind w:right="120" w:firstLine="456"/>
        <w:spacing w:after="0" w:line="296" w:lineRule="auto"/>
        <w:rPr>
          <w:sz w:val="20"/>
          <w:szCs w:val="20"/>
          <w:color w:val="auto"/>
        </w:rPr>
      </w:pPr>
      <w:r>
        <w:rPr>
          <w:rFonts w:ascii="Times New Roman" w:cs="Times New Roman" w:eastAsia="Times New Roman" w:hAnsi="Times New Roman"/>
          <w:sz w:val="16"/>
          <w:szCs w:val="16"/>
          <w:color w:val="auto"/>
        </w:rPr>
        <w:t>The Company’s net cash flows provided by (used in) financing activities for the years ended December 31, 2012, 2011 and 2010 totaled $(23.6) million, $57.4 million and $(15.6) million, respectively. The Company issued $250 million of 7.375% senior notes in 2011, resulting in $244.2 million of net proceeds. The Company used a portion of these net proceeds to redeem its $175 million of 7.75% senior subordinated notes in the first three months of 2011 for $180.0 million, which included a redemption premium and unpaid interest. The Company also paid $6.0 million in financing fees on the issuance of the senior notes in 2011. The Company paid dividends of $18.6 million in 2012, an increase of $13.9 million and $14.6 million from dividends paid in 2011 and 2010, respectively.</w:t>
      </w:r>
    </w:p>
    <w:p>
      <w:pPr>
        <w:spacing w:after="0" w:line="108" w:lineRule="exact"/>
        <w:rPr>
          <w:sz w:val="20"/>
          <w:szCs w:val="20"/>
          <w:color w:val="auto"/>
        </w:rPr>
      </w:pPr>
    </w:p>
    <w:p>
      <w:pPr>
        <w:ind w:firstLine="456"/>
        <w:spacing w:after="0" w:line="289" w:lineRule="auto"/>
        <w:rPr>
          <w:sz w:val="20"/>
          <w:szCs w:val="20"/>
          <w:color w:val="auto"/>
        </w:rPr>
      </w:pPr>
      <w:r>
        <w:rPr>
          <w:rFonts w:ascii="Times New Roman" w:cs="Times New Roman" w:eastAsia="Times New Roman" w:hAnsi="Times New Roman"/>
          <w:sz w:val="16"/>
          <w:szCs w:val="16"/>
          <w:color w:val="auto"/>
        </w:rPr>
        <w:t>On June 4, 2012, the Company entered into a senior revolving credit agreement (the “Credit Agreement”) with certain financial institutions from time to time party thereto as lenders, Wells Fargo Bank, National Association, as Administrative Agent, Swingline Lender and an Issuing Lender, Bank of America, N.A., as Syndication Agent and PNC Bank, National Association, BMO Harris Bank N.A. and Fifth Third Bank, as Co-Documentation Agents. The Credit Agreement, which replaced the Company’s former revolving credit agreement, provides for a senior revolving credit facility in an aggregate principal amount of up to $175 million, subfacilities for the issuance of standby letters of credit up to a $125 million sublimit, multicurrency borrowings up to a $50 million sublimit and swingline loans up to a $10 million sublimit. The Credit Agreement also includes an incremental loans feature that will allow the Company to increase the senior revolving credit facility by an aggregate principal amount of up to $50 million. This is subject to lenders providing incremental commitments for such increase, provided that no default or event of default exists, the Company will be in pro forma compliance with the existing financial covenants both before and after giving effect to the increase and other standard conditions. The prior credit agreement with Bank of America N.A. was terminated.</w:t>
      </w:r>
    </w:p>
    <w:p>
      <w:pPr>
        <w:spacing w:after="0" w:line="113" w:lineRule="exact"/>
        <w:rPr>
          <w:sz w:val="20"/>
          <w:szCs w:val="20"/>
          <w:color w:val="auto"/>
        </w:rPr>
      </w:pPr>
    </w:p>
    <w:p>
      <w:pPr>
        <w:ind w:right="80" w:firstLine="456"/>
        <w:spacing w:after="0" w:line="262" w:lineRule="auto"/>
        <w:rPr>
          <w:sz w:val="20"/>
          <w:szCs w:val="20"/>
          <w:color w:val="auto"/>
        </w:rPr>
      </w:pPr>
      <w:r>
        <w:rPr>
          <w:rFonts w:ascii="Times New Roman" w:cs="Times New Roman" w:eastAsia="Times New Roman" w:hAnsi="Times New Roman"/>
          <w:sz w:val="18"/>
          <w:szCs w:val="18"/>
          <w:color w:val="auto"/>
        </w:rPr>
        <w:t>The obligations of Great Lakes under the Credit Agreement are unconditionally guaranteed, on a joint and several basis, by each existing and subsequently acquired or formed material direct and indirect domestic subsidiary of the Company. As of December 31, 2012, the Company had no borrowings and $35.7 million of letters of credit outstanding, resulting in $139.3 million of availability under the Credit Agreement.</w:t>
      </w:r>
    </w:p>
    <w:p>
      <w:pPr>
        <w:spacing w:after="0" w:line="132" w:lineRule="exact"/>
        <w:rPr>
          <w:sz w:val="20"/>
          <w:szCs w:val="20"/>
          <w:color w:val="auto"/>
        </w:rPr>
      </w:pPr>
    </w:p>
    <w:p>
      <w:pPr>
        <w:jc w:val="both"/>
        <w:ind w:right="20" w:firstLine="456"/>
        <w:spacing w:after="0" w:line="262" w:lineRule="auto"/>
        <w:rPr>
          <w:sz w:val="20"/>
          <w:szCs w:val="20"/>
          <w:color w:val="auto"/>
        </w:rPr>
      </w:pPr>
      <w:r>
        <w:rPr>
          <w:rFonts w:ascii="Times New Roman" w:cs="Times New Roman" w:eastAsia="Times New Roman" w:hAnsi="Times New Roman"/>
          <w:sz w:val="18"/>
          <w:szCs w:val="18"/>
          <w:color w:val="auto"/>
        </w:rPr>
        <w:t>Depending on the Company’s consolidated leverage ratio (as defined in the Credit Agreement), borrowings under the new revolving credit facility will bear interest at the option of the Company of either a LIBOR rate plus a margin of between 1.50% to 2.50% per annum or a base rate plus a margin of between 0.50% to 1.50% per annum.</w:t>
      </w:r>
    </w:p>
    <w:p>
      <w:pPr>
        <w:spacing w:after="0" w:line="132" w:lineRule="exact"/>
        <w:rPr>
          <w:sz w:val="20"/>
          <w:szCs w:val="20"/>
          <w:color w:val="auto"/>
        </w:rPr>
      </w:pPr>
    </w:p>
    <w:p>
      <w:pPr>
        <w:ind w:right="160" w:firstLine="456"/>
        <w:spacing w:after="0" w:line="256" w:lineRule="auto"/>
        <w:rPr>
          <w:sz w:val="20"/>
          <w:szCs w:val="20"/>
          <w:color w:val="auto"/>
        </w:rPr>
      </w:pPr>
      <w:r>
        <w:rPr>
          <w:rFonts w:ascii="Times New Roman" w:cs="Times New Roman" w:eastAsia="Times New Roman" w:hAnsi="Times New Roman"/>
          <w:sz w:val="18"/>
          <w:szCs w:val="18"/>
          <w:color w:val="auto"/>
        </w:rPr>
        <w:t>The new credit facility contains affirmative, negative and financial covenants customary for financings of this type. The Credit Agreement also contains customary events of default (including non-payment of principal or interest on any material debt and breaches of covenants) as well as events of default relating to certain actions by the Company’s surety bonding provider. The Credit Agreement requires the Company to maintain a net leverage ratio less than or equal to 4.50 to 1.00 as of the end of each fiscal quarter and a minimum fixed charge coverage ratio of 1.25 to 1.00. At December 31, 2012, the Company’s fixed charge coverage ratio was 1.12x, resulting in an event of default under the Credit Agreement.</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420"/>
          </w:cols>
          <w:pgMar w:left="240" w:top="455" w:right="239" w:bottom="1440" w:gutter="0" w:footer="0" w:header="0"/>
        </w:sectPr>
      </w:pPr>
    </w:p>
    <w:bookmarkStart w:id="50" w:name="page51"/>
    <w:bookmarkEnd w:id="5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100" w:firstLine="456"/>
        <w:spacing w:after="0" w:line="262" w:lineRule="auto"/>
        <w:rPr>
          <w:sz w:val="20"/>
          <w:szCs w:val="20"/>
          <w:color w:val="auto"/>
        </w:rPr>
      </w:pPr>
      <w:r>
        <w:rPr>
          <w:rFonts w:ascii="Times New Roman" w:cs="Times New Roman" w:eastAsia="Times New Roman" w:hAnsi="Times New Roman"/>
          <w:sz w:val="18"/>
          <w:szCs w:val="18"/>
          <w:color w:val="auto"/>
        </w:rPr>
        <w:t>On March 15, 2013, the Company executed a Waiver and Amendment No. 2 to the Credit Agreement (the “Credit Agreement Waiver and Amendment”) pursuant to which the counterparties thereto agreed, among other things, to waive any default, event of default, or possible event of default, as applicable, related to the Company’s failure to meet the above-described financial covenant in the Credit Agreement.</w:t>
      </w:r>
    </w:p>
    <w:p>
      <w:pPr>
        <w:spacing w:after="0" w:line="132"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Separately, the Company determined that a perfection trigger event had occurred under the Credit Agreement. As a result, the outstanding obligations under the Credit Agreement, which were previously unsecured, are now secured by liens on certain of the Company’s vessels and all of its domestic accounts receivable, subject to the liens and interests of certain other parties holding first priority perfected liens. Under the original terms of the Credit Agreement, the obligations thereunder that became secured under these circumstances could again become unsecured provided that (i) no event of default has occurred and is continuing and (ii) the Company has maintained for two consecutive quarters, and is projected to maintain for the next two consecutive quarters, a total leverage ratio less than or equal to 3.75 to 1.0. Pursuant to the Credit Agreement Waiver and Amendment, this provision has been amended to add the additional condition that no release of the liens securing the obligations under the Credit Agreement can occur until the Company has delivered to the lenders its audited financial statements with respect to its fiscal year ending December 31, 2013.</w:t>
      </w:r>
    </w:p>
    <w:p>
      <w:pPr>
        <w:spacing w:after="0" w:line="138" w:lineRule="exact"/>
        <w:rPr>
          <w:sz w:val="20"/>
          <w:szCs w:val="20"/>
          <w:color w:val="auto"/>
        </w:rPr>
      </w:pPr>
    </w:p>
    <w:p>
      <w:pPr>
        <w:ind w:right="20" w:firstLine="456"/>
        <w:spacing w:after="0" w:line="254" w:lineRule="auto"/>
        <w:rPr>
          <w:sz w:val="20"/>
          <w:szCs w:val="20"/>
          <w:color w:val="auto"/>
        </w:rPr>
      </w:pPr>
      <w:r>
        <w:rPr>
          <w:rFonts w:ascii="Times New Roman" w:cs="Times New Roman" w:eastAsia="Times New Roman" w:hAnsi="Times New Roman"/>
          <w:sz w:val="18"/>
          <w:szCs w:val="18"/>
          <w:color w:val="auto"/>
        </w:rPr>
        <w:t>Performance and bid bonds are customarily required for dredging and marine construction projects, as well as some demolition projects. In September 2011, the Company entered into a bonding agreement with Zurich American Insurance Company (“Zurich”) under which the Company can obtain performance, bid and payment bonds. The Company also has outstanding bonds with Travelers Casualty and Surety Company of America. Bid bonds are generally obtained for a percentage of bid value and amounts outstanding typically range from $1 million to $10 million. At December 31, 2012, the Company had outstanding performance bonds valued at approximately $614.5 million; however, the revenue value remaining in backlog related to these projects totaled approximately $188.5. Zurich has informed the Company and the Administrative Agent that it intends to seek second mortgages on the same vessels securing the obligations under the Credit Agreement.</w:t>
      </w:r>
    </w:p>
    <w:p>
      <w:pPr>
        <w:spacing w:after="0" w:line="141" w:lineRule="exact"/>
        <w:rPr>
          <w:sz w:val="20"/>
          <w:szCs w:val="20"/>
          <w:color w:val="auto"/>
        </w:rPr>
      </w:pPr>
    </w:p>
    <w:p>
      <w:pPr>
        <w:ind w:right="60" w:firstLine="456"/>
        <w:spacing w:after="0" w:line="253" w:lineRule="auto"/>
        <w:rPr>
          <w:sz w:val="20"/>
          <w:szCs w:val="20"/>
          <w:color w:val="auto"/>
        </w:rPr>
      </w:pPr>
      <w:r>
        <w:rPr>
          <w:rFonts w:ascii="Times New Roman" w:cs="Times New Roman" w:eastAsia="Times New Roman" w:hAnsi="Times New Roman"/>
          <w:sz w:val="18"/>
          <w:szCs w:val="18"/>
          <w:color w:val="auto"/>
        </w:rPr>
        <w:t>In addition to its credit facility, the Company has a $24 million International Letter of Credit Facility with Wells Fargo Bank, National Association, as successor by merger to Wells Fargo HSBC Trade Bank. This facility is used for performance and advance payment guarantees on foreign contracts, including our long-term land reclamation project in Bahrain. The Company’s obligations under the agreement are guaranteed by the Company’s foreign accounts receivable. In addition, the Export-Import Bank of the United States (“Ex-Im Bank”) has issued a guarantee under the Ex-Im Bank’s Working Capital Guarantee Program, which covers 90% of the obligations owing under the facility. The Company had no letters of credit issued under this facility at December 31, 2012. At December 31, 2012, the Company also failed to the meet the International Letter of Credit Facility’s requirement of maintaining a minimum fixed charge coverage ratio of 1.25 to 1.0. On March 15, 2013, the Company executed a Waiver to the International Letter of Credit Facility (the “LC Waiver”) pursuant to which the counterparties thereto agreed, among other things, to waive any default, event of default, or possible event of default, as applicable, related to the Company’s failure to meet the above-described financial covenant in the International Letter of Credit Facility.</w:t>
      </w:r>
    </w:p>
    <w:p>
      <w:pPr>
        <w:spacing w:after="0" w:line="143" w:lineRule="exact"/>
        <w:rPr>
          <w:sz w:val="20"/>
          <w:szCs w:val="20"/>
          <w:color w:val="auto"/>
        </w:rPr>
      </w:pPr>
    </w:p>
    <w:p>
      <w:pPr>
        <w:ind w:right="180" w:firstLine="456"/>
        <w:spacing w:after="0" w:line="253" w:lineRule="auto"/>
        <w:rPr>
          <w:sz w:val="20"/>
          <w:szCs w:val="20"/>
          <w:color w:val="auto"/>
        </w:rPr>
      </w:pPr>
      <w:r>
        <w:rPr>
          <w:rFonts w:ascii="Times New Roman" w:cs="Times New Roman" w:eastAsia="Times New Roman" w:hAnsi="Times New Roman"/>
          <w:sz w:val="18"/>
          <w:szCs w:val="18"/>
          <w:color w:val="auto"/>
        </w:rPr>
        <w:t>In January 2011, the Company issued $250 million in aggregate principal amount of its 7.375% senior notes due February 1, 2019. Approximately $180 million of the net proceeds from the issuance of the senior notes was used to prepay all of the Company’s 7.75% senior subordinated notes due December 2013, including prepayment premiums and accrued and unpaid interest. The remaining net proceeds from the issuance of the senior notes will be used for general corporate purposes, which may include acquisitions. The indenture governing the senior notes, among other things, limits the ability of the Company and its restricted subsidiaries to (i) pay dividends, or make certain other restricted payments or investments; (ii) incur additional indebtedness and issue disqualified stock; (iii) create liens on its assets; (iv) transfer and sell assets; (v) merge, consolidate or sell all or substantially all of its assets; (vi) enter into certain transactions with affiliates; (vii) create restrictions on dividends or other payments by its restricted subsidiaries and (viii) create guarantees of indebtedness by restricted subsidiaries. These covenants are subject to a number of important limitations and exceptions that are described in the indenture governing the senior notes.</w:t>
      </w:r>
    </w:p>
    <w:p>
      <w:pPr>
        <w:spacing w:after="0" w:line="1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420"/>
          </w:cols>
          <w:pgMar w:left="240" w:top="455" w:right="239" w:bottom="1440" w:gutter="0" w:footer="0" w:header="0"/>
        </w:sectPr>
      </w:pPr>
    </w:p>
    <w:bookmarkStart w:id="51" w:name="page52"/>
    <w:bookmarkEnd w:id="5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40" w:firstLine="456"/>
        <w:spacing w:after="0" w:line="254" w:lineRule="auto"/>
        <w:rPr>
          <w:sz w:val="20"/>
          <w:szCs w:val="20"/>
          <w:color w:val="auto"/>
        </w:rPr>
      </w:pPr>
      <w:r>
        <w:rPr>
          <w:rFonts w:ascii="Times New Roman" w:cs="Times New Roman" w:eastAsia="Times New Roman" w:hAnsi="Times New Roman"/>
          <w:sz w:val="18"/>
          <w:szCs w:val="18"/>
          <w:color w:val="auto"/>
        </w:rPr>
        <w:t>The Company paid dividends of $3.7 million through the first three quarters of 2012. In the fourth quarter of 2012, the board of directors paid a special dividend of $14.9 million representing quarterly dividends that likely would have been declared in the fourth quarter 2012 as well as the acceleration of dividends for the four quarters of 2013 plus an additional return of capital. Prior to that, the Company paid dividends of approximately $1.2 million each quarter, beginning in the second quarter of 2011, and approximately $1.0 million each quarter prior to that in 2011 and 2010. The Company does not anticipate paying dividends in 2013. The future declaration and payment of dividends will be at the discretion of the Company’s board of directors and will depend on many factors, including general economic and business conditions, the Company’s strategic plans, its financial results and condition and legal requirements, including restrictions and limitations contained in the Credit Agreement, bonding agreement and the indenture relating to its senior notes. Accordingly, the Company cannot make any assurances as to the size of any such dividend or that it will pay any such dividend in future quarters.</w:t>
      </w:r>
    </w:p>
    <w:p>
      <w:pPr>
        <w:spacing w:after="0" w:line="138" w:lineRule="exact"/>
        <w:rPr>
          <w:sz w:val="20"/>
          <w:szCs w:val="20"/>
          <w:color w:val="auto"/>
        </w:rPr>
      </w:pPr>
    </w:p>
    <w:p>
      <w:pPr>
        <w:ind w:right="80" w:firstLine="456"/>
        <w:spacing w:after="0" w:line="258" w:lineRule="auto"/>
        <w:rPr>
          <w:sz w:val="20"/>
          <w:szCs w:val="20"/>
          <w:color w:val="auto"/>
        </w:rPr>
      </w:pPr>
      <w:r>
        <w:rPr>
          <w:rFonts w:ascii="Times New Roman" w:cs="Times New Roman" w:eastAsia="Times New Roman" w:hAnsi="Times New Roman"/>
          <w:sz w:val="18"/>
          <w:szCs w:val="18"/>
          <w:color w:val="auto"/>
        </w:rPr>
        <w:t>The impact of changes in functional currency exchange rates against the U.S. dollar on non-U.S. dollar cash balances, primarily the Australian Dollar and the Brazilian Real, is reflected in the cumulative translation adjustment, net within accumulated other comprehensive income (loss). Cash held in non-U.S. dollar currencies primarily is used for project-related and other operating costs in those currencies reducing the Company’s exposure to future realized exchange gains and losses.</w:t>
      </w:r>
    </w:p>
    <w:p>
      <w:pPr>
        <w:spacing w:after="0" w:line="136"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The Company believes its cash and cash equivalents, its anticipated cash flows from operations and availability under its revolving credit facility will be sufficient to fund the Company’s operations, capital expenditures and the scheduled debt service requirements for the next twelve months. Beyond the next twelve months, the Company’s ability to fund its working capital needs, planned capital expenditures, scheduled debt payments and dividends, if any, and to comply with all the financial covenants under the Credit Agreement and bonding agreement, depends on its future operating performance and cash flows, which in turn, are subject to prevailing economic conditions and to financial, business and other factors, some of which are beyond the Company’s control.</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Contractual Obligations</w:t>
      </w:r>
    </w:p>
    <w:p>
      <w:pPr>
        <w:spacing w:after="0" w:line="94" w:lineRule="exact"/>
        <w:rPr>
          <w:sz w:val="20"/>
          <w:szCs w:val="20"/>
          <w:color w:val="auto"/>
        </w:rPr>
      </w:pPr>
    </w:p>
    <w:p>
      <w:pPr>
        <w:ind w:right="60" w:firstLine="456"/>
        <w:spacing w:after="0" w:line="275" w:lineRule="auto"/>
        <w:rPr>
          <w:sz w:val="20"/>
          <w:szCs w:val="20"/>
          <w:color w:val="auto"/>
        </w:rPr>
      </w:pPr>
      <w:r>
        <w:rPr>
          <w:rFonts w:ascii="Times New Roman" w:cs="Times New Roman" w:eastAsia="Times New Roman" w:hAnsi="Times New Roman"/>
          <w:sz w:val="18"/>
          <w:szCs w:val="18"/>
          <w:color w:val="auto"/>
        </w:rPr>
        <w:t>The following table summarizes the Company’s contractual cash obligations at December 31, 2012. Additional information related to these obligations can be found in Note 7 and Note 12 to the Company’s consolidated financial statements.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482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3020" w:type="dxa"/>
            <w:vAlign w:val="bottom"/>
            <w:tcBorders>
              <w:bottom w:val="single" w:sz="8" w:color="auto"/>
            </w:tcBorders>
            <w:gridSpan w:val="11"/>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w w:val="95"/>
              </w:rPr>
              <w:t>Obligations coming due in year(s) ending:</w:t>
            </w:r>
          </w:p>
        </w:tc>
        <w:tc>
          <w:tcPr>
            <w:tcW w:w="1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4820" w:type="dxa"/>
            <w:vAlign w:val="bottom"/>
          </w:tcPr>
          <w:p>
            <w:pPr>
              <w:spacing w:after="0"/>
              <w:rPr>
                <w:sz w:val="10"/>
                <w:szCs w:val="10"/>
                <w:color w:val="auto"/>
              </w:rPr>
            </w:pPr>
          </w:p>
        </w:tc>
        <w:tc>
          <w:tcPr>
            <w:tcW w:w="1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jc w:val="right"/>
              <w:ind w:right="17"/>
              <w:spacing w:after="0" w:line="125" w:lineRule="exact"/>
              <w:rPr>
                <w:sz w:val="20"/>
                <w:szCs w:val="20"/>
                <w:color w:val="auto"/>
              </w:rPr>
            </w:pPr>
            <w:r>
              <w:rPr>
                <w:rFonts w:ascii="Times New Roman" w:cs="Times New Roman" w:eastAsia="Times New Roman" w:hAnsi="Times New Roman"/>
                <w:sz w:val="14"/>
                <w:szCs w:val="14"/>
                <w:b w:val="1"/>
                <w:bCs w:val="1"/>
                <w:color w:val="auto"/>
                <w:w w:val="91"/>
              </w:rPr>
              <w:t>2014-</w:t>
            </w:r>
          </w:p>
        </w:tc>
        <w:tc>
          <w:tcPr>
            <w:tcW w:w="3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jc w:val="right"/>
              <w:spacing w:after="0" w:line="125" w:lineRule="exact"/>
              <w:rPr>
                <w:sz w:val="20"/>
                <w:szCs w:val="20"/>
                <w:color w:val="auto"/>
              </w:rPr>
            </w:pPr>
            <w:r>
              <w:rPr>
                <w:rFonts w:ascii="Times New Roman" w:cs="Times New Roman" w:eastAsia="Times New Roman" w:hAnsi="Times New Roman"/>
                <w:sz w:val="14"/>
                <w:szCs w:val="14"/>
                <w:b w:val="1"/>
                <w:bCs w:val="1"/>
                <w:color w:val="auto"/>
                <w:w w:val="91"/>
              </w:rPr>
              <w:t>2017-</w:t>
            </w:r>
          </w:p>
        </w:tc>
        <w:tc>
          <w:tcPr>
            <w:tcW w:w="520" w:type="dxa"/>
            <w:vAlign w:val="bottom"/>
          </w:tcPr>
          <w:p>
            <w:pPr>
              <w:spacing w:after="0"/>
              <w:rPr>
                <w:sz w:val="10"/>
                <w:szCs w:val="10"/>
                <w:color w:val="auto"/>
              </w:rPr>
            </w:pPr>
          </w:p>
        </w:tc>
        <w:tc>
          <w:tcPr>
            <w:tcW w:w="520" w:type="dxa"/>
            <w:vAlign w:val="bottom"/>
            <w:gridSpan w:val="2"/>
          </w:tcPr>
          <w:p>
            <w:pPr>
              <w:spacing w:after="0" w:line="125" w:lineRule="exact"/>
              <w:rPr>
                <w:sz w:val="20"/>
                <w:szCs w:val="20"/>
                <w:color w:val="auto"/>
              </w:rPr>
            </w:pPr>
            <w:r>
              <w:rPr>
                <w:rFonts w:ascii="Times New Roman" w:cs="Times New Roman" w:eastAsia="Times New Roman" w:hAnsi="Times New Roman"/>
                <w:sz w:val="14"/>
                <w:szCs w:val="14"/>
                <w:b w:val="1"/>
                <w:bCs w:val="1"/>
                <w:color w:val="auto"/>
                <w:w w:val="92"/>
              </w:rPr>
              <w:t>2020 and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482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0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Total (1)</w:t>
            </w:r>
          </w:p>
        </w:tc>
        <w:tc>
          <w:tcPr>
            <w:tcW w:w="80" w:type="dxa"/>
            <w:vAlign w:val="bottom"/>
          </w:tcPr>
          <w:p>
            <w:pPr>
              <w:spacing w:after="0"/>
              <w:rPr>
                <w:sz w:val="14"/>
                <w:szCs w:val="14"/>
                <w:color w:val="auto"/>
              </w:rPr>
            </w:pPr>
          </w:p>
        </w:tc>
        <w:tc>
          <w:tcPr>
            <w:tcW w:w="400" w:type="dxa"/>
            <w:vAlign w:val="bottom"/>
          </w:tcPr>
          <w:p>
            <w:pPr>
              <w:jc w:val="right"/>
              <w:ind w:right="15"/>
              <w:spacing w:after="0"/>
              <w:rPr>
                <w:sz w:val="20"/>
                <w:szCs w:val="20"/>
                <w:color w:val="auto"/>
              </w:rPr>
            </w:pPr>
            <w:r>
              <w:rPr>
                <w:rFonts w:ascii="Times New Roman" w:cs="Times New Roman" w:eastAsia="Times New Roman" w:hAnsi="Times New Roman"/>
                <w:sz w:val="14"/>
                <w:szCs w:val="14"/>
                <w:b w:val="1"/>
                <w:bCs w:val="1"/>
                <w:color w:val="auto"/>
                <w:w w:val="99"/>
              </w:rPr>
              <w:t>2013</w:t>
            </w: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jc w:val="center"/>
              <w:ind w:right="17"/>
              <w:spacing w:after="0"/>
              <w:rPr>
                <w:sz w:val="20"/>
                <w:szCs w:val="20"/>
                <w:color w:val="auto"/>
              </w:rPr>
            </w:pPr>
            <w:r>
              <w:rPr>
                <w:rFonts w:ascii="Times New Roman" w:cs="Times New Roman" w:eastAsia="Times New Roman" w:hAnsi="Times New Roman"/>
                <w:sz w:val="14"/>
                <w:szCs w:val="14"/>
                <w:b w:val="1"/>
                <w:bCs w:val="1"/>
                <w:color w:val="auto"/>
                <w:w w:val="99"/>
              </w:rPr>
              <w:t>2016</w:t>
            </w: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jc w:val="right"/>
              <w:ind w:right="17"/>
              <w:spacing w:after="0"/>
              <w:rPr>
                <w:sz w:val="20"/>
                <w:szCs w:val="20"/>
                <w:color w:val="auto"/>
              </w:rPr>
            </w:pPr>
            <w:r>
              <w:rPr>
                <w:rFonts w:ascii="Times New Roman" w:cs="Times New Roman" w:eastAsia="Times New Roman" w:hAnsi="Times New Roman"/>
                <w:sz w:val="14"/>
                <w:szCs w:val="14"/>
                <w:b w:val="1"/>
                <w:bCs w:val="1"/>
                <w:color w:val="auto"/>
                <w:w w:val="99"/>
              </w:rPr>
              <w:t>2019</w:t>
            </w:r>
          </w:p>
        </w:tc>
        <w:tc>
          <w:tcPr>
            <w:tcW w:w="520" w:type="dxa"/>
            <w:vAlign w:val="bottom"/>
          </w:tcPr>
          <w:p>
            <w:pPr>
              <w:spacing w:after="0"/>
              <w:rPr>
                <w:sz w:val="14"/>
                <w:szCs w:val="14"/>
                <w:color w:val="auto"/>
              </w:rPr>
            </w:pPr>
          </w:p>
        </w:tc>
        <w:tc>
          <w:tcPr>
            <w:tcW w:w="62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beyond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82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gridSpan w:val="4"/>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7"/>
              </w:rPr>
              <w:t>(in millions)</w:t>
            </w:r>
          </w:p>
        </w:tc>
        <w:tc>
          <w:tcPr>
            <w:tcW w:w="2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 term bank debt (2)</w:t>
            </w:r>
          </w:p>
        </w:tc>
        <w:tc>
          <w:tcPr>
            <w:tcW w:w="2020" w:type="dxa"/>
            <w:vAlign w:val="bottom"/>
            <w:gridSpan w:val="2"/>
            <w:shd w:val="clear" w:color="auto" w:fill="CCEEFF"/>
          </w:tcPr>
          <w:p>
            <w:pPr>
              <w:ind w:left="192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Senior notes (3)</w:t>
            </w: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w w:val="93"/>
              </w:rPr>
              <w:t>362.1</w:t>
            </w:r>
          </w:p>
        </w:tc>
        <w:tc>
          <w:tcPr>
            <w:tcW w:w="80" w:type="dxa"/>
            <w:vAlign w:val="bottom"/>
          </w:tcPr>
          <w:p>
            <w:pPr>
              <w:spacing w:after="0"/>
              <w:rPr>
                <w:sz w:val="18"/>
                <w:szCs w:val="18"/>
                <w:color w:val="auto"/>
              </w:rPr>
            </w:pPr>
          </w:p>
        </w:tc>
        <w:tc>
          <w:tcPr>
            <w:tcW w:w="6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18.4</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55.3</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w w:val="93"/>
              </w:rPr>
              <w:t>288.4</w:t>
            </w:r>
          </w:p>
        </w:tc>
        <w:tc>
          <w:tcPr>
            <w:tcW w:w="180" w:type="dxa"/>
            <w:vAlign w:val="bottom"/>
          </w:tcPr>
          <w:p>
            <w:pPr>
              <w:spacing w:after="0"/>
              <w:rPr>
                <w:sz w:val="18"/>
                <w:szCs w:val="18"/>
                <w:color w:val="auto"/>
              </w:rPr>
            </w:pPr>
          </w:p>
        </w:tc>
        <w:tc>
          <w:tcPr>
            <w:tcW w:w="4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Unconditional purchase commitments (4)</w:t>
            </w:r>
          </w:p>
        </w:tc>
        <w:tc>
          <w:tcPr>
            <w:tcW w:w="1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w w:val="93"/>
              </w:rPr>
              <w:t>105.3</w:t>
            </w: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64.6</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commitments</w:t>
            </w: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98.9</w:t>
            </w:r>
          </w:p>
        </w:tc>
        <w:tc>
          <w:tcPr>
            <w:tcW w:w="80" w:type="dxa"/>
            <w:vAlign w:val="bottom"/>
          </w:tcPr>
          <w:p>
            <w:pPr>
              <w:spacing w:after="0"/>
              <w:rPr>
                <w:sz w:val="18"/>
                <w:szCs w:val="18"/>
                <w:color w:val="auto"/>
              </w:rPr>
            </w:pPr>
          </w:p>
        </w:tc>
        <w:tc>
          <w:tcPr>
            <w:tcW w:w="6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19.4</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52.2</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24.2</w:t>
            </w:r>
          </w:p>
        </w:tc>
        <w:tc>
          <w:tcPr>
            <w:tcW w:w="180" w:type="dxa"/>
            <w:vAlign w:val="bottom"/>
          </w:tcPr>
          <w:p>
            <w:pPr>
              <w:spacing w:after="0"/>
              <w:rPr>
                <w:sz w:val="18"/>
                <w:szCs w:val="18"/>
                <w:color w:val="auto"/>
              </w:rPr>
            </w:pPr>
          </w:p>
        </w:tc>
        <w:tc>
          <w:tcPr>
            <w:tcW w:w="34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88"/>
              </w:rPr>
              <w:t>3.1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Promissory note (5)</w:t>
            </w:r>
          </w:p>
        </w:tc>
        <w:tc>
          <w:tcPr>
            <w:tcW w:w="1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13.2</w:t>
            </w: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13.2</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Equipment notes</w:t>
            </w: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0.1</w:t>
            </w:r>
          </w:p>
        </w:tc>
        <w:tc>
          <w:tcPr>
            <w:tcW w:w="80" w:type="dxa"/>
            <w:vAlign w:val="bottom"/>
          </w:tcPr>
          <w:p>
            <w:pPr>
              <w:spacing w:after="0"/>
              <w:rPr>
                <w:sz w:val="18"/>
                <w:szCs w:val="18"/>
                <w:color w:val="auto"/>
              </w:rPr>
            </w:pPr>
          </w:p>
        </w:tc>
        <w:tc>
          <w:tcPr>
            <w:tcW w:w="6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0.1</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4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8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92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w w:val="93"/>
              </w:rPr>
              <w:t>579.6</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u w:val="single" w:color="auto"/>
                <w:color w:val="auto"/>
                <w:w w:val="74"/>
              </w:rPr>
              <w:t>$</w:t>
            </w:r>
          </w:p>
        </w:tc>
        <w:tc>
          <w:tcPr>
            <w:tcW w:w="6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3"/>
              </w:rPr>
              <w:t>115.7</w:t>
            </w: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148.2</w:t>
            </w:r>
          </w:p>
        </w:tc>
        <w:tc>
          <w:tcPr>
            <w:tcW w:w="3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92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w w:val="93"/>
              </w:rPr>
              <w:t>312.6</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88"/>
              </w:rPr>
              <w:t>3.1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460" w:hanging="452"/>
        <w:spacing w:after="0"/>
        <w:tabs>
          <w:tab w:leader="none" w:pos="4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Excluded from the above table are $0.6 million in liabilities for uncertain tax positions for which the period of settlement is not determinable.</w:t>
      </w:r>
    </w:p>
    <w:p>
      <w:pPr>
        <w:spacing w:after="0" w:line="21"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Company’s senior credit facility. No amounts were outstanding at December 31, 2012.</w:t>
      </w:r>
    </w:p>
    <w:p>
      <w:pPr>
        <w:spacing w:after="0" w:line="9"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cash interest payments calculated at stated fixed rate of 7.375%.</w:t>
      </w:r>
    </w:p>
    <w:p>
      <w:pPr>
        <w:spacing w:after="0" w:line="9"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payments for vessels being built to Company specifications and other contract related commitments.</w:t>
      </w:r>
    </w:p>
    <w:p>
      <w:pPr>
        <w:spacing w:after="0" w:line="9" w:lineRule="exact"/>
        <w:rPr>
          <w:rFonts w:ascii="Times New Roman" w:cs="Times New Roman" w:eastAsia="Times New Roman" w:hAnsi="Times New Roman"/>
          <w:sz w:val="18"/>
          <w:szCs w:val="18"/>
          <w:color w:val="auto"/>
        </w:rPr>
      </w:pPr>
    </w:p>
    <w:p>
      <w:pPr>
        <w:ind w:left="460" w:right="160" w:hanging="452"/>
        <w:spacing w:after="0" w:line="261" w:lineRule="auto"/>
        <w:tabs>
          <w:tab w:leader="none" w:pos="4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cash interest payments calculated at stated fixed rate of 6.00%. Additionally includes notes issued in connection with the Matteson acquisition in 2010, due December 2013, and the Terra Contracting acquisition which was subsequently paid in January 2013.</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420"/>
          </w:cols>
          <w:pgMar w:left="240" w:top="455" w:right="239" w:bottom="1440" w:gutter="0" w:footer="0" w:header="0"/>
        </w:sectPr>
      </w:pPr>
    </w:p>
    <w:bookmarkStart w:id="52" w:name="page53"/>
    <w:bookmarkEnd w:id="5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Off-Balance Sheet and Contingent Obligations</w:t>
      </w:r>
    </w:p>
    <w:p>
      <w:pPr>
        <w:spacing w:after="0" w:line="94" w:lineRule="exact"/>
        <w:rPr>
          <w:sz w:val="20"/>
          <w:szCs w:val="20"/>
          <w:color w:val="auto"/>
        </w:rPr>
      </w:pPr>
    </w:p>
    <w:p>
      <w:pPr>
        <w:ind w:right="20" w:firstLine="456"/>
        <w:spacing w:after="0" w:line="253" w:lineRule="auto"/>
        <w:rPr>
          <w:sz w:val="20"/>
          <w:szCs w:val="20"/>
          <w:color w:val="auto"/>
        </w:rPr>
      </w:pPr>
      <w:r>
        <w:rPr>
          <w:rFonts w:ascii="Times New Roman" w:cs="Times New Roman" w:eastAsia="Times New Roman" w:hAnsi="Times New Roman"/>
          <w:sz w:val="18"/>
          <w:szCs w:val="18"/>
          <w:color w:val="auto"/>
        </w:rPr>
        <w:t>The Company had outstanding letters of credit relating to foreign contract guarantees and insurance payment liabilities totaling $35.7 million at December 31, 2012. The Company has granted liens in 2013 subsequent to the end of the prior fiscal year on a substantial portion of its owned operating equipment as security for borrowings under its Credit Agreement and has agreed that other owned operating equipment may also be granted liens under the bonding agreement. The Company’s Credit Agreement, bonding agreement and the indenture relating to its senior notes also contain provisions that require the Company to maintain certain financial ratios and restrict its ability to pay dividends, incur indebtedness, create liens, and take certain other actions. The Company did not meet one of its financial covenants in the Credit Agreement and the International Letter of Credit Facility at December 31, 2012. Both the Credit Agreement and the International Letter of Credit Facility require the Company to maintain a minimum fixed charge coverage ratio of 1.25 to 1.0. The Company’s fixed charge coverage ratio as of December 31, 2012 was 1.12x, resulting in an event of default under the Credit Agreement and the International Letter of Credit Facility. On March 15, 2013, the counterparties thereto agreed, among other things, to waive any default, event of default, or possible event of default, as applicable, related to the Company’s failure to meet the above-described financial covenant in the Credit Agreement and the International Letter of Credit Facility.</w:t>
      </w:r>
    </w:p>
    <w:p>
      <w:pPr>
        <w:spacing w:after="0" w:line="139" w:lineRule="exact"/>
        <w:rPr>
          <w:sz w:val="20"/>
          <w:szCs w:val="20"/>
          <w:color w:val="auto"/>
        </w:rPr>
      </w:pPr>
    </w:p>
    <w:p>
      <w:pPr>
        <w:ind w:right="120" w:firstLine="456"/>
        <w:spacing w:after="0" w:line="255" w:lineRule="auto"/>
        <w:rPr>
          <w:sz w:val="20"/>
          <w:szCs w:val="20"/>
          <w:color w:val="auto"/>
        </w:rPr>
      </w:pPr>
      <w:r>
        <w:rPr>
          <w:rFonts w:ascii="Times New Roman" w:cs="Times New Roman" w:eastAsia="Times New Roman" w:hAnsi="Times New Roman"/>
          <w:sz w:val="18"/>
          <w:szCs w:val="18"/>
          <w:color w:val="auto"/>
        </w:rPr>
        <w:t>The Company finances certain key vessels, office space, and other equipment used in its operations with off-balance sheet operating lease arrangements with unrelated lessors, requiring annual rentals of $19.4 million which decline to $0.5 million over the next ten years subject to future lease arrangements. These off-balance sheet leases contain default provisions, which are triggered by an acceleration of debt maturity under the terms of the Company’s Credit Agreement. Additionally, the leases typically contain provisions whereby the Company indemnifies the lessors for the tax treatment attributable to such leases based on the tax rules in place at lease inception. The tax indemnifications do not have a contractual dollar limit. To date, no lessors have asserted any claims against the Company under these tax indemnification provisions.</w:t>
      </w:r>
    </w:p>
    <w:p>
      <w:pPr>
        <w:spacing w:after="0" w:line="139" w:lineRule="exact"/>
        <w:rPr>
          <w:sz w:val="20"/>
          <w:szCs w:val="20"/>
          <w:color w:val="auto"/>
        </w:rPr>
      </w:pPr>
    </w:p>
    <w:p>
      <w:pPr>
        <w:ind w:firstLine="456"/>
        <w:spacing w:after="0" w:line="275" w:lineRule="auto"/>
        <w:rPr>
          <w:sz w:val="20"/>
          <w:szCs w:val="20"/>
          <w:color w:val="auto"/>
        </w:rPr>
      </w:pPr>
      <w:r>
        <w:rPr>
          <w:rFonts w:ascii="Times New Roman" w:cs="Times New Roman" w:eastAsia="Times New Roman" w:hAnsi="Times New Roman"/>
          <w:sz w:val="18"/>
          <w:szCs w:val="18"/>
          <w:color w:val="auto"/>
        </w:rPr>
        <w:t>At December 31, 2012, the Company had outstanding performance bonds valued at approximately $614.5 million; however, the revenue value remaining in backlog related to these projects totaled approximately $188.5 million.</w:t>
      </w:r>
    </w:p>
    <w:p>
      <w:pPr>
        <w:spacing w:after="0" w:line="120" w:lineRule="exact"/>
        <w:rPr>
          <w:sz w:val="20"/>
          <w:szCs w:val="20"/>
          <w:color w:val="auto"/>
        </w:rPr>
      </w:pPr>
    </w:p>
    <w:p>
      <w:pPr>
        <w:ind w:right="80" w:firstLine="456"/>
        <w:spacing w:after="0" w:line="310" w:lineRule="auto"/>
        <w:rPr>
          <w:sz w:val="20"/>
          <w:szCs w:val="20"/>
          <w:color w:val="auto"/>
        </w:rPr>
      </w:pPr>
      <w:r>
        <w:rPr>
          <w:rFonts w:ascii="Times New Roman" w:cs="Times New Roman" w:eastAsia="Times New Roman" w:hAnsi="Times New Roman"/>
          <w:sz w:val="16"/>
          <w:szCs w:val="16"/>
          <w:color w:val="auto"/>
        </w:rPr>
        <w:t>Certain foreign projects performed by the Company have warranty periods, typically spanning no more than three to five years beyond project completion, whereby the Company retains responsibility to maintain the project site to certain specifications during the warranty period. Generally, any potential liability of the Company is mitigated by insurance, shared responsibilities with consortium partners, and/or recourse to owner-provided specifications.</w:t>
      </w:r>
    </w:p>
    <w:p>
      <w:pPr>
        <w:spacing w:after="0" w:line="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Company considers it unlikely that it would have to perform under any of the aforementioned contingent obligations, other than operating leases.</w:t>
      </w:r>
    </w:p>
    <w:p>
      <w:pPr>
        <w:spacing w:after="0" w:line="291"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7A.</w:t>
      </w:r>
      <w:r>
        <w:rPr>
          <w:sz w:val="20"/>
          <w:szCs w:val="20"/>
          <w:color w:val="auto"/>
        </w:rPr>
        <w:tab/>
      </w:r>
      <w:r>
        <w:rPr>
          <w:rFonts w:ascii="Times New Roman" w:cs="Times New Roman" w:eastAsia="Times New Roman" w:hAnsi="Times New Roman"/>
          <w:sz w:val="16"/>
          <w:szCs w:val="16"/>
          <w:b w:val="1"/>
          <w:bCs w:val="1"/>
          <w:color w:val="auto"/>
        </w:rPr>
        <w:t>Quantitative and Qualitative Disclosures about Market Risk</w:t>
      </w:r>
    </w:p>
    <w:p>
      <w:pPr>
        <w:spacing w:after="0" w:line="92" w:lineRule="exact"/>
        <w:rPr>
          <w:sz w:val="20"/>
          <w:szCs w:val="20"/>
          <w:color w:val="auto"/>
        </w:rPr>
      </w:pPr>
    </w:p>
    <w:p>
      <w:pPr>
        <w:ind w:right="180" w:firstLine="456"/>
        <w:spacing w:after="0" w:line="258" w:lineRule="auto"/>
        <w:rPr>
          <w:sz w:val="20"/>
          <w:szCs w:val="20"/>
          <w:color w:val="auto"/>
        </w:rPr>
      </w:pPr>
      <w:r>
        <w:rPr>
          <w:rFonts w:ascii="Times New Roman" w:cs="Times New Roman" w:eastAsia="Times New Roman" w:hAnsi="Times New Roman"/>
          <w:sz w:val="18"/>
          <w:szCs w:val="18"/>
          <w:color w:val="auto"/>
        </w:rPr>
        <w:t>A significant portion of the Company’s current dredging operations are conducted outside of the U.S., primarily in the Middle East. It is the Company’s policy to hedge foreign currency exchange risk on contracts denominated in currencies other than the U.S. dollar, if available. Currently, the majority of the Company’s foreign dredging work is in Bahrain. The currency in Bahrain, the Bahraini Dinar, is linked to the U.S. dollar; therefore, there is no foreign currency exposure on these transactions. At December 31, 2012, the Company had no foreign exchange forward contracts outstanding.</w:t>
      </w:r>
    </w:p>
    <w:p>
      <w:pPr>
        <w:spacing w:after="0" w:line="136" w:lineRule="exact"/>
        <w:rPr>
          <w:sz w:val="20"/>
          <w:szCs w:val="20"/>
          <w:color w:val="auto"/>
        </w:rPr>
      </w:pPr>
    </w:p>
    <w:p>
      <w:pPr>
        <w:jc w:val="both"/>
        <w:ind w:right="160" w:firstLine="456"/>
        <w:spacing w:after="0" w:line="262" w:lineRule="auto"/>
        <w:rPr>
          <w:sz w:val="20"/>
          <w:szCs w:val="20"/>
          <w:color w:val="auto"/>
        </w:rPr>
      </w:pPr>
      <w:r>
        <w:rPr>
          <w:rFonts w:ascii="Times New Roman" w:cs="Times New Roman" w:eastAsia="Times New Roman" w:hAnsi="Times New Roman"/>
          <w:sz w:val="18"/>
          <w:szCs w:val="18"/>
          <w:color w:val="auto"/>
        </w:rPr>
        <w:t>At December 31, 2012, the Company had long-term senior notes outstanding with a recorded book value of $250.0 million. The fair value of these notes, which bear interest at a fixed rate of 7.375%, was $268.1 million at December 31, 2012 based on market prices. Assuming a 10% decrease in interest rates from the rates at December 31, 2012 the fair value of this fixed rate debt would have increased to $277.6 million.</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420"/>
          </w:cols>
          <w:pgMar w:left="240" w:top="455" w:right="239" w:bottom="1440" w:gutter="0" w:footer="0" w:header="0"/>
        </w:sectPr>
      </w:pPr>
    </w:p>
    <w:bookmarkStart w:id="53" w:name="page54"/>
    <w:bookmarkEnd w:id="5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firstLine="456"/>
        <w:spacing w:after="0" w:line="253" w:lineRule="auto"/>
        <w:rPr>
          <w:sz w:val="20"/>
          <w:szCs w:val="20"/>
          <w:color w:val="auto"/>
        </w:rPr>
      </w:pPr>
      <w:r>
        <w:rPr>
          <w:rFonts w:ascii="Times New Roman" w:cs="Times New Roman" w:eastAsia="Times New Roman" w:hAnsi="Times New Roman"/>
          <w:sz w:val="18"/>
          <w:szCs w:val="18"/>
          <w:color w:val="auto"/>
        </w:rPr>
        <w:t>A significant operating cost for the Company is diesel fuel, which represents approximately 10% of the Company’s costs of contract revenues. The Company uses fuel commodity forward contracts, typically with durations of less than one year, to reduce the impacts of changing fuel prices on operations. The Company does not purchase fuel hedges for trading purposes. Based on the Company’s 2013 projected domestic fuel consumption, a 10% increase in the average price per gallon of fuel would have an immaterial effect on fuel expense, after the effect of fuel commodity contracts in place at December 31, 2012. At December 31, 2012 the Company had outstanding arrangements to hedge the price of a portion of its fuel purchases related to domestic dredging work in backlog, representing approximately 80% of its anticipated domestic fuel requirements for 2012. As of December 31, 2012, there were 5.0 million gallons remaining on these contracts. Under these agreements, the Company will pay fixed prices ranging from $3.01 to $3.29 per gallon. At December 31, 2012, the fair value asset on these contracts was estimated to be $0.5 million, based on quoted market prices and is recorded in other current assets. A 10% change in forward fuel prices would result in an immaterial change in the fair value of fuel hedges outstanding at December 31, 2012.</w:t>
      </w:r>
    </w:p>
    <w:p>
      <w:pPr>
        <w:spacing w:after="0" w:line="263"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8.</w:t>
      </w:r>
      <w:r>
        <w:rPr>
          <w:sz w:val="20"/>
          <w:szCs w:val="20"/>
          <w:color w:val="auto"/>
        </w:rPr>
        <w:tab/>
      </w:r>
      <w:r>
        <w:rPr>
          <w:rFonts w:ascii="Times New Roman" w:cs="Times New Roman" w:eastAsia="Times New Roman" w:hAnsi="Times New Roman"/>
          <w:sz w:val="16"/>
          <w:szCs w:val="16"/>
          <w:b w:val="1"/>
          <w:bCs w:val="1"/>
          <w:color w:val="auto"/>
        </w:rPr>
        <w:t>Financial Statements and Supplementary Data</w:t>
      </w:r>
    </w:p>
    <w:p>
      <w:pPr>
        <w:spacing w:after="0" w:line="92" w:lineRule="exact"/>
        <w:rPr>
          <w:sz w:val="20"/>
          <w:szCs w:val="20"/>
          <w:color w:val="auto"/>
        </w:rPr>
      </w:pPr>
    </w:p>
    <w:p>
      <w:pPr>
        <w:jc w:val="both"/>
        <w:ind w:right="100" w:firstLine="456"/>
        <w:spacing w:after="0" w:line="258" w:lineRule="auto"/>
        <w:rPr>
          <w:sz w:val="20"/>
          <w:szCs w:val="20"/>
          <w:color w:val="auto"/>
        </w:rPr>
      </w:pPr>
      <w:r>
        <w:rPr>
          <w:rFonts w:ascii="Times New Roman" w:cs="Times New Roman" w:eastAsia="Times New Roman" w:hAnsi="Times New Roman"/>
          <w:sz w:val="18"/>
          <w:szCs w:val="18"/>
          <w:color w:val="auto"/>
        </w:rPr>
        <w:t>The consolidated financial statements (including financial statement schedules listed under Item 15 of this Report) of the Company called for by this Item, together with the Report of Independent Registered Public Accounting Firm dated March 29, 2013, are set forth on pages 60 to 98 inclusive, of this Report, and are hereby incorporated by reference into this Item. Financial statement schedules not included in this Report have been omitted because they are not applicable or because the information called for is shown in the consolidated financial statements or notes thereto.</w:t>
      </w:r>
    </w:p>
    <w:p>
      <w:pPr>
        <w:spacing w:after="0" w:line="1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420"/>
          </w:cols>
          <w:pgMar w:left="240" w:top="455" w:right="239" w:bottom="1440" w:gutter="0" w:footer="0" w:header="0"/>
        </w:sectPr>
      </w:pPr>
    </w:p>
    <w:bookmarkStart w:id="54" w:name="page55"/>
    <w:bookmarkEnd w:id="5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Quarterly Results of Operations (Unaudited)</w:t>
      </w:r>
    </w:p>
    <w:p>
      <w:pPr>
        <w:spacing w:after="0" w:line="92" w:lineRule="exact"/>
        <w:rPr>
          <w:sz w:val="20"/>
          <w:szCs w:val="20"/>
          <w:color w:val="auto"/>
        </w:rPr>
      </w:pPr>
    </w:p>
    <w:p>
      <w:pPr>
        <w:ind w:right="140" w:firstLine="456"/>
        <w:spacing w:after="0" w:line="255" w:lineRule="auto"/>
        <w:rPr>
          <w:sz w:val="20"/>
          <w:szCs w:val="20"/>
          <w:color w:val="auto"/>
        </w:rPr>
      </w:pPr>
      <w:r>
        <w:rPr>
          <w:rFonts w:ascii="Times New Roman" w:cs="Times New Roman" w:eastAsia="Times New Roman" w:hAnsi="Times New Roman"/>
          <w:sz w:val="18"/>
          <w:szCs w:val="18"/>
          <w:color w:val="auto"/>
        </w:rPr>
        <w:t>The following tables set forth our unaudited quarterly results of operations for 2012 and 2011. We have prepared this unaudited information on a basis consistent with the audited consolidated financial statements contained in this report and this unaudited information includes all adjustments, consisting only of normal recurring adjustments that we consider necessary for a fair presentation of our results of operations for the quarters presented. You should read this quarterly financial data along with the Condensed Consolidated Financial Statements and the related notes to those statements included in our Quarterly Reports on Form 10-Q filed with the Commission. The operating results for any quarter are not necessarily indicative of the results for the annual period or any future period.</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Quarter Ended</w:t>
            </w:r>
          </w:p>
        </w:tc>
        <w:tc>
          <w:tcPr>
            <w:tcW w:w="5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5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2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w w:val="92"/>
              </w:rPr>
              <w:t>June 30,</w:t>
            </w:r>
          </w:p>
        </w:tc>
        <w:tc>
          <w:tcPr>
            <w:tcW w:w="600" w:type="dxa"/>
            <w:vAlign w:val="bottom"/>
          </w:tcPr>
          <w:p>
            <w:pPr>
              <w:spacing w:after="0"/>
              <w:rPr>
                <w:sz w:val="14"/>
                <w:szCs w:val="14"/>
                <w:color w:val="auto"/>
              </w:rPr>
            </w:pPr>
          </w:p>
        </w:tc>
        <w:tc>
          <w:tcPr>
            <w:tcW w:w="1360" w:type="dxa"/>
            <w:vAlign w:val="bottom"/>
            <w:gridSpan w:val="3"/>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w w:val="95"/>
              </w:rPr>
              <w:t>December 31,</w:t>
            </w:r>
          </w:p>
        </w:tc>
        <w:tc>
          <w:tcPr>
            <w:tcW w:w="0" w:type="dxa"/>
            <w:vAlign w:val="bottom"/>
          </w:tcPr>
          <w:p>
            <w:pPr>
              <w:spacing w:after="0"/>
              <w:rPr>
                <w:sz w:val="1"/>
                <w:szCs w:val="1"/>
                <w:color w:val="auto"/>
              </w:rPr>
            </w:pPr>
          </w:p>
        </w:tc>
      </w:tr>
      <w:tr>
        <w:trPr>
          <w:trHeight w:val="125"/>
        </w:trPr>
        <w:tc>
          <w:tcPr>
            <w:tcW w:w="52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gridSpan w:val="2"/>
          </w:tcPr>
          <w:p>
            <w:pPr>
              <w:jc w:val="center"/>
              <w:spacing w:after="0" w:line="125" w:lineRule="exact"/>
              <w:rPr>
                <w:sz w:val="20"/>
                <w:szCs w:val="20"/>
                <w:color w:val="auto"/>
              </w:rPr>
            </w:pPr>
            <w:r>
              <w:rPr>
                <w:rFonts w:ascii="Times New Roman" w:cs="Times New Roman" w:eastAsia="Times New Roman" w:hAnsi="Times New Roman"/>
                <w:sz w:val="14"/>
                <w:szCs w:val="14"/>
                <w:b w:val="1"/>
                <w:bCs w:val="1"/>
                <w:color w:val="auto"/>
                <w:w w:val="98"/>
              </w:rPr>
              <w:t>Unaudited</w:t>
            </w:r>
          </w:p>
        </w:tc>
        <w:tc>
          <w:tcPr>
            <w:tcW w:w="540" w:type="dxa"/>
            <w:vAlign w:val="bottom"/>
            <w:tcBorders>
              <w:top w:val="single" w:sz="8" w:color="auto"/>
            </w:tcBorders>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5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20" w:type="dxa"/>
            <w:vAlign w:val="bottom"/>
            <w:gridSpan w:val="12"/>
          </w:tcPr>
          <w:p>
            <w:pPr>
              <w:jc w:val="center"/>
              <w:ind w:right="920"/>
              <w:spacing w:after="0"/>
              <w:rPr>
                <w:sz w:val="20"/>
                <w:szCs w:val="20"/>
                <w:color w:val="auto"/>
              </w:rPr>
            </w:pPr>
            <w:r>
              <w:rPr>
                <w:rFonts w:ascii="Times New Roman" w:cs="Times New Roman" w:eastAsia="Times New Roman" w:hAnsi="Times New Roman"/>
                <w:sz w:val="14"/>
                <w:szCs w:val="14"/>
                <w:b w:val="1"/>
                <w:bCs w:val="1"/>
                <w:color w:val="auto"/>
                <w:w w:val="96"/>
              </w:rPr>
              <w:t>(dollars in millions except shares in thousands and per share data)</w:t>
            </w: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2012</w:t>
            </w: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Contract revenues</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154.9</w:t>
            </w:r>
          </w:p>
        </w:tc>
        <w:tc>
          <w:tcPr>
            <w:tcW w:w="12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163.1</w:t>
            </w:r>
          </w:p>
        </w:tc>
        <w:tc>
          <w:tcPr>
            <w:tcW w:w="1020" w:type="dxa"/>
            <w:vAlign w:val="bottom"/>
            <w:gridSpan w:val="2"/>
          </w:tcPr>
          <w:p>
            <w:pPr>
              <w:jc w:val="right"/>
              <w:ind w:right="265"/>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162.5</w:t>
            </w:r>
          </w:p>
        </w:tc>
        <w:tc>
          <w:tcPr>
            <w:tcW w:w="400" w:type="dxa"/>
            <w:vAlign w:val="bottom"/>
          </w:tcPr>
          <w:p>
            <w:pPr>
              <w:spacing w:after="0"/>
              <w:rPr>
                <w:sz w:val="18"/>
                <w:szCs w:val="18"/>
                <w:color w:val="auto"/>
              </w:rPr>
            </w:pP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207.1</w:t>
            </w: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Costs of contract revenues</w:t>
            </w: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(134.9)</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(144.4)</w:t>
            </w:r>
          </w:p>
        </w:tc>
        <w:tc>
          <w:tcPr>
            <w:tcW w:w="6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(154.7)</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(185.2)</w:t>
            </w:r>
          </w:p>
        </w:tc>
        <w:tc>
          <w:tcPr>
            <w:tcW w:w="0" w:type="dxa"/>
            <w:vAlign w:val="bottom"/>
          </w:tcPr>
          <w:p>
            <w:pPr>
              <w:spacing w:after="0"/>
              <w:rPr>
                <w:sz w:val="1"/>
                <w:szCs w:val="1"/>
                <w:color w:val="auto"/>
              </w:rPr>
            </w:pPr>
          </w:p>
        </w:tc>
      </w:tr>
      <w:tr>
        <w:trPr>
          <w:trHeight w:val="222"/>
        </w:trPr>
        <w:tc>
          <w:tcPr>
            <w:tcW w:w="52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Gross profit</w:t>
            </w:r>
          </w:p>
        </w:tc>
        <w:tc>
          <w:tcPr>
            <w:tcW w:w="5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4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(13.3)</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(11.4)</w:t>
            </w:r>
          </w:p>
        </w:tc>
        <w:tc>
          <w:tcPr>
            <w:tcW w:w="6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(11.7)</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(17.1)</w:t>
            </w:r>
          </w:p>
        </w:tc>
        <w:tc>
          <w:tcPr>
            <w:tcW w:w="0" w:type="dxa"/>
            <w:vAlign w:val="bottom"/>
          </w:tcPr>
          <w:p>
            <w:pPr>
              <w:spacing w:after="0"/>
              <w:rPr>
                <w:sz w:val="1"/>
                <w:szCs w:val="1"/>
                <w:color w:val="auto"/>
              </w:rPr>
            </w:pPr>
          </w:p>
        </w:tc>
      </w:tr>
      <w:tr>
        <w:trPr>
          <w:trHeight w:val="216"/>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Gain on sale of assets — net</w:t>
            </w: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(0.1)</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(0.1)</w:t>
            </w:r>
          </w:p>
        </w:tc>
        <w:tc>
          <w:tcPr>
            <w:tcW w:w="6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(0.1)</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7"/>
        </w:trPr>
        <w:tc>
          <w:tcPr>
            <w:tcW w:w="5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2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Operating income (loss)</w:t>
            </w: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7.4</w:t>
            </w:r>
          </w:p>
        </w:tc>
        <w:tc>
          <w:tcPr>
            <w:tcW w:w="6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(3.8)</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16"/>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 — net</w:t>
            </w: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(5.3)</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(5.4)</w:t>
            </w:r>
          </w:p>
        </w:tc>
        <w:tc>
          <w:tcPr>
            <w:tcW w:w="6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(5.1)</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in earnings (loss) of joint ventures</w:t>
            </w: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Loss on foreign currency transactions — net</w:t>
            </w: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7"/>
        </w:trPr>
        <w:tc>
          <w:tcPr>
            <w:tcW w:w="5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2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2.0</w:t>
            </w:r>
          </w:p>
        </w:tc>
        <w:tc>
          <w:tcPr>
            <w:tcW w:w="6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(8.7)</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16"/>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Income tax (provision) benefit</w:t>
            </w: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(0.6)</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(0.8)</w:t>
            </w:r>
          </w:p>
        </w:tc>
        <w:tc>
          <w:tcPr>
            <w:tcW w:w="6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7"/>
        </w:trPr>
        <w:tc>
          <w:tcPr>
            <w:tcW w:w="5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2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Net income (loss)</w:t>
            </w: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1.2</w:t>
            </w:r>
          </w:p>
        </w:tc>
        <w:tc>
          <w:tcPr>
            <w:tcW w:w="6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(5.3)</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23"/>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Net loss attributable to noncontrolling interests</w:t>
            </w: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0.1</w:t>
            </w:r>
          </w:p>
        </w:tc>
        <w:tc>
          <w:tcPr>
            <w:tcW w:w="6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4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202"/>
        </w:trPr>
        <w:tc>
          <w:tcPr>
            <w:tcW w:w="5200" w:type="dxa"/>
            <w:vAlign w:val="bottom"/>
            <w:shd w:val="clear" w:color="auto" w:fill="CCEEFF"/>
          </w:tcPr>
          <w:p>
            <w:pPr>
              <w:ind w:left="440"/>
              <w:spacing w:after="0" w:line="201" w:lineRule="exact"/>
              <w:rPr>
                <w:sz w:val="20"/>
                <w:szCs w:val="20"/>
                <w:color w:val="auto"/>
              </w:rPr>
            </w:pPr>
            <w:r>
              <w:rPr>
                <w:rFonts w:ascii="Times New Roman" w:cs="Times New Roman" w:eastAsia="Times New Roman" w:hAnsi="Times New Roman"/>
                <w:sz w:val="18"/>
                <w:szCs w:val="18"/>
                <w:color w:val="auto"/>
              </w:rPr>
              <w:t>Net income (loss) attributable to Great Lakes Dredge &amp; Dock</w:t>
            </w:r>
          </w:p>
        </w:tc>
        <w:tc>
          <w:tcPr>
            <w:tcW w:w="58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2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Corporation</w:t>
            </w:r>
          </w:p>
        </w:tc>
        <w:tc>
          <w:tcPr>
            <w:tcW w:w="58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1.3</w:t>
            </w:r>
          </w:p>
        </w:tc>
        <w:tc>
          <w:tcPr>
            <w:tcW w:w="1020" w:type="dxa"/>
            <w:vAlign w:val="bottom"/>
            <w:gridSpan w:val="2"/>
            <w:shd w:val="clear" w:color="auto" w:fill="CCEEFF"/>
          </w:tcPr>
          <w:p>
            <w:pPr>
              <w:jc w:val="right"/>
              <w:ind w:right="265"/>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(5.3)</w:t>
            </w: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0"/>
        </w:trPr>
        <w:tc>
          <w:tcPr>
            <w:tcW w:w="52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Basic earnings (loss) per share</w:t>
            </w:r>
          </w:p>
        </w:tc>
        <w:tc>
          <w:tcPr>
            <w:tcW w:w="5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200" w:type="dxa"/>
            <w:vAlign w:val="bottom"/>
            <w:vMerge w:val="continue"/>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20" w:type="dxa"/>
            <w:vAlign w:val="bottom"/>
          </w:tcPr>
          <w:p>
            <w:pPr>
              <w:jc w:val="right"/>
              <w:ind w:right="265"/>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(0.09)</w:t>
            </w:r>
          </w:p>
        </w:tc>
        <w:tc>
          <w:tcPr>
            <w:tcW w:w="3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weighted average shares</w:t>
            </w: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59,038</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59,171</w:t>
            </w:r>
          </w:p>
        </w:tc>
        <w:tc>
          <w:tcPr>
            <w:tcW w:w="6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59,253</w:t>
            </w: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59,316</w:t>
            </w:r>
          </w:p>
        </w:tc>
        <w:tc>
          <w:tcPr>
            <w:tcW w:w="0" w:type="dxa"/>
            <w:vAlign w:val="bottom"/>
          </w:tcPr>
          <w:p>
            <w:pPr>
              <w:spacing w:after="0"/>
              <w:rPr>
                <w:sz w:val="1"/>
                <w:szCs w:val="1"/>
                <w:color w:val="auto"/>
              </w:rPr>
            </w:pPr>
          </w:p>
        </w:tc>
      </w:tr>
      <w:tr>
        <w:trPr>
          <w:trHeight w:val="216"/>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Diluted earnings (loss) per share</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12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0.02</w:t>
            </w:r>
          </w:p>
        </w:tc>
        <w:tc>
          <w:tcPr>
            <w:tcW w:w="1020" w:type="dxa"/>
            <w:vAlign w:val="bottom"/>
            <w:gridSpan w:val="2"/>
          </w:tcPr>
          <w:p>
            <w:pPr>
              <w:jc w:val="right"/>
              <w:ind w:right="265"/>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(0.09)</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0.01</w:t>
            </w: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 weighted average shares</w:t>
            </w: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59,434</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59,534</w:t>
            </w:r>
          </w:p>
        </w:tc>
        <w:tc>
          <w:tcPr>
            <w:tcW w:w="6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59,253</w:t>
            </w: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59,851</w:t>
            </w:r>
          </w:p>
        </w:tc>
        <w:tc>
          <w:tcPr>
            <w:tcW w:w="0" w:type="dxa"/>
            <w:vAlign w:val="bottom"/>
          </w:tcPr>
          <w:p>
            <w:pPr>
              <w:spacing w:after="0"/>
              <w:rPr>
                <w:sz w:val="1"/>
                <w:szCs w:val="1"/>
                <w:color w:val="auto"/>
              </w:rPr>
            </w:pPr>
          </w:p>
        </w:tc>
      </w:tr>
      <w:tr>
        <w:trPr>
          <w:trHeight w:val="363"/>
        </w:trPr>
        <w:tc>
          <w:tcPr>
            <w:tcW w:w="5200" w:type="dxa"/>
            <w:vAlign w:val="bottom"/>
          </w:tcPr>
          <w:p>
            <w:pPr>
              <w:spacing w:after="0"/>
              <w:rPr>
                <w:sz w:val="24"/>
                <w:szCs w:val="24"/>
                <w:color w:val="auto"/>
              </w:rPr>
            </w:pPr>
          </w:p>
        </w:tc>
        <w:tc>
          <w:tcPr>
            <w:tcW w:w="740" w:type="dxa"/>
            <w:vAlign w:val="bottom"/>
            <w:gridSpan w:val="2"/>
          </w:tcPr>
          <w:p>
            <w:pPr>
              <w:jc w:val="right"/>
              <w:ind w:right="59"/>
              <w:spacing w:after="0"/>
              <w:rPr>
                <w:sz w:val="20"/>
                <w:szCs w:val="20"/>
                <w:color w:val="auto"/>
              </w:rPr>
            </w:pPr>
            <w:r>
              <w:rPr>
                <w:rFonts w:ascii="Times New Roman" w:cs="Times New Roman" w:eastAsia="Times New Roman" w:hAnsi="Times New Roman"/>
                <w:sz w:val="18"/>
                <w:szCs w:val="18"/>
                <w:color w:val="auto"/>
              </w:rPr>
              <w:t>53</w:t>
            </w: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5" w:right="239" w:bottom="1440" w:gutter="0" w:footer="0" w:header="0"/>
        </w:sectPr>
      </w:pPr>
    </w:p>
    <w:bookmarkStart w:id="55" w:name="page56"/>
    <w:bookmarkEnd w:id="5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Quarter Ended</w:t>
            </w:r>
          </w:p>
        </w:tc>
        <w:tc>
          <w:tcPr>
            <w:tcW w:w="5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65"/>
        </w:trPr>
        <w:tc>
          <w:tcPr>
            <w:tcW w:w="50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2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w w:val="92"/>
              </w:rPr>
              <w:t>June 30,</w:t>
            </w:r>
          </w:p>
        </w:tc>
        <w:tc>
          <w:tcPr>
            <w:tcW w:w="600" w:type="dxa"/>
            <w:vAlign w:val="bottom"/>
          </w:tcPr>
          <w:p>
            <w:pPr>
              <w:spacing w:after="0"/>
              <w:rPr>
                <w:sz w:val="14"/>
                <w:szCs w:val="14"/>
                <w:color w:val="auto"/>
              </w:rPr>
            </w:pPr>
          </w:p>
        </w:tc>
        <w:tc>
          <w:tcPr>
            <w:tcW w:w="1360" w:type="dxa"/>
            <w:vAlign w:val="bottom"/>
            <w:gridSpan w:val="3"/>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w w:val="95"/>
              </w:rPr>
              <w:t>December 31,</w:t>
            </w:r>
          </w:p>
        </w:tc>
      </w:tr>
      <w:tr>
        <w:trPr>
          <w:trHeight w:val="125"/>
        </w:trPr>
        <w:tc>
          <w:tcPr>
            <w:tcW w:w="50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gridSpan w:val="2"/>
          </w:tcPr>
          <w:p>
            <w:pPr>
              <w:jc w:val="center"/>
              <w:spacing w:after="0" w:line="125" w:lineRule="exact"/>
              <w:rPr>
                <w:sz w:val="20"/>
                <w:szCs w:val="20"/>
                <w:color w:val="auto"/>
              </w:rPr>
            </w:pPr>
            <w:r>
              <w:rPr>
                <w:rFonts w:ascii="Times New Roman" w:cs="Times New Roman" w:eastAsia="Times New Roman" w:hAnsi="Times New Roman"/>
                <w:sz w:val="14"/>
                <w:szCs w:val="14"/>
                <w:b w:val="1"/>
                <w:bCs w:val="1"/>
                <w:color w:val="auto"/>
                <w:w w:val="98"/>
              </w:rPr>
              <w:t>Unaudited</w:t>
            </w:r>
          </w:p>
        </w:tc>
        <w:tc>
          <w:tcPr>
            <w:tcW w:w="540" w:type="dxa"/>
            <w:vAlign w:val="bottom"/>
            <w:tcBorders>
              <w:top w:val="single" w:sz="8" w:color="auto"/>
            </w:tcBorders>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r>
      <w:tr>
        <w:trPr>
          <w:trHeight w:val="165"/>
        </w:trPr>
        <w:tc>
          <w:tcPr>
            <w:tcW w:w="50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20" w:type="dxa"/>
            <w:vAlign w:val="bottom"/>
            <w:gridSpan w:val="12"/>
          </w:tcPr>
          <w:p>
            <w:pPr>
              <w:jc w:val="center"/>
              <w:ind w:right="920"/>
              <w:spacing w:after="0"/>
              <w:rPr>
                <w:sz w:val="20"/>
                <w:szCs w:val="20"/>
                <w:color w:val="auto"/>
              </w:rPr>
            </w:pPr>
            <w:r>
              <w:rPr>
                <w:rFonts w:ascii="Times New Roman" w:cs="Times New Roman" w:eastAsia="Times New Roman" w:hAnsi="Times New Roman"/>
                <w:sz w:val="14"/>
                <w:szCs w:val="14"/>
                <w:b w:val="1"/>
                <w:bCs w:val="1"/>
                <w:color w:val="auto"/>
                <w:w w:val="96"/>
              </w:rPr>
              <w:t>(dollars in millions except shares in thousands and per share data)</w:t>
            </w:r>
          </w:p>
        </w:tc>
      </w:tr>
      <w:tr>
        <w:trPr>
          <w:trHeight w:val="216"/>
        </w:trPr>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2011</w:t>
            </w: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Contract revenues</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155.3</w:t>
            </w:r>
          </w:p>
        </w:tc>
        <w:tc>
          <w:tcPr>
            <w:tcW w:w="12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155.0</w:t>
            </w:r>
          </w:p>
        </w:tc>
        <w:tc>
          <w:tcPr>
            <w:tcW w:w="1020" w:type="dxa"/>
            <w:vAlign w:val="bottom"/>
            <w:gridSpan w:val="2"/>
          </w:tcPr>
          <w:p>
            <w:pPr>
              <w:jc w:val="right"/>
              <w:ind w:right="272"/>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158.5</w:t>
            </w:r>
          </w:p>
        </w:tc>
        <w:tc>
          <w:tcPr>
            <w:tcW w:w="400" w:type="dxa"/>
            <w:vAlign w:val="bottom"/>
          </w:tcPr>
          <w:p>
            <w:pPr>
              <w:spacing w:after="0"/>
              <w:rPr>
                <w:sz w:val="18"/>
                <w:szCs w:val="18"/>
                <w:color w:val="auto"/>
              </w:rPr>
            </w:pP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158.6</w:t>
            </w:r>
          </w:p>
        </w:tc>
      </w:tr>
      <w:tr>
        <w:trPr>
          <w:trHeight w:val="216"/>
        </w:trPr>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Costs of contract revenues</w:t>
            </w: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(127.9)</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(135.2)</w:t>
            </w:r>
          </w:p>
        </w:tc>
        <w:tc>
          <w:tcPr>
            <w:tcW w:w="6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(131.1)</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(140.2)</w:t>
            </w:r>
          </w:p>
        </w:tc>
      </w:tr>
      <w:tr>
        <w:trPr>
          <w:trHeight w:val="222"/>
        </w:trPr>
        <w:tc>
          <w:tcPr>
            <w:tcW w:w="50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Gross profit</w:t>
            </w:r>
          </w:p>
        </w:tc>
        <w:tc>
          <w:tcPr>
            <w:tcW w:w="7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27.4</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27.4</w:t>
            </w:r>
          </w:p>
        </w:tc>
        <w:tc>
          <w:tcPr>
            <w:tcW w:w="4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100" w:type="dxa"/>
            <w:vAlign w:val="bottom"/>
          </w:tcPr>
          <w:p>
            <w:pPr>
              <w:spacing w:after="0"/>
              <w:rPr>
                <w:sz w:val="19"/>
                <w:szCs w:val="19"/>
                <w:color w:val="auto"/>
              </w:rPr>
            </w:pPr>
          </w:p>
        </w:tc>
      </w:tr>
      <w:tr>
        <w:trPr>
          <w:trHeight w:val="217"/>
        </w:trPr>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(12.1)</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(13.6)</w:t>
            </w:r>
          </w:p>
        </w:tc>
        <w:tc>
          <w:tcPr>
            <w:tcW w:w="6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(12.7)</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(12.0)</w:t>
            </w:r>
          </w:p>
        </w:tc>
      </w:tr>
      <w:tr>
        <w:trPr>
          <w:trHeight w:val="216"/>
        </w:trPr>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Gain on sale of assets — net</w:t>
            </w: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(0.3)</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(2.5)</w:t>
            </w:r>
          </w:p>
        </w:tc>
        <w:tc>
          <w:tcPr>
            <w:tcW w:w="6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(0.1)</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(8.8)</w:t>
            </w:r>
          </w:p>
        </w:tc>
      </w:tr>
      <w:tr>
        <w:trPr>
          <w:trHeight w:val="27"/>
        </w:trPr>
        <w:tc>
          <w:tcPr>
            <w:tcW w:w="50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50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Operating income</w:t>
            </w: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8.7</w:t>
            </w:r>
          </w:p>
        </w:tc>
        <w:tc>
          <w:tcPr>
            <w:tcW w:w="6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15.2</w:t>
            </w:r>
          </w:p>
        </w:tc>
      </w:tr>
      <w:tr>
        <w:trPr>
          <w:trHeight w:val="216"/>
        </w:trPr>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 — net</w:t>
            </w: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(6.0)</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(4.9)</w:t>
            </w:r>
          </w:p>
        </w:tc>
        <w:tc>
          <w:tcPr>
            <w:tcW w:w="6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(5.6)</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(5.2)</w:t>
            </w:r>
          </w:p>
        </w:tc>
      </w:tr>
      <w:tr>
        <w:trPr>
          <w:trHeight w:val="216"/>
        </w:trPr>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in earnings (loss) of joint ventures</w:t>
            </w: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(0.6)</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(0.1)</w:t>
            </w:r>
          </w:p>
        </w:tc>
        <w:tc>
          <w:tcPr>
            <w:tcW w:w="6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(0.3)</w:t>
            </w:r>
          </w:p>
        </w:tc>
      </w:tr>
      <w:tr>
        <w:trPr>
          <w:trHeight w:val="216"/>
        </w:trPr>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Loss on foreign currency transactions — net</w:t>
            </w: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(0.5)</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0.3</w:t>
            </w:r>
          </w:p>
        </w:tc>
      </w:tr>
      <w:tr>
        <w:trPr>
          <w:trHeight w:val="216"/>
        </w:trPr>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(5.1)</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222"/>
        </w:trPr>
        <w:tc>
          <w:tcPr>
            <w:tcW w:w="50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7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4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Pr>
          <w:p>
            <w:pPr>
              <w:spacing w:after="0"/>
              <w:rPr>
                <w:sz w:val="19"/>
                <w:szCs w:val="19"/>
                <w:color w:val="auto"/>
              </w:rPr>
            </w:pPr>
          </w:p>
        </w:tc>
      </w:tr>
      <w:tr>
        <w:trPr>
          <w:trHeight w:val="217"/>
        </w:trPr>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provision</w:t>
            </w: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(1.5)</w:t>
            </w:r>
          </w:p>
        </w:tc>
        <w:tc>
          <w:tcPr>
            <w:tcW w:w="6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(3.6)</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(3.0)</w:t>
            </w:r>
          </w:p>
        </w:tc>
      </w:tr>
      <w:tr>
        <w:trPr>
          <w:trHeight w:val="222"/>
        </w:trPr>
        <w:tc>
          <w:tcPr>
            <w:tcW w:w="50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Net income</w:t>
            </w:r>
          </w:p>
        </w:tc>
        <w:tc>
          <w:tcPr>
            <w:tcW w:w="7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4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tcPr>
          <w:p>
            <w:pPr>
              <w:spacing w:after="0"/>
              <w:rPr>
                <w:sz w:val="19"/>
                <w:szCs w:val="19"/>
                <w:color w:val="auto"/>
              </w:rPr>
            </w:pPr>
          </w:p>
        </w:tc>
      </w:tr>
      <w:tr>
        <w:trPr>
          <w:trHeight w:val="217"/>
        </w:trPr>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(0.5)</w:t>
            </w:r>
          </w:p>
        </w:tc>
        <w:tc>
          <w:tcPr>
            <w:tcW w:w="6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(0.1)</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(0.2)</w:t>
            </w:r>
          </w:p>
        </w:tc>
      </w:tr>
      <w:tr>
        <w:trPr>
          <w:trHeight w:val="209"/>
        </w:trPr>
        <w:tc>
          <w:tcPr>
            <w:tcW w:w="50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Net income attributable to Great Lakes Dredge &amp; Dock</w:t>
            </w:r>
          </w:p>
        </w:tc>
        <w:tc>
          <w:tcPr>
            <w:tcW w:w="7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29"/>
        </w:trPr>
        <w:tc>
          <w:tcPr>
            <w:tcW w:w="50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Corporation</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1.7</w:t>
            </w:r>
          </w:p>
        </w:tc>
        <w:tc>
          <w:tcPr>
            <w:tcW w:w="1020" w:type="dxa"/>
            <w:vAlign w:val="bottom"/>
            <w:gridSpan w:val="2"/>
          </w:tcPr>
          <w:p>
            <w:pPr>
              <w:jc w:val="right"/>
              <w:ind w:right="272"/>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400" w:type="dxa"/>
            <w:vAlign w:val="bottom"/>
          </w:tcPr>
          <w:p>
            <w:pPr>
              <w:spacing w:after="0"/>
              <w:rPr>
                <w:sz w:val="19"/>
                <w:szCs w:val="19"/>
                <w:color w:val="auto"/>
              </w:rPr>
            </w:pP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6.8</w:t>
            </w:r>
          </w:p>
        </w:tc>
      </w:tr>
      <w:tr>
        <w:trPr>
          <w:trHeight w:val="20"/>
        </w:trPr>
        <w:tc>
          <w:tcPr>
            <w:tcW w:w="50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1"/>
        </w:trPr>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earnings per share</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0.03</w:t>
            </w:r>
          </w:p>
        </w:tc>
        <w:tc>
          <w:tcPr>
            <w:tcW w:w="1020" w:type="dxa"/>
            <w:vAlign w:val="bottom"/>
            <w:gridSpan w:val="2"/>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4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0.12</w:t>
            </w:r>
          </w:p>
        </w:tc>
      </w:tr>
      <w:tr>
        <w:trPr>
          <w:trHeight w:val="216"/>
        </w:trPr>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Basic weighted average shares</w:t>
            </w: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58,785</w:t>
            </w: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58,875</w:t>
            </w:r>
          </w:p>
        </w:tc>
        <w:tc>
          <w:tcPr>
            <w:tcW w:w="6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58,930</w:t>
            </w: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58,973</w:t>
            </w:r>
          </w:p>
        </w:tc>
      </w:tr>
      <w:tr>
        <w:trPr>
          <w:trHeight w:val="216"/>
        </w:trPr>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0.03</w:t>
            </w:r>
          </w:p>
        </w:tc>
        <w:tc>
          <w:tcPr>
            <w:tcW w:w="1020" w:type="dxa"/>
            <w:vAlign w:val="bottom"/>
            <w:gridSpan w:val="2"/>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0.09</w:t>
            </w:r>
          </w:p>
        </w:tc>
        <w:tc>
          <w:tcPr>
            <w:tcW w:w="4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0.12</w:t>
            </w:r>
          </w:p>
        </w:tc>
      </w:tr>
      <w:tr>
        <w:trPr>
          <w:trHeight w:val="228"/>
        </w:trPr>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Diluted weighted average shares</w:t>
            </w:r>
          </w:p>
        </w:tc>
        <w:tc>
          <w:tcPr>
            <w:tcW w:w="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59,237</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59,183</w:t>
            </w:r>
          </w:p>
        </w:tc>
        <w:tc>
          <w:tcPr>
            <w:tcW w:w="6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59,161</w:t>
            </w:r>
          </w:p>
        </w:tc>
        <w:tc>
          <w:tcPr>
            <w:tcW w:w="4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59,236</w:t>
            </w:r>
          </w:p>
        </w:tc>
      </w:tr>
    </w:tbl>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Items may not sum due to rounding.</w:t>
      </w:r>
    </w:p>
    <w:p>
      <w:pPr>
        <w:spacing w:after="0" w:line="291"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6"/>
          <w:szCs w:val="16"/>
          <w:b w:val="1"/>
          <w:bCs w:val="1"/>
          <w:color w:val="auto"/>
        </w:rPr>
        <w:t>Changes in and Disagreements With Accountants on Accounting and Financial Disclosure</w:t>
      </w:r>
    </w:p>
    <w:p>
      <w:pPr>
        <w:spacing w:after="0" w:line="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None.</w:t>
      </w:r>
    </w:p>
    <w:p>
      <w:pPr>
        <w:spacing w:after="0" w:line="291"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9A.</w:t>
      </w:r>
      <w:r>
        <w:rPr>
          <w:sz w:val="20"/>
          <w:szCs w:val="20"/>
          <w:color w:val="auto"/>
        </w:rPr>
        <w:tab/>
      </w:r>
      <w:r>
        <w:rPr>
          <w:rFonts w:ascii="Times New Roman" w:cs="Times New Roman" w:eastAsia="Times New Roman" w:hAnsi="Times New Roman"/>
          <w:sz w:val="16"/>
          <w:szCs w:val="16"/>
          <w:b w:val="1"/>
          <w:bCs w:val="1"/>
          <w:color w:val="auto"/>
        </w:rPr>
        <w:t>Controls and Procedures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Disclosure Controls and Procedures.</w:t>
      </w:r>
    </w:p>
    <w:p>
      <w:pPr>
        <w:spacing w:after="0" w:line="92" w:lineRule="exact"/>
        <w:rPr>
          <w:sz w:val="20"/>
          <w:szCs w:val="20"/>
          <w:color w:val="auto"/>
        </w:rPr>
      </w:pPr>
    </w:p>
    <w:p>
      <w:pPr>
        <w:ind w:right="60" w:firstLine="456"/>
        <w:spacing w:after="0" w:line="253" w:lineRule="auto"/>
        <w:rPr>
          <w:sz w:val="20"/>
          <w:szCs w:val="20"/>
          <w:color w:val="auto"/>
        </w:rPr>
      </w:pPr>
      <w:r>
        <w:rPr>
          <w:rFonts w:ascii="Times New Roman" w:cs="Times New Roman" w:eastAsia="Times New Roman" w:hAnsi="Times New Roman"/>
          <w:sz w:val="18"/>
          <w:szCs w:val="18"/>
          <w:color w:val="auto"/>
        </w:rPr>
        <w:t xml:space="preserve">Our management, with the participation of our Chief Executive Officer and Chief Financial Officer, has evaluated the effectiveness of the Company’s disclosure controls and procedures, as required by Rule 13a-15(b) under the Securities Exchange Act of 1934 (the “Exchange Act”) as of December 31, 2012. Based upon that evaluation, our Chief Executive Officer and Chief Financial Officer concluded that as of December 31, 2012, our disclosure controls and procedures were not effective in providing reasonable assurance that information required to be disclosed in the reports that we file or submit under the Exchange Act is a) accumulated and communicated to our management, including our Chief Executive Officer and Chief Financial Officer, as appropriate, to allow timely decisions regarding disclosure and b) recorded, processed, summarized and reported within the time periods specified in the Securities and Exchange Commission’s rules and forms, due to a material weakness in our internal control over financial reporting. Additional information regarding this material weakness, and the Remediation Plan (as defined below) that management has developed in response thereto, is included below under the captions </w:t>
      </w:r>
      <w:r>
        <w:rPr>
          <w:rFonts w:ascii="Times New Roman" w:cs="Times New Roman" w:eastAsia="Times New Roman" w:hAnsi="Times New Roman"/>
          <w:sz w:val="18"/>
          <w:szCs w:val="18"/>
          <w:i w:val="1"/>
          <w:iCs w:val="1"/>
          <w:color w:val="auto"/>
        </w:rPr>
        <w:t>Changes 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Internal Controls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Management’s Annual Report on Internal Control over Financial Reporting </w:t>
      </w:r>
      <w:r>
        <w:rPr>
          <w:rFonts w:ascii="Times New Roman" w:cs="Times New Roman" w:eastAsia="Times New Roman" w:hAnsi="Times New Roman"/>
          <w:sz w:val="18"/>
          <w:szCs w:val="18"/>
          <w:color w:val="auto"/>
        </w:rPr>
        <w:t>(the “Management Report”).</w:t>
      </w:r>
    </w:p>
    <w:p>
      <w:pPr>
        <w:spacing w:after="0" w:line="143" w:lineRule="exact"/>
        <w:rPr>
          <w:sz w:val="20"/>
          <w:szCs w:val="20"/>
          <w:color w:val="auto"/>
        </w:rPr>
      </w:pPr>
    </w:p>
    <w:p>
      <w:pPr>
        <w:ind w:right="360" w:firstLine="456"/>
        <w:spacing w:after="0" w:line="262" w:lineRule="auto"/>
        <w:rPr>
          <w:sz w:val="20"/>
          <w:szCs w:val="20"/>
          <w:color w:val="auto"/>
        </w:rPr>
      </w:pPr>
      <w:r>
        <w:rPr>
          <w:rFonts w:ascii="Times New Roman" w:cs="Times New Roman" w:eastAsia="Times New Roman" w:hAnsi="Times New Roman"/>
          <w:sz w:val="18"/>
          <w:szCs w:val="18"/>
          <w:color w:val="auto"/>
        </w:rPr>
        <w:t>Notwithstanding the material weakness that existed as of December 31, 2012, management has concluded that the consolidated financial statements included in this Annual Report on Form 10-K present fairly, in all material respects, the Company’s financial position, results of operations and cash flows in conformity with generally accepted accounting principles.</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1420"/>
          </w:cols>
          <w:pgMar w:left="240" w:top="455" w:right="239" w:bottom="1440" w:gutter="0" w:footer="0" w:header="0"/>
        </w:sectPr>
      </w:pPr>
    </w:p>
    <w:bookmarkStart w:id="56" w:name="page57"/>
    <w:bookmarkEnd w:id="5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Controls.</w:t>
      </w:r>
    </w:p>
    <w:p>
      <w:pPr>
        <w:spacing w:after="0" w:line="92" w:lineRule="exact"/>
        <w:rPr>
          <w:sz w:val="20"/>
          <w:szCs w:val="20"/>
          <w:color w:val="auto"/>
        </w:rPr>
      </w:pPr>
    </w:p>
    <w:p>
      <w:pPr>
        <w:ind w:right="180" w:firstLine="456"/>
        <w:spacing w:after="0" w:line="275"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(as defined in Rule 13a-15(f) under the Exchange Act) during the fiscal year ended December 31, 2012 that have materially affected, or are reasonably likely to materially affect, our internal control over financial reporting.</w:t>
      </w:r>
    </w:p>
    <w:p>
      <w:pPr>
        <w:spacing w:after="0" w:line="120" w:lineRule="exact"/>
        <w:rPr>
          <w:sz w:val="20"/>
          <w:szCs w:val="20"/>
          <w:color w:val="auto"/>
        </w:rPr>
      </w:pPr>
    </w:p>
    <w:p>
      <w:pPr>
        <w:ind w:firstLine="456"/>
        <w:spacing w:after="0" w:line="262" w:lineRule="auto"/>
        <w:rPr>
          <w:sz w:val="20"/>
          <w:szCs w:val="20"/>
          <w:color w:val="auto"/>
        </w:rPr>
      </w:pPr>
      <w:r>
        <w:rPr>
          <w:rFonts w:ascii="Times New Roman" w:cs="Times New Roman" w:eastAsia="Times New Roman" w:hAnsi="Times New Roman"/>
          <w:sz w:val="18"/>
          <w:szCs w:val="18"/>
          <w:color w:val="auto"/>
        </w:rPr>
        <w:t>Management has developed a remediation plan (the “Remediation Plan”) to address the material weakness that is described in the Management Report. The Remediation Plan is designed to ensure that each area affected by a material control weakness is remediated properly. The Remediation Plan includes the following actions:</w:t>
      </w:r>
    </w:p>
    <w:p>
      <w:pPr>
        <w:spacing w:after="0" w:line="51" w:lineRule="exact"/>
        <w:rPr>
          <w:sz w:val="20"/>
          <w:szCs w:val="20"/>
          <w:color w:val="auto"/>
        </w:rPr>
      </w:pPr>
    </w:p>
    <w:p>
      <w:pPr>
        <w:ind w:left="900" w:right="60" w:hanging="325"/>
        <w:spacing w:after="0" w:line="275" w:lineRule="auto"/>
        <w:tabs>
          <w:tab w:leader="none" w:pos="9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comprehensive review of the organizational resources at our demolition segment, focused on the project management and accounting functions, to determine the appropriate level of staffing and skills and to ensure those resources are put in place.</w:t>
      </w:r>
    </w:p>
    <w:p>
      <w:pPr>
        <w:spacing w:after="0" w:line="38"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finance team at the demolition segment will report directly to the corporate finance function, instead of divisional leadership.</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the level of resources in the accounting, internal audit and compliance functions at the corporate office.</w:t>
      </w:r>
    </w:p>
    <w:p>
      <w:pPr>
        <w:spacing w:after="0" w:line="90" w:lineRule="exact"/>
        <w:rPr>
          <w:rFonts w:ascii="Times New Roman" w:cs="Times New Roman" w:eastAsia="Times New Roman" w:hAnsi="Times New Roman"/>
          <w:sz w:val="18"/>
          <w:szCs w:val="18"/>
          <w:color w:val="auto"/>
        </w:rPr>
      </w:pPr>
    </w:p>
    <w:p>
      <w:pPr>
        <w:ind w:left="900" w:right="20" w:hanging="325"/>
        <w:spacing w:after="0" w:line="275" w:lineRule="auto"/>
        <w:tabs>
          <w:tab w:leader="none" w:pos="9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information technology systems in our demolition segment to ensure timely and accurate information is available for period-end reporting and analysis. The Company is currently installing new estimating and project management software at its demolition segment.</w:t>
      </w:r>
    </w:p>
    <w:p>
      <w:pPr>
        <w:spacing w:after="0" w:line="38" w:lineRule="exact"/>
        <w:rPr>
          <w:rFonts w:ascii="Times New Roman" w:cs="Times New Roman" w:eastAsia="Times New Roman" w:hAnsi="Times New Roman"/>
          <w:sz w:val="18"/>
          <w:szCs w:val="18"/>
          <w:color w:val="auto"/>
        </w:rPr>
      </w:pPr>
    </w:p>
    <w:p>
      <w:pPr>
        <w:ind w:left="900" w:right="500" w:hanging="325"/>
        <w:spacing w:after="0" w:line="275" w:lineRule="auto"/>
        <w:tabs>
          <w:tab w:leader="none" w:pos="9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Training all appropriate demolition segment and corporate accounting personnel regarding the application of the Company’s accounting policy regarding revenue recognition.</w:t>
      </w:r>
    </w:p>
    <w:p>
      <w:pPr>
        <w:spacing w:after="0" w:line="120" w:lineRule="exact"/>
        <w:rPr>
          <w:sz w:val="20"/>
          <w:szCs w:val="20"/>
          <w:color w:val="auto"/>
        </w:rPr>
      </w:pPr>
    </w:p>
    <w:p>
      <w:pPr>
        <w:ind w:right="240" w:firstLine="456"/>
        <w:spacing w:after="0" w:line="275" w:lineRule="auto"/>
        <w:rPr>
          <w:sz w:val="20"/>
          <w:szCs w:val="20"/>
          <w:color w:val="auto"/>
        </w:rPr>
      </w:pPr>
      <w:r>
        <w:rPr>
          <w:rFonts w:ascii="Times New Roman" w:cs="Times New Roman" w:eastAsia="Times New Roman" w:hAnsi="Times New Roman"/>
          <w:sz w:val="18"/>
          <w:szCs w:val="18"/>
          <w:color w:val="auto"/>
        </w:rPr>
        <w:t>The Remediation Plan will be administered by the Chief Financial Officer and will involve key leaders from across the organization, including the Chief Executive Officer and Chief Legal Officer.</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Management’s Annual Report on Internal Control over Financial Reporting</w:t>
      </w:r>
    </w:p>
    <w:p>
      <w:pPr>
        <w:spacing w:after="0" w:line="94" w:lineRule="exact"/>
        <w:rPr>
          <w:sz w:val="20"/>
          <w:szCs w:val="20"/>
          <w:color w:val="auto"/>
        </w:rPr>
      </w:pPr>
    </w:p>
    <w:p>
      <w:pPr>
        <w:ind w:right="40" w:firstLine="456"/>
        <w:spacing w:after="0" w:line="258" w:lineRule="auto"/>
        <w:rPr>
          <w:sz w:val="20"/>
          <w:szCs w:val="20"/>
          <w:color w:val="auto"/>
        </w:rPr>
      </w:pPr>
      <w:r>
        <w:rPr>
          <w:rFonts w:ascii="Times New Roman" w:cs="Times New Roman" w:eastAsia="Times New Roman" w:hAnsi="Times New Roman"/>
          <w:sz w:val="18"/>
          <w:szCs w:val="18"/>
          <w:color w:val="auto"/>
        </w:rPr>
        <w:t xml:space="preserve">The management of Great Lakes Dredge &amp; Dock Corporation, including its Chief Executive Officer and Chief Financial Officer, is responsible for establishing and maintaining adequate internal control over financial reporting (as defined in Rules 13a-15(f), and 15d-15(f) under the Securities Exchange Act of 1934). Management has used the framework set forth in the report entitled </w:t>
      </w:r>
      <w:r>
        <w:rPr>
          <w:rFonts w:ascii="Times New Roman" w:cs="Times New Roman" w:eastAsia="Times New Roman" w:hAnsi="Times New Roman"/>
          <w:sz w:val="18"/>
          <w:szCs w:val="18"/>
          <w:i w:val="1"/>
          <w:iCs w:val="1"/>
          <w:color w:val="auto"/>
        </w:rPr>
        <w:t>Internal Control—Integrated Framework</w:t>
      </w:r>
      <w:r>
        <w:rPr>
          <w:rFonts w:ascii="Times New Roman" w:cs="Times New Roman" w:eastAsia="Times New Roman" w:hAnsi="Times New Roman"/>
          <w:sz w:val="18"/>
          <w:szCs w:val="18"/>
          <w:color w:val="auto"/>
        </w:rPr>
        <w:t xml:space="preserve"> published by the Committee of Sponsoring Organizations of the Treadway Commission (“COSO”) to evaluate the effectiveness of the Company’s internal control over financial reporting.</w:t>
      </w:r>
    </w:p>
    <w:p>
      <w:pPr>
        <w:spacing w:after="0" w:line="136" w:lineRule="exact"/>
        <w:rPr>
          <w:sz w:val="20"/>
          <w:szCs w:val="20"/>
          <w:color w:val="auto"/>
        </w:rPr>
      </w:pPr>
    </w:p>
    <w:p>
      <w:pPr>
        <w:ind w:right="160" w:firstLine="456"/>
        <w:spacing w:after="0" w:line="256" w:lineRule="auto"/>
        <w:rPr>
          <w:sz w:val="20"/>
          <w:szCs w:val="20"/>
          <w:color w:val="auto"/>
        </w:rPr>
      </w:pPr>
      <w:r>
        <w:rPr>
          <w:rFonts w:ascii="Times New Roman" w:cs="Times New Roman" w:eastAsia="Times New Roman" w:hAnsi="Times New Roman"/>
          <w:sz w:val="18"/>
          <w:szCs w:val="18"/>
          <w:color w:val="auto"/>
        </w:rPr>
        <w:t>The Company completed the acquisition of certain assets of Terra on December 31, 2012. Since the Company has not fully incorporated the internal controls and procedures of this business into the Company’s internal control over financial reporting, management excluded this business from its assessment of the effectiveness of the Company’s internal control over financial reporting as of December 31, 2012. As of December 31, 2012, the Terra business constitutes approximately 4% and less than 1% of the Company’s total and net assets, respectively, and given the date of acquisition, had no impact on the Company’s revenues or operating income in 2012.</w:t>
      </w:r>
    </w:p>
    <w:p>
      <w:pPr>
        <w:spacing w:after="0" w:line="139" w:lineRule="exact"/>
        <w:rPr>
          <w:sz w:val="20"/>
          <w:szCs w:val="20"/>
          <w:color w:val="auto"/>
        </w:rPr>
      </w:pPr>
    </w:p>
    <w:p>
      <w:pPr>
        <w:ind w:right="60" w:firstLine="456"/>
        <w:spacing w:after="0" w:line="258" w:lineRule="auto"/>
        <w:rPr>
          <w:sz w:val="20"/>
          <w:szCs w:val="20"/>
          <w:color w:val="auto"/>
        </w:rPr>
      </w:pPr>
      <w:r>
        <w:rPr>
          <w:rFonts w:ascii="Times New Roman" w:cs="Times New Roman" w:eastAsia="Times New Roman" w:hAnsi="Times New Roman"/>
          <w:sz w:val="18"/>
          <w:szCs w:val="18"/>
          <w:color w:val="auto"/>
        </w:rPr>
        <w:t>The phrase internal control over financial reporting refers to the process designed by, or under the supervision of, our Chief Executive Officer and Chief Financial Officer, and overseen by our Board of Directors, management and other personnel, to provide reasonable assurance regarding the reliability of financial reporting and the preparation of financial statements for external purposes in accordance with generally accepted accounting principles, and includes those policies and procedures that:</w:t>
      </w:r>
    </w:p>
    <w:p>
      <w:pPr>
        <w:spacing w:after="0" w:line="55" w:lineRule="exact"/>
        <w:rPr>
          <w:sz w:val="20"/>
          <w:szCs w:val="20"/>
          <w:color w:val="auto"/>
        </w:rPr>
      </w:pPr>
    </w:p>
    <w:p>
      <w:pPr>
        <w:ind w:left="900" w:right="440" w:hanging="325"/>
        <w:spacing w:after="0" w:line="275" w:lineRule="auto"/>
        <w:tabs>
          <w:tab w:leader="none" w:pos="9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Pertain to the maintenance of records that, in reasonable detail, accurately and fairly reflect the transactions and dispositions of the assets of the Company;</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1420"/>
          </w:cols>
          <w:pgMar w:left="240" w:top="455" w:right="239" w:bottom="1440" w:gutter="0" w:footer="0" w:header="0"/>
        </w:sectPr>
      </w:pPr>
    </w:p>
    <w:bookmarkStart w:id="57" w:name="page58"/>
    <w:bookmarkEnd w:id="5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900" w:right="160" w:hanging="325"/>
        <w:spacing w:after="0" w:line="262" w:lineRule="auto"/>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w:t>
      </w:r>
    </w:p>
    <w:p>
      <w:pPr>
        <w:spacing w:after="0" w:line="51" w:lineRule="exact"/>
        <w:rPr>
          <w:rFonts w:ascii="Times New Roman" w:cs="Times New Roman" w:eastAsia="Times New Roman" w:hAnsi="Times New Roman"/>
          <w:sz w:val="18"/>
          <w:szCs w:val="18"/>
          <w:color w:val="auto"/>
        </w:rPr>
      </w:pPr>
    </w:p>
    <w:p>
      <w:pPr>
        <w:ind w:left="900" w:right="180" w:hanging="325"/>
        <w:spacing w:after="0" w:line="275" w:lineRule="auto"/>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reasonable assurance regarding prevention or timely detection of unauthorized acquisition, use or disposition of the Company’s assets that could have a material effect on the financial statements.</w:t>
      </w:r>
    </w:p>
    <w:p>
      <w:pPr>
        <w:spacing w:after="0" w:line="120"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Neither internal control over financial reporting nor disclosure controls and procedures can provide absolute assurance of achieving financial reporting objectives because of their inherent limitations. Internal control over financial reporting and disclosure controls are processes that involve human diligence and compliance, and are subject to lapses in judgment and breakdowns resulting from human failures. Internal control over financial reporting and disclosure controls also can be circumvented by collusion or improper management override. Because of such limitations, there is a risk that material misstatements may not be prevented, detected or reported on a timely basis by internal control over financial reporting or disclosure controls. However, these inherent limitations are known features of the financial reporting process. Therefore, it is possible to design safeguards for these processes that will reduce, although may not eliminate, these risks.</w:t>
      </w:r>
    </w:p>
    <w:p>
      <w:pPr>
        <w:spacing w:after="0" w:line="141"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Based on the criteria in the COSO Framework, management concluded that there was a material weakness and that the Company did not maintain effective internal control over financial reporting as of December 31, 2012. A material weakness in internal control over financial reporting is a deficiency, or a combination of deficiencies, in internal control over financial reporting such that there is a reasonable possibility that a material misstatement of a company’s annual or interim financial statements will not be prevented or detected on a timely basis. Specifically, management identified a weakness in the operation of our processes and controls to timely and consistently capture and analyze contract change orders in our demolition segment as a result of inadequate training of segment personnel and insufficient monitoring by corporate office personnel, such that we did not maintain effective internal control over revenue recognition with respect to accounting for pending change orders at our demolition segment.</w:t>
      </w:r>
    </w:p>
    <w:p>
      <w:pPr>
        <w:spacing w:after="0" w:line="141" w:lineRule="exact"/>
        <w:rPr>
          <w:sz w:val="20"/>
          <w:szCs w:val="20"/>
          <w:color w:val="auto"/>
        </w:rPr>
      </w:pPr>
    </w:p>
    <w:p>
      <w:pPr>
        <w:ind w:right="340" w:firstLine="456"/>
        <w:spacing w:after="0" w:line="262" w:lineRule="auto"/>
        <w:rPr>
          <w:sz w:val="20"/>
          <w:szCs w:val="20"/>
          <w:color w:val="auto"/>
        </w:rPr>
      </w:pPr>
      <w:r>
        <w:rPr>
          <w:rFonts w:ascii="Times New Roman" w:cs="Times New Roman" w:eastAsia="Times New Roman" w:hAnsi="Times New Roman"/>
          <w:sz w:val="18"/>
          <w:szCs w:val="18"/>
          <w:color w:val="auto"/>
        </w:rPr>
        <w:t>Management has discussed the material weakness described above with our Audit Committee and our independent registered public accounting firm, Deloitte &amp; Touche LLP (“Deloitte”). Deloitte, who audited Great Lakes’ consolidated financial statements included in this Form 10-K, has issued a report on Great Lakes’ internal control over financial reporting, which is included herein.</w:t>
      </w:r>
    </w:p>
    <w:p>
      <w:pPr>
        <w:spacing w:after="0" w:line="1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1380"/>
          </w:cols>
          <w:pgMar w:left="240" w:top="455" w:right="279" w:bottom="1440" w:gutter="0" w:footer="0" w:header="0"/>
        </w:sectPr>
      </w:pPr>
    </w:p>
    <w:bookmarkStart w:id="58" w:name="page59"/>
    <w:bookmarkEnd w:id="5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Board of Directors and Stockholders of</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Great Lakes Dredge &amp; Dock Corporation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Oak Brook, Illinois</w:t>
      </w:r>
    </w:p>
    <w:p>
      <w:pPr>
        <w:spacing w:after="0" w:line="78" w:lineRule="exact"/>
        <w:rPr>
          <w:sz w:val="20"/>
          <w:szCs w:val="20"/>
          <w:color w:val="auto"/>
        </w:rPr>
      </w:pPr>
    </w:p>
    <w:p>
      <w:pPr>
        <w:ind w:right="140" w:firstLine="456"/>
        <w:spacing w:after="0" w:line="253" w:lineRule="auto"/>
        <w:rPr>
          <w:sz w:val="20"/>
          <w:szCs w:val="20"/>
          <w:color w:val="auto"/>
        </w:rPr>
      </w:pPr>
      <w:r>
        <w:rPr>
          <w:rFonts w:ascii="Times New Roman" w:cs="Times New Roman" w:eastAsia="Times New Roman" w:hAnsi="Times New Roman"/>
          <w:sz w:val="18"/>
          <w:szCs w:val="18"/>
          <w:color w:val="auto"/>
        </w:rPr>
        <w:t xml:space="preserve">We have audited the internal control over financial reporting of Great Lakes Dredge &amp; Dock Corporation and subsidiaries (the “Company”) as of December 31, 2012, based on criteria established in </w:t>
      </w:r>
      <w:r>
        <w:rPr>
          <w:rFonts w:ascii="Times New Roman" w:cs="Times New Roman" w:eastAsia="Times New Roman" w:hAnsi="Times New Roman"/>
          <w:sz w:val="18"/>
          <w:szCs w:val="18"/>
          <w:i w:val="1"/>
          <w:iCs w:val="1"/>
          <w:color w:val="auto"/>
        </w:rPr>
        <w:t>Internal Control—Integrated Framework</w:t>
      </w:r>
      <w:r>
        <w:rPr>
          <w:rFonts w:ascii="Times New Roman" w:cs="Times New Roman" w:eastAsia="Times New Roman" w:hAnsi="Times New Roman"/>
          <w:sz w:val="18"/>
          <w:szCs w:val="18"/>
          <w:color w:val="auto"/>
        </w:rPr>
        <w:t xml:space="preserve"> issued by the Committee of Sponsoring Organizations of the Treadway Commission. As described in Management’s Annual Report on Internal Control over Financial Reporting, management excluded from its assessment the internal control over financial reporting of the Company’s Terra business (“Terra”), which was acquired on December 31, 2012 and whose financial statements constitute approximately 4% and less than 1% of total and net assets, respectively, and no revenues or operating income of the consolidated financial statement amounts for the year ended December 31, 2012. Accordingly, our audit did not include the internal control over financial reporting at Terra. 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w:t>
      </w:r>
    </w:p>
    <w:p>
      <w:pPr>
        <w:spacing w:after="0" w:line="62" w:lineRule="exact"/>
        <w:rPr>
          <w:sz w:val="20"/>
          <w:szCs w:val="20"/>
          <w:color w:val="auto"/>
        </w:rPr>
      </w:pPr>
    </w:p>
    <w:p>
      <w:pPr>
        <w:ind w:right="40" w:firstLine="456"/>
        <w:spacing w:after="0" w:line="256"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58" w:lineRule="exact"/>
        <w:rPr>
          <w:sz w:val="20"/>
          <w:szCs w:val="20"/>
          <w:color w:val="auto"/>
        </w:rPr>
      </w:pPr>
    </w:p>
    <w:p>
      <w:pPr>
        <w:ind w:firstLine="456"/>
        <w:spacing w:after="0" w:line="253"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by, or under the supervision of, the company’s principal executive and principal financial officers, or persons performing similar functions, and effected by the Company’s board of directors, management, and other personnel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62" w:lineRule="exact"/>
        <w:rPr>
          <w:sz w:val="20"/>
          <w:szCs w:val="20"/>
          <w:color w:val="auto"/>
        </w:rPr>
      </w:pPr>
    </w:p>
    <w:p>
      <w:pPr>
        <w:jc w:val="both"/>
        <w:ind w:right="120" w:firstLine="456"/>
        <w:spacing w:after="0" w:line="258" w:lineRule="auto"/>
        <w:rPr>
          <w:sz w:val="20"/>
          <w:szCs w:val="20"/>
          <w:color w:val="auto"/>
        </w:rPr>
      </w:pPr>
      <w:r>
        <w:rPr>
          <w:rFonts w:ascii="Times New Roman" w:cs="Times New Roman" w:eastAsia="Times New Roman" w:hAnsi="Times New Roman"/>
          <w:sz w:val="18"/>
          <w:szCs w:val="18"/>
          <w:color w:val="auto"/>
        </w:rPr>
        <w:t>Because of the inherent limitations of internal control over financial reporting, including the possibility of collusion or improper management override of controls, material misstatements due to error or fraud may not be prevented or detected on a timely basis. Also, projections of any evaluation of the effectiveness of the internal control over financial reporting to future periods are subject to the risk that the controls may become inadequate because of changes in conditions, or that the degree of compliance with the policies or procedures may deteriorate.</w:t>
      </w:r>
    </w:p>
    <w:p>
      <w:pPr>
        <w:spacing w:after="0" w:line="55" w:lineRule="exact"/>
        <w:rPr>
          <w:sz w:val="20"/>
          <w:szCs w:val="20"/>
          <w:color w:val="auto"/>
        </w:rPr>
      </w:pPr>
    </w:p>
    <w:p>
      <w:pPr>
        <w:ind w:right="40" w:firstLine="456"/>
        <w:spacing w:after="0" w:line="254" w:lineRule="auto"/>
        <w:rPr>
          <w:sz w:val="20"/>
          <w:szCs w:val="20"/>
          <w:color w:val="auto"/>
        </w:rPr>
      </w:pPr>
      <w:r>
        <w:rPr>
          <w:rFonts w:ascii="Times New Roman" w:cs="Times New Roman" w:eastAsia="Times New Roman" w:hAnsi="Times New Roman"/>
          <w:sz w:val="18"/>
          <w:szCs w:val="18"/>
          <w:color w:val="auto"/>
        </w:rPr>
        <w:t>A material weakness is a deficiency, or a combination of deficiencies, in internal control over financial reporting, such that there is a reasonable possibility that a material misstatement of the Company’s annual or interim financial statements will not be prevented or detected on a timely basis. A material weakness has been identified and included in management’s assessment regarding the operation of the Company’s processes and controls to timely and consistently capture and analyze contract change orders in its demolition segment as a result of inadequate training of segment personnel and insufficient monitoring by corporate office personnel, such that the Company did not maintain effective internal control over revenue recognition with respect to accounting for pending change orders at its demolition segment. This material weakness was considered in determining the nature, timing, and extent of audit tests applied in our audit of the consolidated financial statements and financial statement schedule as of and for the year ended December 31, 2012 of the Company and this report does not affect our report on such financial statements and financial statement schedule.</w:t>
      </w:r>
    </w:p>
    <w:p>
      <w:pPr>
        <w:spacing w:after="0" w:line="57" w:lineRule="exact"/>
        <w:rPr>
          <w:sz w:val="20"/>
          <w:szCs w:val="20"/>
          <w:color w:val="auto"/>
        </w:rPr>
      </w:pPr>
    </w:p>
    <w:p>
      <w:pPr>
        <w:ind w:firstLine="456"/>
        <w:spacing w:after="0" w:line="262" w:lineRule="auto"/>
        <w:rPr>
          <w:sz w:val="20"/>
          <w:szCs w:val="20"/>
          <w:color w:val="auto"/>
        </w:rPr>
      </w:pPr>
      <w:r>
        <w:rPr>
          <w:rFonts w:ascii="Times New Roman" w:cs="Times New Roman" w:eastAsia="Times New Roman" w:hAnsi="Times New Roman"/>
          <w:sz w:val="18"/>
          <w:szCs w:val="18"/>
          <w:color w:val="auto"/>
        </w:rPr>
        <w:t xml:space="preserve">In our opinion, because of the effect of the material weakness identified above on the achievement of the objectives of the control criteria, the Company has not maintained effective internal control over financial reporting as of December 31, 2012, based on the criteria established in </w:t>
      </w:r>
      <w:r>
        <w:rPr>
          <w:rFonts w:ascii="Times New Roman" w:cs="Times New Roman" w:eastAsia="Times New Roman" w:hAnsi="Times New Roman"/>
          <w:sz w:val="18"/>
          <w:szCs w:val="18"/>
          <w:i w:val="1"/>
          <w:iCs w:val="1"/>
          <w:color w:val="auto"/>
        </w:rPr>
        <w:t>Internal Control—Integrated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Framework </w:t>
      </w:r>
      <w:r>
        <w:rPr>
          <w:rFonts w:ascii="Times New Roman" w:cs="Times New Roman" w:eastAsia="Times New Roman" w:hAnsi="Times New Roman"/>
          <w:sz w:val="18"/>
          <w:szCs w:val="18"/>
          <w:color w:val="auto"/>
        </w:rPr>
        <w:t>issued by the Committee of Sponsoring Organizations of the Treadway Commission.</w:t>
      </w:r>
    </w:p>
    <w:p>
      <w:pPr>
        <w:spacing w:after="0" w:line="51" w:lineRule="exact"/>
        <w:rPr>
          <w:sz w:val="20"/>
          <w:szCs w:val="20"/>
          <w:color w:val="auto"/>
        </w:rPr>
      </w:pPr>
    </w:p>
    <w:p>
      <w:pPr>
        <w:ind w:right="180" w:firstLine="456"/>
        <w:spacing w:after="0" w:line="262" w:lineRule="auto"/>
        <w:rPr>
          <w:sz w:val="20"/>
          <w:szCs w:val="20"/>
          <w:color w:val="auto"/>
        </w:rPr>
      </w:pPr>
      <w:r>
        <w:rPr>
          <w:rFonts w:ascii="Times New Roman" w:cs="Times New Roman" w:eastAsia="Times New Roman" w:hAnsi="Times New Roman"/>
          <w:sz w:val="18"/>
          <w:szCs w:val="18"/>
          <w:color w:val="auto"/>
        </w:rPr>
        <w:t>We have also audited, in accordance with the standards of the Public Company Accounting Oversight Board (United States), the consolidated financial statements and financial statement schedule as of and for the year ended December 31, 2012 of the Company and our report dated March 29, 2013 expressed an unqualified opinion on those financial statements and financial statement schedule.</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Chicago, Illinois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29, 2013</w:t>
      </w:r>
    </w:p>
    <w:p>
      <w:pPr>
        <w:spacing w:after="0" w:line="1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1420"/>
          </w:cols>
          <w:pgMar w:left="240" w:top="455" w:right="239" w:bottom="1440" w:gutter="0" w:footer="0" w:header="0"/>
        </w:sectPr>
      </w:pPr>
    </w:p>
    <w:bookmarkStart w:id="59" w:name="page60"/>
    <w:bookmarkEnd w:id="5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9B.</w:t>
      </w:r>
      <w:r>
        <w:rPr>
          <w:sz w:val="20"/>
          <w:szCs w:val="20"/>
          <w:color w:val="auto"/>
        </w:rPr>
        <w:tab/>
      </w:r>
      <w:r>
        <w:rPr>
          <w:rFonts w:ascii="Times New Roman" w:cs="Times New Roman" w:eastAsia="Times New Roman" w:hAnsi="Times New Roman"/>
          <w:sz w:val="16"/>
          <w:szCs w:val="16"/>
          <w:b w:val="1"/>
          <w:bCs w:val="1"/>
          <w:color w:val="auto"/>
        </w:rPr>
        <w:t>Other Information</w:t>
      </w:r>
    </w:p>
    <w:p>
      <w:pPr>
        <w:spacing w:after="0" w:line="92" w:lineRule="exact"/>
        <w:rPr>
          <w:sz w:val="20"/>
          <w:szCs w:val="20"/>
          <w:color w:val="auto"/>
        </w:rPr>
      </w:pPr>
    </w:p>
    <w:p>
      <w:pPr>
        <w:ind w:right="20" w:firstLine="456"/>
        <w:spacing w:after="0" w:line="262" w:lineRule="auto"/>
        <w:rPr>
          <w:sz w:val="20"/>
          <w:szCs w:val="20"/>
          <w:color w:val="auto"/>
        </w:rPr>
      </w:pPr>
      <w:r>
        <w:rPr>
          <w:rFonts w:ascii="Times New Roman" w:cs="Times New Roman" w:eastAsia="Times New Roman" w:hAnsi="Times New Roman"/>
          <w:sz w:val="18"/>
          <w:szCs w:val="18"/>
          <w:color w:val="auto"/>
        </w:rPr>
        <w:t>On March 28, 2013 the board determined that Mr. Stephen Pegg would transition from serving as both Senior Vice President – Corporate Development and President of Rivers &amp; Lakes to serving exclusively as President of Rivers &amp; Lakes. Accordingly, Mr. Pegg is no longer an executive officer of the Company within the meaning of Rule 3b-7 under the Exchange Act.</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12"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6"/>
          <w:szCs w:val="16"/>
          <w:b w:val="1"/>
          <w:bCs w:val="1"/>
          <w:color w:val="auto"/>
        </w:rPr>
        <w:t>Directors, Executive Officers and Corporate Governance</w:t>
      </w:r>
    </w:p>
    <w:p>
      <w:pPr>
        <w:spacing w:after="0" w:line="90" w:lineRule="exact"/>
        <w:rPr>
          <w:sz w:val="20"/>
          <w:szCs w:val="20"/>
          <w:color w:val="auto"/>
        </w:rPr>
      </w:pPr>
    </w:p>
    <w:p>
      <w:pPr>
        <w:ind w:right="360" w:firstLine="456"/>
        <w:spacing w:after="0" w:line="277" w:lineRule="auto"/>
        <w:rPr>
          <w:sz w:val="20"/>
          <w:szCs w:val="20"/>
          <w:color w:val="auto"/>
        </w:rPr>
      </w:pPr>
      <w:r>
        <w:rPr>
          <w:rFonts w:ascii="Times New Roman" w:cs="Times New Roman" w:eastAsia="Times New Roman" w:hAnsi="Times New Roman"/>
          <w:sz w:val="18"/>
          <w:szCs w:val="18"/>
          <w:color w:val="auto"/>
        </w:rPr>
        <w:t xml:space="preserve">Information regarding our executive officers is incorporated by reference herein from the discussion under </w:t>
      </w:r>
      <w:r>
        <w:rPr>
          <w:rFonts w:ascii="Times New Roman" w:cs="Times New Roman" w:eastAsia="Times New Roman" w:hAnsi="Times New Roman"/>
          <w:sz w:val="18"/>
          <w:szCs w:val="18"/>
          <w:i w:val="1"/>
          <w:iCs w:val="1"/>
          <w:color w:val="auto"/>
        </w:rPr>
        <w:t>Item 1. Business—Executive Officers</w:t>
      </w:r>
      <w:r>
        <w:rPr>
          <w:rFonts w:ascii="Times New Roman" w:cs="Times New Roman" w:eastAsia="Times New Roman" w:hAnsi="Times New Roman"/>
          <w:sz w:val="18"/>
          <w:szCs w:val="18"/>
          <w:color w:val="auto"/>
        </w:rPr>
        <w:t xml:space="preserve"> in this Annual Report on Form 10-K.</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Code of Ethics</w:t>
      </w:r>
    </w:p>
    <w:p>
      <w:pPr>
        <w:spacing w:after="0" w:line="92"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The Company has adopted a written code of business conduct and ethics that applies to all of its employees, including its principal executive officer, principal financial officer, controller, and persons performing similar functions. The Company’s code of ethics can be found on its website at www.gldd.com. The Company will post on our website any amendments to or waivers of the code of business conduct and ethics for executive officers or directors, in accordance with applicable laws and regulations.</w:t>
      </w:r>
    </w:p>
    <w:p>
      <w:pPr>
        <w:spacing w:after="0" w:line="136" w:lineRule="exact"/>
        <w:rPr>
          <w:sz w:val="20"/>
          <w:szCs w:val="20"/>
          <w:color w:val="auto"/>
        </w:rPr>
      </w:pPr>
    </w:p>
    <w:p>
      <w:pPr>
        <w:ind w:right="180" w:firstLine="456"/>
        <w:spacing w:after="0" w:line="262" w:lineRule="auto"/>
        <w:rPr>
          <w:sz w:val="20"/>
          <w:szCs w:val="20"/>
          <w:color w:val="auto"/>
        </w:rPr>
      </w:pPr>
      <w:r>
        <w:rPr>
          <w:rFonts w:ascii="Times New Roman" w:cs="Times New Roman" w:eastAsia="Times New Roman" w:hAnsi="Times New Roman"/>
          <w:sz w:val="18"/>
          <w:szCs w:val="18"/>
          <w:color w:val="auto"/>
        </w:rPr>
        <w:t>The remaining information called for by this Item 10 is incorporated by reference herein from the discussions under the headings “Election of Directors,” “Board of Directors and Corporate Governance” and “Security Ownership of Certain Beneficial Owners and Management” and “Section 16(a) Beneficial Ownership Reporting Compliance” in the definitive Proxy Statement for the 2012 Annual Meeting of Stockholders.</w:t>
      </w:r>
    </w:p>
    <w:p>
      <w:pPr>
        <w:spacing w:after="0" w:line="252"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11.</w:t>
      </w:r>
      <w:r>
        <w:rPr>
          <w:sz w:val="20"/>
          <w:szCs w:val="20"/>
          <w:color w:val="auto"/>
        </w:rPr>
        <w:tab/>
      </w:r>
      <w:r>
        <w:rPr>
          <w:rFonts w:ascii="Times New Roman" w:cs="Times New Roman" w:eastAsia="Times New Roman" w:hAnsi="Times New Roman"/>
          <w:sz w:val="16"/>
          <w:szCs w:val="16"/>
          <w:b w:val="1"/>
          <w:bCs w:val="1"/>
          <w:color w:val="auto"/>
        </w:rPr>
        <w:t>Executive Compensation</w:t>
      </w:r>
    </w:p>
    <w:p>
      <w:pPr>
        <w:spacing w:after="0" w:line="92" w:lineRule="exact"/>
        <w:rPr>
          <w:sz w:val="20"/>
          <w:szCs w:val="20"/>
          <w:color w:val="auto"/>
        </w:rPr>
      </w:pPr>
    </w:p>
    <w:p>
      <w:pPr>
        <w:ind w:right="60" w:firstLine="456"/>
        <w:spacing w:after="0" w:line="262" w:lineRule="auto"/>
        <w:rPr>
          <w:sz w:val="20"/>
          <w:szCs w:val="20"/>
          <w:color w:val="auto"/>
        </w:rPr>
      </w:pPr>
      <w:r>
        <w:rPr>
          <w:rFonts w:ascii="Times New Roman" w:cs="Times New Roman" w:eastAsia="Times New Roman" w:hAnsi="Times New Roman"/>
          <w:sz w:val="18"/>
          <w:szCs w:val="18"/>
          <w:color w:val="auto"/>
        </w:rPr>
        <w:t>The information required by Item 11 of Form 10-K is incorporated by reference herein from the discussions under the headings “Executive Compensation” and “Compensation Discussion and Analysis” and “Board of Directors and Corporate Governance” in the definitive Proxy Statement for the 2013 Annual Meeting of Stockholders.</w:t>
      </w:r>
    </w:p>
    <w:p>
      <w:pPr>
        <w:spacing w:after="0" w:line="252"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12.</w:t>
      </w:r>
      <w:r>
        <w:rPr>
          <w:sz w:val="20"/>
          <w:szCs w:val="20"/>
          <w:color w:val="auto"/>
        </w:rPr>
        <w:tab/>
      </w:r>
      <w:r>
        <w:rPr>
          <w:rFonts w:ascii="Times New Roman" w:cs="Times New Roman" w:eastAsia="Times New Roman" w:hAnsi="Times New Roman"/>
          <w:sz w:val="16"/>
          <w:szCs w:val="16"/>
          <w:b w:val="1"/>
          <w:bCs w:val="1"/>
          <w:color w:val="auto"/>
        </w:rPr>
        <w:t>Security Ownership of Certain Beneficial Owners and Management Related Stockholder Matters</w:t>
      </w:r>
    </w:p>
    <w:p>
      <w:pPr>
        <w:spacing w:after="0" w:line="92" w:lineRule="exact"/>
        <w:rPr>
          <w:sz w:val="20"/>
          <w:szCs w:val="20"/>
          <w:color w:val="auto"/>
        </w:rPr>
      </w:pPr>
    </w:p>
    <w:p>
      <w:pPr>
        <w:ind w:right="280" w:firstLine="456"/>
        <w:spacing w:after="0" w:line="262" w:lineRule="auto"/>
        <w:rPr>
          <w:sz w:val="20"/>
          <w:szCs w:val="20"/>
          <w:color w:val="auto"/>
        </w:rPr>
      </w:pPr>
      <w:r>
        <w:rPr>
          <w:rFonts w:ascii="Times New Roman" w:cs="Times New Roman" w:eastAsia="Times New Roman" w:hAnsi="Times New Roman"/>
          <w:sz w:val="18"/>
          <w:szCs w:val="18"/>
          <w:color w:val="auto"/>
        </w:rPr>
        <w:t>The information required by Item 12 of Form 10-K is incorporated by reference herein from the discussion under the heading “Security Ownership of Certain Beneficial Owners and Management” and “Equity Compensation Plan Information” in our definitive Proxy Statement for the 2013 Annual Meeting of Stockholders.</w:t>
      </w:r>
    </w:p>
    <w:p>
      <w:pPr>
        <w:spacing w:after="0" w:line="252"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13.</w:t>
      </w:r>
      <w:r>
        <w:rPr>
          <w:sz w:val="20"/>
          <w:szCs w:val="20"/>
          <w:color w:val="auto"/>
        </w:rPr>
        <w:tab/>
      </w:r>
      <w:r>
        <w:rPr>
          <w:rFonts w:ascii="Times New Roman" w:cs="Times New Roman" w:eastAsia="Times New Roman" w:hAnsi="Times New Roman"/>
          <w:sz w:val="16"/>
          <w:szCs w:val="16"/>
          <w:b w:val="1"/>
          <w:bCs w:val="1"/>
          <w:color w:val="auto"/>
        </w:rPr>
        <w:t>Certain Relationships and Related Transactions, and Director Independence</w:t>
      </w:r>
    </w:p>
    <w:p>
      <w:pPr>
        <w:spacing w:after="0" w:line="92" w:lineRule="exact"/>
        <w:rPr>
          <w:sz w:val="20"/>
          <w:szCs w:val="20"/>
          <w:color w:val="auto"/>
        </w:rPr>
      </w:pPr>
    </w:p>
    <w:p>
      <w:pPr>
        <w:ind w:right="60" w:firstLine="456"/>
        <w:spacing w:after="0" w:line="262" w:lineRule="auto"/>
        <w:rPr>
          <w:sz w:val="20"/>
          <w:szCs w:val="20"/>
          <w:color w:val="auto"/>
        </w:rPr>
      </w:pPr>
      <w:r>
        <w:rPr>
          <w:rFonts w:ascii="Times New Roman" w:cs="Times New Roman" w:eastAsia="Times New Roman" w:hAnsi="Times New Roman"/>
          <w:sz w:val="18"/>
          <w:szCs w:val="18"/>
          <w:color w:val="auto"/>
        </w:rPr>
        <w:t>The information required by Item 13 of Form 10-K is incorporated by reference herein from the discussions under the headings “Board of Directors and Corporate Governance” and “Change of Control of the Company” and “Certain Relationships and Related Transactions” in the definitive Proxy Statement for the 2013 Annual Meeting of Stockholders.</w:t>
      </w:r>
    </w:p>
    <w:p>
      <w:pPr>
        <w:spacing w:after="0" w:line="252"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14.</w:t>
      </w:r>
      <w:r>
        <w:rPr>
          <w:sz w:val="20"/>
          <w:szCs w:val="20"/>
          <w:color w:val="auto"/>
        </w:rPr>
        <w:tab/>
      </w:r>
      <w:r>
        <w:rPr>
          <w:rFonts w:ascii="Times New Roman" w:cs="Times New Roman" w:eastAsia="Times New Roman" w:hAnsi="Times New Roman"/>
          <w:sz w:val="16"/>
          <w:szCs w:val="16"/>
          <w:b w:val="1"/>
          <w:bCs w:val="1"/>
          <w:color w:val="auto"/>
        </w:rPr>
        <w:t>Principal Accounting Fees and Services</w:t>
      </w:r>
    </w:p>
    <w:p>
      <w:pPr>
        <w:spacing w:after="0" w:line="92" w:lineRule="exact"/>
        <w:rPr>
          <w:sz w:val="20"/>
          <w:szCs w:val="20"/>
          <w:color w:val="auto"/>
        </w:rPr>
      </w:pPr>
    </w:p>
    <w:p>
      <w:pPr>
        <w:ind w:right="720" w:firstLine="456"/>
        <w:spacing w:after="0" w:line="275" w:lineRule="auto"/>
        <w:rPr>
          <w:sz w:val="20"/>
          <w:szCs w:val="20"/>
          <w:color w:val="auto"/>
        </w:rPr>
      </w:pPr>
      <w:r>
        <w:rPr>
          <w:rFonts w:ascii="Times New Roman" w:cs="Times New Roman" w:eastAsia="Times New Roman" w:hAnsi="Times New Roman"/>
          <w:sz w:val="18"/>
          <w:szCs w:val="18"/>
          <w:color w:val="auto"/>
        </w:rPr>
        <w:t>The information required by Item 14 of Form 10-K is incorporated by reference herein from the discussion under the heading “Matters Related to Independent Registered Public Accounting Firm” in the definitive Proxy Statement for the 2013 Annual Meeting of Stockholders.</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1420"/>
          </w:cols>
          <w:pgMar w:left="240" w:top="455" w:right="239" w:bottom="1440" w:gutter="0" w:footer="0" w:header="0"/>
        </w:sectPr>
      </w:pPr>
    </w:p>
    <w:bookmarkStart w:id="60" w:name="page61"/>
    <w:bookmarkEnd w:id="6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12"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15.</w:t>
      </w:r>
      <w:r>
        <w:rPr>
          <w:sz w:val="20"/>
          <w:szCs w:val="20"/>
          <w:color w:val="auto"/>
        </w:rPr>
        <w:tab/>
      </w:r>
      <w:r>
        <w:rPr>
          <w:rFonts w:ascii="Times New Roman" w:cs="Times New Roman" w:eastAsia="Times New Roman" w:hAnsi="Times New Roman"/>
          <w:sz w:val="16"/>
          <w:szCs w:val="16"/>
          <w:b w:val="1"/>
          <w:bCs w:val="1"/>
          <w:color w:val="auto"/>
        </w:rPr>
        <w:t>Exhibits, Financial Statement Schedules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Documents filed as part of this report</w:t>
      </w:r>
    </w:p>
    <w:p>
      <w:pPr>
        <w:spacing w:after="0" w:line="293" w:lineRule="exact"/>
        <w:rPr>
          <w:sz w:val="20"/>
          <w:szCs w:val="20"/>
          <w:color w:val="auto"/>
        </w:rPr>
      </w:pPr>
    </w:p>
    <w:p>
      <w:pPr>
        <w:ind w:left="460" w:hanging="452"/>
        <w:spacing w:after="0"/>
        <w:tabs>
          <w:tab w:leader="none" w:pos="460" w:val="left"/>
        </w:tabs>
        <w:numPr>
          <w:ilvl w:val="0"/>
          <w:numId w:val="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Financial Statements</w:t>
      </w:r>
    </w:p>
    <w:p>
      <w:pPr>
        <w:spacing w:after="0" w:line="92" w:lineRule="exact"/>
        <w:rPr>
          <w:rFonts w:ascii="Times New Roman" w:cs="Times New Roman" w:eastAsia="Times New Roman" w:hAnsi="Times New Roman"/>
          <w:sz w:val="18"/>
          <w:szCs w:val="18"/>
          <w:b w:val="1"/>
          <w:bCs w:val="1"/>
          <w:color w:val="auto"/>
        </w:rPr>
      </w:pPr>
    </w:p>
    <w:p>
      <w:pPr>
        <w:ind w:left="4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financial statements are set forth on pages 60 to 98 of this Report and are incorporated by reference in Item 8 of this Report.</w:t>
      </w:r>
    </w:p>
    <w:p>
      <w:pPr>
        <w:spacing w:after="0" w:line="290" w:lineRule="exact"/>
        <w:rPr>
          <w:rFonts w:ascii="Times New Roman" w:cs="Times New Roman" w:eastAsia="Times New Roman" w:hAnsi="Times New Roman"/>
          <w:sz w:val="18"/>
          <w:szCs w:val="18"/>
          <w:b w:val="1"/>
          <w:bCs w:val="1"/>
          <w:color w:val="auto"/>
        </w:rPr>
      </w:pPr>
    </w:p>
    <w:p>
      <w:pPr>
        <w:ind w:left="460" w:hanging="452"/>
        <w:spacing w:after="0"/>
        <w:tabs>
          <w:tab w:leader="none" w:pos="460" w:val="left"/>
        </w:tabs>
        <w:numPr>
          <w:ilvl w:val="0"/>
          <w:numId w:val="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Financial Statement Schedules</w:t>
      </w:r>
    </w:p>
    <w:p>
      <w:pPr>
        <w:spacing w:after="0" w:line="92" w:lineRule="exact"/>
        <w:rPr>
          <w:sz w:val="20"/>
          <w:szCs w:val="20"/>
          <w:color w:val="auto"/>
        </w:rPr>
      </w:pPr>
    </w:p>
    <w:p>
      <w:pPr>
        <w:ind w:right="380" w:firstLine="456"/>
        <w:spacing w:after="0" w:line="275" w:lineRule="auto"/>
        <w:rPr>
          <w:sz w:val="20"/>
          <w:szCs w:val="20"/>
          <w:color w:val="auto"/>
        </w:rPr>
      </w:pPr>
      <w:r>
        <w:rPr>
          <w:rFonts w:ascii="Times New Roman" w:cs="Times New Roman" w:eastAsia="Times New Roman" w:hAnsi="Times New Roman"/>
          <w:sz w:val="18"/>
          <w:szCs w:val="18"/>
          <w:color w:val="auto"/>
        </w:rPr>
        <w:t>All other schedules, except Schedule II—Valuation and Qualifying Accounts on page 99, are omitted because they are not required or the required information is shown in the financial statements or notes thereto.</w:t>
      </w:r>
    </w:p>
    <w:p>
      <w:pPr>
        <w:spacing w:after="0" w:line="239" w:lineRule="exact"/>
        <w:rPr>
          <w:sz w:val="20"/>
          <w:szCs w:val="20"/>
          <w:color w:val="auto"/>
        </w:rPr>
      </w:pPr>
    </w:p>
    <w:p>
      <w:pPr>
        <w:ind w:left="460" w:hanging="452"/>
        <w:spacing w:after="0"/>
        <w:tabs>
          <w:tab w:leader="none" w:pos="460"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Exhibits</w:t>
      </w:r>
    </w:p>
    <w:p>
      <w:pPr>
        <w:spacing w:after="0" w:line="92" w:lineRule="exact"/>
        <w:rPr>
          <w:sz w:val="20"/>
          <w:szCs w:val="20"/>
          <w:color w:val="auto"/>
        </w:rPr>
      </w:pPr>
    </w:p>
    <w:p>
      <w:pPr>
        <w:ind w:firstLine="456"/>
        <w:spacing w:after="0" w:line="275" w:lineRule="auto"/>
        <w:rPr>
          <w:sz w:val="20"/>
          <w:szCs w:val="20"/>
          <w:color w:val="auto"/>
        </w:rPr>
      </w:pPr>
      <w:r>
        <w:rPr>
          <w:rFonts w:ascii="Times New Roman" w:cs="Times New Roman" w:eastAsia="Times New Roman" w:hAnsi="Times New Roman"/>
          <w:sz w:val="18"/>
          <w:szCs w:val="18"/>
          <w:color w:val="auto"/>
        </w:rPr>
        <w:t>The exhibits required to be filed by Item 601 of Regulation S-K are listed in the “Exhibit Index” which is attached hereto and incorporated by reference herein.</w:t>
      </w:r>
    </w:p>
    <w:p>
      <w:pPr>
        <w:spacing w:after="0" w:line="106"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1120"/>
          </w:cols>
          <w:pgMar w:left="240" w:top="455" w:right="539" w:bottom="1440" w:gutter="0" w:footer="0" w:header="0"/>
        </w:sectPr>
      </w:pPr>
    </w:p>
    <w:bookmarkStart w:id="61" w:name="page62"/>
    <w:bookmarkEnd w:id="6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GREAT LAKES DREDGE &amp; DOCK CORPORATION AND SUBSIDIARIES</w:t>
      </w:r>
    </w:p>
    <w:p>
      <w:pPr>
        <w:spacing w:after="0" w:line="9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11040" w:type="dxa"/>
            <w:vAlign w:val="bottom"/>
            <w:gridSpan w:val="12"/>
            <w:vMerge w:val="restart"/>
          </w:tcPr>
          <w:p>
            <w:pPr>
              <w:spacing w:after="0"/>
              <w:rPr>
                <w:rFonts w:ascii="Times New Roman" w:cs="Times New Roman" w:eastAsia="Times New Roman" w:hAnsi="Times New Roman"/>
                <w:sz w:val="18"/>
                <w:szCs w:val="18"/>
                <w:color w:val="0000EE"/>
              </w:rPr>
            </w:pPr>
            <w:hyperlink w:anchor="page63">
              <w:r>
                <w:rPr>
                  <w:rFonts w:ascii="Times New Roman" w:cs="Times New Roman" w:eastAsia="Times New Roman" w:hAnsi="Times New Roman"/>
                  <w:sz w:val="18"/>
                  <w:szCs w:val="18"/>
                  <w:color w:val="0000EE"/>
                </w:rPr>
                <w:t>REPORT OF INDEPENDENT REGISTERED PUBLIC ACCOUNTING FIRM</w:t>
              </w:r>
            </w:hyperlink>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90"/>
              </w:rPr>
              <w:t>Page</w:t>
            </w:r>
          </w:p>
        </w:tc>
        <w:tc>
          <w:tcPr>
            <w:tcW w:w="0" w:type="dxa"/>
            <w:vAlign w:val="bottom"/>
          </w:tcPr>
          <w:p>
            <w:pPr>
              <w:spacing w:after="0"/>
              <w:rPr>
                <w:sz w:val="1"/>
                <w:szCs w:val="1"/>
                <w:color w:val="auto"/>
              </w:rPr>
            </w:pPr>
          </w:p>
        </w:tc>
      </w:tr>
      <w:tr>
        <w:trPr>
          <w:trHeight w:val="156"/>
        </w:trPr>
        <w:tc>
          <w:tcPr>
            <w:tcW w:w="11040" w:type="dxa"/>
            <w:vAlign w:val="bottom"/>
            <w:gridSpan w:val="12"/>
            <w:vMerge w:val="continue"/>
          </w:tcPr>
          <w:p>
            <w:pPr>
              <w:spacing w:after="0"/>
              <w:rPr>
                <w:sz w:val="13"/>
                <w:szCs w:val="13"/>
                <w:color w:val="auto"/>
              </w:rPr>
            </w:pPr>
          </w:p>
        </w:tc>
        <w:tc>
          <w:tcPr>
            <w:tcW w:w="280" w:type="dxa"/>
            <w:vAlign w:val="bottom"/>
          </w:tcPr>
          <w:p>
            <w:pPr>
              <w:jc w:val="right"/>
              <w:spacing w:after="0" w:line="142" w:lineRule="exact"/>
              <w:rPr>
                <w:sz w:val="20"/>
                <w:szCs w:val="20"/>
                <w:color w:val="auto"/>
              </w:rPr>
            </w:pPr>
            <w:r>
              <w:rPr>
                <w:rFonts w:ascii="Times New Roman" w:cs="Times New Roman" w:eastAsia="Times New Roman" w:hAnsi="Times New Roman"/>
                <w:sz w:val="16"/>
                <w:szCs w:val="16"/>
                <w:color w:val="auto"/>
              </w:rPr>
              <w:t>61</w:t>
            </w:r>
          </w:p>
        </w:tc>
        <w:tc>
          <w:tcPr>
            <w:tcW w:w="0" w:type="dxa"/>
            <w:vAlign w:val="bottom"/>
          </w:tcPr>
          <w:p>
            <w:pPr>
              <w:spacing w:after="0"/>
              <w:rPr>
                <w:sz w:val="1"/>
                <w:szCs w:val="1"/>
                <w:color w:val="auto"/>
              </w:rPr>
            </w:pPr>
          </w:p>
        </w:tc>
      </w:tr>
      <w:tr>
        <w:trPr>
          <w:trHeight w:val="20"/>
        </w:trPr>
        <w:tc>
          <w:tcPr>
            <w:tcW w:w="220" w:type="dxa"/>
            <w:vAlign w:val="bottom"/>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700" w:type="dxa"/>
            <w:vAlign w:val="bottom"/>
            <w:tcBorders>
              <w:bottom w:val="single" w:sz="8" w:color="0000EE"/>
            </w:tcBorders>
            <w:gridSpan w:val="11"/>
          </w:tcPr>
          <w:p>
            <w:pPr>
              <w:spacing w:after="0"/>
              <w:rPr>
                <w:sz w:val="20"/>
                <w:szCs w:val="20"/>
                <w:color w:val="auto"/>
              </w:rPr>
            </w:pPr>
            <w:r>
              <w:rPr>
                <w:rFonts w:ascii="Times New Roman" w:cs="Times New Roman" w:eastAsia="Times New Roman" w:hAnsi="Times New Roman"/>
                <w:sz w:val="18"/>
                <w:szCs w:val="18"/>
                <w:color w:val="0000EE"/>
                <w:w w:val="96"/>
              </w:rPr>
              <w:t>CONSOLIDATED FINANCIAL STATEMENTS AS OF DECEMBER 31, 2012 AND 2011, AND FOR THE YEARS ENDED DECEMBER 31, 2012,</w:t>
            </w: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10820" w:type="dxa"/>
            <w:vAlign w:val="bottom"/>
            <w:gridSpan w:val="11"/>
          </w:tcPr>
          <w:p>
            <w:pPr>
              <w:spacing w:after="0" w:line="196" w:lineRule="exact"/>
              <w:rPr>
                <w:sz w:val="20"/>
                <w:szCs w:val="20"/>
                <w:color w:val="auto"/>
              </w:rPr>
            </w:pPr>
            <w:r>
              <w:rPr>
                <w:rFonts w:ascii="Times New Roman" w:cs="Times New Roman" w:eastAsia="Times New Roman" w:hAnsi="Times New Roman"/>
                <w:sz w:val="18"/>
                <w:szCs w:val="18"/>
                <w:color w:val="0000EE"/>
              </w:rPr>
              <w:t>2011 AND 2010</w:t>
            </w: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46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20" w:type="dxa"/>
            <w:vAlign w:val="bottom"/>
            <w:tcBorders>
              <w:bottom w:val="single" w:sz="8" w:color="0000EE"/>
            </w:tcBorders>
            <w:gridSpan w:val="2"/>
          </w:tcPr>
          <w:p>
            <w:pPr>
              <w:spacing w:after="0"/>
              <w:rPr>
                <w:rFonts w:ascii="Times New Roman" w:cs="Times New Roman" w:eastAsia="Times New Roman" w:hAnsi="Times New Roman"/>
                <w:sz w:val="18"/>
                <w:szCs w:val="18"/>
                <w:color w:val="0000EE"/>
                <w:w w:val="95"/>
              </w:rPr>
            </w:pPr>
            <w:hyperlink w:anchor="page64">
              <w:r>
                <w:rPr>
                  <w:rFonts w:ascii="Times New Roman" w:cs="Times New Roman" w:eastAsia="Times New Roman" w:hAnsi="Times New Roman"/>
                  <w:sz w:val="18"/>
                  <w:szCs w:val="18"/>
                  <w:color w:val="0000EE"/>
                  <w:w w:val="95"/>
                </w:rPr>
                <w:t>Consolidated Balance Sheets</w:t>
              </w:r>
            </w:hyperlink>
          </w:p>
        </w:tc>
        <w:tc>
          <w:tcPr>
            <w:tcW w:w="8560" w:type="dxa"/>
            <w:vAlign w:val="bottom"/>
            <w:gridSpan w:val="8"/>
          </w:tcPr>
          <w:p>
            <w:pPr>
              <w:spacing w:after="0"/>
              <w:rPr>
                <w:sz w:val="24"/>
                <w:szCs w:val="24"/>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304"/>
        </w:trPr>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580" w:type="dxa"/>
            <w:vAlign w:val="bottom"/>
            <w:gridSpan w:val="10"/>
          </w:tcPr>
          <w:p>
            <w:pPr>
              <w:spacing w:after="0"/>
              <w:rPr>
                <w:rFonts w:ascii="Times New Roman" w:cs="Times New Roman" w:eastAsia="Times New Roman" w:hAnsi="Times New Roman"/>
                <w:sz w:val="18"/>
                <w:szCs w:val="18"/>
                <w:color w:val="0000EE"/>
              </w:rPr>
            </w:pPr>
            <w:hyperlink w:anchor="page65">
              <w:r>
                <w:rPr>
                  <w:rFonts w:ascii="Times New Roman" w:cs="Times New Roman" w:eastAsia="Times New Roman" w:hAnsi="Times New Roman"/>
                  <w:sz w:val="18"/>
                  <w:szCs w:val="18"/>
                  <w:color w:val="0000EE"/>
                </w:rPr>
                <w:t>Consolidated Statements of Operations</w:t>
              </w:r>
            </w:hyperlink>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2420" w:type="dxa"/>
            <w:vAlign w:val="bottom"/>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46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580" w:type="dxa"/>
            <w:vAlign w:val="bottom"/>
            <w:gridSpan w:val="10"/>
          </w:tcPr>
          <w:p>
            <w:pPr>
              <w:spacing w:after="0"/>
              <w:rPr>
                <w:rFonts w:ascii="Times New Roman" w:cs="Times New Roman" w:eastAsia="Times New Roman" w:hAnsi="Times New Roman"/>
                <w:sz w:val="18"/>
                <w:szCs w:val="18"/>
                <w:color w:val="0000EE"/>
              </w:rPr>
            </w:pPr>
            <w:hyperlink w:anchor="page66">
              <w:r>
                <w:rPr>
                  <w:rFonts w:ascii="Times New Roman" w:cs="Times New Roman" w:eastAsia="Times New Roman" w:hAnsi="Times New Roman"/>
                  <w:sz w:val="18"/>
                  <w:szCs w:val="18"/>
                  <w:color w:val="0000EE"/>
                </w:rPr>
                <w:t>Consolidated Statements of Comprehensive Income (Loss)</w:t>
              </w:r>
            </w:hyperlink>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304"/>
        </w:trPr>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120" w:type="dxa"/>
            <w:vAlign w:val="bottom"/>
            <w:tcBorders>
              <w:top w:val="single" w:sz="8" w:color="0000EE"/>
            </w:tcBorders>
            <w:gridSpan w:val="7"/>
          </w:tcPr>
          <w:p>
            <w:pPr>
              <w:spacing w:after="0"/>
              <w:rPr>
                <w:rFonts w:ascii="Times New Roman" w:cs="Times New Roman" w:eastAsia="Times New Roman" w:hAnsi="Times New Roman"/>
                <w:sz w:val="18"/>
                <w:szCs w:val="18"/>
                <w:color w:val="0000EE"/>
              </w:rPr>
            </w:pPr>
            <w:hyperlink w:anchor="page67">
              <w:r>
                <w:rPr>
                  <w:rFonts w:ascii="Times New Roman" w:cs="Times New Roman" w:eastAsia="Times New Roman" w:hAnsi="Times New Roman"/>
                  <w:sz w:val="18"/>
                  <w:szCs w:val="18"/>
                  <w:color w:val="0000EE"/>
                </w:rPr>
                <w:t>Consolidated Statements of Equity</w:t>
              </w:r>
            </w:hyperlink>
          </w:p>
        </w:tc>
        <w:tc>
          <w:tcPr>
            <w:tcW w:w="6460" w:type="dxa"/>
            <w:vAlign w:val="bottom"/>
            <w:gridSpan w:val="3"/>
          </w:tcPr>
          <w:p>
            <w:pPr>
              <w:spacing w:after="0"/>
              <w:rPr>
                <w:sz w:val="24"/>
                <w:szCs w:val="24"/>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2420" w:type="dxa"/>
            <w:vAlign w:val="bottom"/>
            <w:gridSpan w:val="3"/>
            <w:shd w:val="clear" w:color="auto" w:fill="0000EE"/>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520" w:type="dxa"/>
            <w:vAlign w:val="bottom"/>
            <w:gridSpan w:val="4"/>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780" w:type="dxa"/>
            <w:vAlign w:val="bottom"/>
            <w:tcBorders>
              <w:bottom w:val="single" w:sz="8" w:color="0000EE"/>
            </w:tcBorders>
            <w:gridSpan w:val="5"/>
          </w:tcPr>
          <w:p>
            <w:pPr>
              <w:spacing w:after="0"/>
              <w:rPr>
                <w:rFonts w:ascii="Times New Roman" w:cs="Times New Roman" w:eastAsia="Times New Roman" w:hAnsi="Times New Roman"/>
                <w:sz w:val="18"/>
                <w:szCs w:val="18"/>
                <w:color w:val="0000EE"/>
                <w:w w:val="96"/>
              </w:rPr>
            </w:pPr>
            <w:hyperlink w:anchor="page68">
              <w:r>
                <w:rPr>
                  <w:rFonts w:ascii="Times New Roman" w:cs="Times New Roman" w:eastAsia="Times New Roman" w:hAnsi="Times New Roman"/>
                  <w:sz w:val="18"/>
                  <w:szCs w:val="18"/>
                  <w:color w:val="0000EE"/>
                  <w:w w:val="96"/>
                </w:rPr>
                <w:t>Consolidated Statements of Cash Flows</w:t>
              </w:r>
            </w:hyperlink>
          </w:p>
        </w:tc>
        <w:tc>
          <w:tcPr>
            <w:tcW w:w="7800" w:type="dxa"/>
            <w:vAlign w:val="bottom"/>
            <w:gridSpan w:val="5"/>
          </w:tcPr>
          <w:p>
            <w:pPr>
              <w:spacing w:after="0"/>
              <w:rPr>
                <w:sz w:val="24"/>
                <w:szCs w:val="24"/>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304"/>
        </w:trPr>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580" w:type="dxa"/>
            <w:vAlign w:val="bottom"/>
            <w:gridSpan w:val="10"/>
          </w:tcPr>
          <w:p>
            <w:pPr>
              <w:spacing w:after="0"/>
              <w:rPr>
                <w:rFonts w:ascii="Times New Roman" w:cs="Times New Roman" w:eastAsia="Times New Roman" w:hAnsi="Times New Roman"/>
                <w:sz w:val="18"/>
                <w:szCs w:val="18"/>
                <w:color w:val="0000EE"/>
              </w:rPr>
            </w:pPr>
            <w:hyperlink w:anchor="page69">
              <w:r>
                <w:rPr>
                  <w:rFonts w:ascii="Times New Roman" w:cs="Times New Roman" w:eastAsia="Times New Roman" w:hAnsi="Times New Roman"/>
                  <w:sz w:val="18"/>
                  <w:szCs w:val="18"/>
                  <w:color w:val="0000EE"/>
                </w:rPr>
                <w:t>Notes to Consolidated Financial Statements</w:t>
              </w:r>
            </w:hyperlink>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r>
        <w:trPr>
          <w:trHeight w:val="383"/>
        </w:trPr>
        <w:tc>
          <w:tcPr>
            <w:tcW w:w="460" w:type="dxa"/>
            <w:vAlign w:val="bottom"/>
            <w:gridSpan w:val="2"/>
          </w:tcPr>
          <w:p>
            <w:pPr>
              <w:spacing w:after="0"/>
              <w:rPr>
                <w:sz w:val="24"/>
                <w:szCs w:val="24"/>
                <w:color w:val="auto"/>
              </w:rPr>
            </w:pPr>
          </w:p>
        </w:tc>
        <w:tc>
          <w:tcPr>
            <w:tcW w:w="3060" w:type="dxa"/>
            <w:vAlign w:val="bottom"/>
            <w:tcBorders>
              <w:top w:val="single" w:sz="8" w:color="0000EE"/>
            </w:tcBorders>
            <w:gridSpan w:val="6"/>
          </w:tcPr>
          <w:p>
            <w:pPr>
              <w:spacing w:after="0"/>
              <w:rPr>
                <w:sz w:val="24"/>
                <w:szCs w:val="24"/>
                <w:color w:val="auto"/>
              </w:rPr>
            </w:pPr>
          </w:p>
        </w:tc>
        <w:tc>
          <w:tcPr>
            <w:tcW w:w="7180" w:type="dxa"/>
            <w:vAlign w:val="bottom"/>
            <w:gridSpan w:val="3"/>
          </w:tcPr>
          <w:p>
            <w:pPr>
              <w:jc w:val="right"/>
              <w:ind w:right="4900"/>
              <w:spacing w:after="0"/>
              <w:rPr>
                <w:sz w:val="20"/>
                <w:szCs w:val="20"/>
                <w:color w:val="auto"/>
              </w:rPr>
            </w:pPr>
            <w:r>
              <w:rPr>
                <w:rFonts w:ascii="Times New Roman" w:cs="Times New Roman" w:eastAsia="Times New Roman" w:hAnsi="Times New Roman"/>
                <w:sz w:val="18"/>
                <w:szCs w:val="18"/>
                <w:color w:val="auto"/>
              </w:rPr>
              <w:t>60</w:t>
            </w: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20"/>
          </w:cols>
          <w:pgMar w:left="240" w:top="455" w:right="339" w:bottom="1440" w:gutter="0" w:footer="0" w:header="0"/>
        </w:sectPr>
      </w:pPr>
    </w:p>
    <w:bookmarkStart w:id="62" w:name="page63"/>
    <w:bookmarkEnd w:id="6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Board of Directors and Stockholders of</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Great Lakes Dredge &amp; Dock Corporation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Oak Brook, Illinois</w:t>
      </w:r>
    </w:p>
    <w:p>
      <w:pPr>
        <w:spacing w:after="0" w:line="159" w:lineRule="exact"/>
        <w:rPr>
          <w:sz w:val="20"/>
          <w:szCs w:val="20"/>
          <w:color w:val="auto"/>
        </w:rPr>
      </w:pPr>
    </w:p>
    <w:p>
      <w:pPr>
        <w:ind w:right="60" w:firstLine="456"/>
        <w:spacing w:after="0" w:line="256"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Great Lakes Dredge &amp; Dock Corporation and subsidiaries (the “Company”) as of December 31, 2012 and 2011, and the related consolidated statements of operations, comprehensive income (loss), equity, and cash flows for each of the three years in the period ended December 31, 2012. Our audits also included the financial statement schedule listed in the Index at Item 15. These financial statements and financial statement schedule are the responsibility of the Company’s management. Our responsibility is to express an opinion on the financial statements and financial statement schedule based on our audits.</w:t>
      </w:r>
    </w:p>
    <w:p>
      <w:pPr>
        <w:spacing w:after="0" w:line="139"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39" w:lineRule="exact"/>
        <w:rPr>
          <w:sz w:val="20"/>
          <w:szCs w:val="20"/>
          <w:color w:val="auto"/>
        </w:rPr>
      </w:pPr>
    </w:p>
    <w:p>
      <w:pPr>
        <w:ind w:right="180" w:firstLine="456"/>
        <w:spacing w:after="0" w:line="256" w:lineRule="auto"/>
        <w:rPr>
          <w:sz w:val="20"/>
          <w:szCs w:val="20"/>
          <w:color w:val="auto"/>
        </w:rPr>
      </w:pPr>
      <w:r>
        <w:rPr>
          <w:rFonts w:ascii="Times New Roman" w:cs="Times New Roman" w:eastAsia="Times New Roman" w:hAnsi="Times New Roman"/>
          <w:sz w:val="18"/>
          <w:szCs w:val="18"/>
          <w:color w:val="auto"/>
        </w:rPr>
        <w:t>In our opinion, such consolidated financial statements present fairly, in all material respects, the financial position of Great Lakes Dredge &amp; Dock Corporation and subsidiaries as of December 31, 2012 and 2011, and the results of their operations and their cash flows for each of the three years in the period ended December 31, 2012, in conformity with accounting principles generally accepted in the United States of America. Also, in our opinion, such financial statement schedule, when considered in relation to the basic consolidated financial statements taken as a whole, presents fairly, in all material respects, the information set forth therein.</w:t>
      </w:r>
    </w:p>
    <w:p>
      <w:pPr>
        <w:spacing w:after="0" w:line="139" w:lineRule="exact"/>
        <w:rPr>
          <w:sz w:val="20"/>
          <w:szCs w:val="20"/>
          <w:color w:val="auto"/>
        </w:rPr>
      </w:pPr>
    </w:p>
    <w:p>
      <w:pPr>
        <w:ind w:right="60" w:firstLine="456"/>
        <w:spacing w:after="0" w:line="258" w:lineRule="auto"/>
        <w:rPr>
          <w:sz w:val="20"/>
          <w:szCs w:val="20"/>
          <w:color w:val="auto"/>
        </w:rPr>
      </w:pPr>
      <w:r>
        <w:rPr>
          <w:rFonts w:ascii="Times New Roman" w:cs="Times New Roman" w:eastAsia="Times New Roman" w:hAnsi="Times New Roman"/>
          <w:sz w:val="18"/>
          <w:szCs w:val="18"/>
          <w:color w:val="auto"/>
        </w:rPr>
        <w:t xml:space="preserve">We have also audited, in accordance with the standards of the Public Company Accounting Oversight Board (United States), the Company’s internal control over financial reporting as of December 31, 2012, based on the criteria established in </w:t>
      </w:r>
      <w:r>
        <w:rPr>
          <w:rFonts w:ascii="Times New Roman" w:cs="Times New Roman" w:eastAsia="Times New Roman" w:hAnsi="Times New Roman"/>
          <w:sz w:val="18"/>
          <w:szCs w:val="18"/>
          <w:i w:val="1"/>
          <w:iCs w:val="1"/>
          <w:color w:val="auto"/>
        </w:rPr>
        <w:t>Internal Control—Integrated Framework</w:t>
      </w:r>
      <w:r>
        <w:rPr>
          <w:rFonts w:ascii="Times New Roman" w:cs="Times New Roman" w:eastAsia="Times New Roman" w:hAnsi="Times New Roman"/>
          <w:sz w:val="18"/>
          <w:szCs w:val="18"/>
          <w:color w:val="auto"/>
        </w:rPr>
        <w:t xml:space="preserve"> issued by the Committee of Sponsoring Organizations of the Treadway Commission and our report dated March 29, 2013 expressed an adverse opinion on the Company’s internal control over financial reporting because of a material weakness.</w:t>
      </w: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Chicago, Illinois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29, 2013</w:t>
      </w:r>
    </w:p>
    <w:p>
      <w:pPr>
        <w:spacing w:after="0" w:line="14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11380"/>
          </w:cols>
          <w:pgMar w:left="240" w:top="455" w:right="279" w:bottom="1440" w:gutter="0" w:footer="0" w:header="0"/>
        </w:sectPr>
      </w:pPr>
    </w:p>
    <w:bookmarkStart w:id="63" w:name="page64"/>
    <w:bookmarkEnd w:id="6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b w:val="1"/>
          <w:bCs w:val="1"/>
          <w:color w:val="auto"/>
        </w:rPr>
        <w:t>GREAT LAKES DREDGE &amp; DOCK CORPORATION AND SUBSIDIARIES</w:t>
      </w:r>
    </w:p>
    <w:p>
      <w:pPr>
        <w:spacing w:after="0" w:line="90"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of December 31, 2012 and 2011</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95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2012</w:t>
            </w:r>
          </w:p>
        </w:tc>
        <w:tc>
          <w:tcPr>
            <w:tcW w:w="26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2011</w:t>
            </w:r>
          </w:p>
        </w:tc>
        <w:tc>
          <w:tcPr>
            <w:tcW w:w="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54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ASSETS</w:t>
            </w: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24,440</w:t>
            </w:r>
          </w:p>
        </w:tc>
        <w:tc>
          <w:tcPr>
            <w:tcW w:w="2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5"/>
              </w:rPr>
              <w:t>113,288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Accounts receivable—net</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149,142</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5"/>
              </w:rPr>
              <w:t>120,268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Contract revenues in excess of billings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69,574</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26,412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Inventories</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28,726</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33,426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Prepaid expenses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9,554</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3,979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Other current assets</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32,254</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28,405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Total current assets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313,690</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5"/>
              </w:rPr>
              <w:t>325,778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EQUIPMENT—Net</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346,540</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5"/>
              </w:rPr>
              <w:t>310,520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100,799</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98,049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tcPr>
          <w:p>
            <w:pPr>
              <w:spacing w:after="0"/>
              <w:rPr>
                <w:sz w:val="20"/>
                <w:szCs w:val="20"/>
                <w:color w:val="auto"/>
              </w:rPr>
            </w:pPr>
            <w:r>
              <w:rPr>
                <w:rFonts w:ascii="Times New Roman" w:cs="Times New Roman" w:eastAsia="Times New Roman" w:hAnsi="Times New Roman"/>
                <w:sz w:val="18"/>
                <w:szCs w:val="18"/>
                <w:color w:val="auto"/>
              </w:rPr>
              <w:t>OTHER INTANGIBLE ASSETS — Net</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3,232</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INVENTORIES—Noncurrent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37,392</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30,103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tcPr>
          <w:p>
            <w:pPr>
              <w:spacing w:after="0"/>
              <w:rPr>
                <w:sz w:val="20"/>
                <w:szCs w:val="20"/>
                <w:color w:val="auto"/>
              </w:rPr>
            </w:pPr>
            <w:r>
              <w:rPr>
                <w:rFonts w:ascii="Times New Roman" w:cs="Times New Roman" w:eastAsia="Times New Roman" w:hAnsi="Times New Roman"/>
                <w:sz w:val="18"/>
                <w:szCs w:val="18"/>
                <w:color w:val="auto"/>
              </w:rPr>
              <w:t>INVESTMENTS IN JOINT VENTURES</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7,047</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6,923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17,695</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16,273</w:t>
            </w:r>
          </w:p>
        </w:tc>
        <w:tc>
          <w:tcPr>
            <w:tcW w:w="0" w:type="dxa"/>
            <w:vAlign w:val="bottom"/>
          </w:tcPr>
          <w:p>
            <w:pPr>
              <w:spacing w:after="0"/>
              <w:rPr>
                <w:sz w:val="1"/>
                <w:szCs w:val="1"/>
                <w:color w:val="auto"/>
              </w:rPr>
            </w:pPr>
          </w:p>
        </w:tc>
      </w:tr>
      <w:tr>
        <w:trPr>
          <w:trHeight w:val="223"/>
        </w:trPr>
        <w:tc>
          <w:tcPr>
            <w:tcW w:w="9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826,395</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u w:val="single" w:color="auto"/>
                <w:color w:val="auto"/>
                <w:w w:val="74"/>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788,460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5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9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AND EQUITY</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Accounts payable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123,082</w:t>
            </w:r>
          </w:p>
        </w:tc>
        <w:tc>
          <w:tcPr>
            <w:tcW w:w="2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82,745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Accrued expenses</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38,490</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31,121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Billings in excess of contract revenues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11,280</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13,627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Current portion of long term debt</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13,098</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3,033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185,950</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5"/>
              </w:rPr>
              <w:t>130,526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tcPr>
          <w:p>
            <w:pPr>
              <w:spacing w:after="0"/>
              <w:rPr>
                <w:sz w:val="20"/>
                <w:szCs w:val="20"/>
                <w:color w:val="auto"/>
              </w:rPr>
            </w:pPr>
            <w:r>
              <w:rPr>
                <w:rFonts w:ascii="Times New Roman" w:cs="Times New Roman" w:eastAsia="Times New Roman" w:hAnsi="Times New Roman"/>
                <w:sz w:val="18"/>
                <w:szCs w:val="18"/>
                <w:color w:val="auto"/>
              </w:rPr>
              <w:t>LONG TERM NOTE PAYABLE</w:t>
            </w:r>
          </w:p>
        </w:tc>
        <w:tc>
          <w:tcPr>
            <w:tcW w:w="100" w:type="dxa"/>
            <w:vAlign w:val="bottom"/>
          </w:tcPr>
          <w:p>
            <w:pPr>
              <w:spacing w:after="0"/>
              <w:rPr>
                <w:sz w:val="18"/>
                <w:szCs w:val="18"/>
                <w:color w:val="auto"/>
              </w:rPr>
            </w:pPr>
          </w:p>
        </w:tc>
        <w:tc>
          <w:tcPr>
            <w:tcW w:w="8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7 3/8% SENIOR NOTES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250,000</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5"/>
              </w:rPr>
              <w:t>250,000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tcPr>
          <w:p>
            <w:pPr>
              <w:spacing w:after="0"/>
              <w:rPr>
                <w:sz w:val="20"/>
                <w:szCs w:val="20"/>
                <w:color w:val="auto"/>
              </w:rPr>
            </w:pPr>
            <w:r>
              <w:rPr>
                <w:rFonts w:ascii="Times New Roman" w:cs="Times New Roman" w:eastAsia="Times New Roman" w:hAnsi="Times New Roman"/>
                <w:sz w:val="18"/>
                <w:szCs w:val="18"/>
                <w:color w:val="auto"/>
              </w:rPr>
              <w:t>DEFERRED INCOME TAXES</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106,767</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5"/>
              </w:rPr>
              <w:t>104,352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10,253</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8,545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54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Total liabilities</w:t>
            </w: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552,970</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495,923</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COMMITMENTS AND CONTINGENCIES (Note 12)</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tcPr>
          <w:p>
            <w:pPr>
              <w:spacing w:after="0"/>
              <w:rPr>
                <w:sz w:val="20"/>
                <w:szCs w:val="20"/>
                <w:color w:val="auto"/>
              </w:rPr>
            </w:pPr>
            <w:r>
              <w:rPr>
                <w:rFonts w:ascii="Times New Roman" w:cs="Times New Roman" w:eastAsia="Times New Roman" w:hAnsi="Times New Roman"/>
                <w:sz w:val="18"/>
                <w:szCs w:val="18"/>
                <w:color w:val="auto"/>
              </w:rPr>
              <w:t>EQUITY:</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540" w:type="dxa"/>
            <w:vAlign w:val="bottom"/>
            <w:shd w:val="clear" w:color="auto" w:fill="CCEEFF"/>
          </w:tcPr>
          <w:p>
            <w:pPr>
              <w:ind w:left="420"/>
              <w:spacing w:after="0" w:line="201" w:lineRule="exact"/>
              <w:rPr>
                <w:sz w:val="20"/>
                <w:szCs w:val="20"/>
                <w:color w:val="auto"/>
              </w:rPr>
            </w:pPr>
            <w:r>
              <w:rPr>
                <w:rFonts w:ascii="Times New Roman" w:cs="Times New Roman" w:eastAsia="Times New Roman" w:hAnsi="Times New Roman"/>
                <w:sz w:val="18"/>
                <w:szCs w:val="18"/>
                <w:color w:val="auto"/>
              </w:rPr>
              <w:t>Common stock—$.0001 par value; 90,000 authorized, 59,359 and 58,999 shares issued and outstanding at December 31,</w:t>
            </w: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54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2012 and December 31, 2011, respectively.</w:t>
            </w: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271,418</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5"/>
              </w:rPr>
              <w:t>267,918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Retained earnings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2,591</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24,042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Accumulated other comprehensive income (loss)</w:t>
            </w:r>
          </w:p>
        </w:tc>
        <w:tc>
          <w:tcPr>
            <w:tcW w:w="10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(380)</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Great Lakes Dredge &amp; Dock Corporation equity</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273,635</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5"/>
              </w:rPr>
              <w:t>291,969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tcPr>
          <w:p>
            <w:pPr>
              <w:spacing w:after="0"/>
              <w:rPr>
                <w:sz w:val="20"/>
                <w:szCs w:val="20"/>
                <w:color w:val="auto"/>
              </w:rPr>
            </w:pPr>
            <w:r>
              <w:rPr>
                <w:rFonts w:ascii="Times New Roman" w:cs="Times New Roman" w:eastAsia="Times New Roman" w:hAnsi="Times New Roman"/>
                <w:sz w:val="18"/>
                <w:szCs w:val="18"/>
                <w:color w:val="auto"/>
              </w:rPr>
              <w:t>NONCONTROLLING INTERESTS</w:t>
            </w:r>
          </w:p>
        </w:tc>
        <w:tc>
          <w:tcPr>
            <w:tcW w:w="10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(210)</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568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Total equity</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273,425</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5"/>
              </w:rPr>
              <w:t>292,537</w:t>
            </w:r>
          </w:p>
        </w:tc>
        <w:tc>
          <w:tcPr>
            <w:tcW w:w="0" w:type="dxa"/>
            <w:vAlign w:val="bottom"/>
          </w:tcPr>
          <w:p>
            <w:pPr>
              <w:spacing w:after="0"/>
              <w:rPr>
                <w:sz w:val="1"/>
                <w:szCs w:val="1"/>
                <w:color w:val="auto"/>
              </w:rPr>
            </w:pPr>
          </w:p>
        </w:tc>
      </w:tr>
      <w:tr>
        <w:trPr>
          <w:trHeight w:val="223"/>
        </w:trPr>
        <w:tc>
          <w:tcPr>
            <w:tcW w:w="9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826,395</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u w:val="single" w:color="auto"/>
                <w:color w:val="auto"/>
                <w:w w:val="74"/>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788,460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5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ectPr>
          <w:pgSz w:w="11900" w:h="16838" w:orient="portrait"/>
          <w:cols w:equalWidth="0" w:num="1">
            <w:col w:w="11420"/>
          </w:cols>
          <w:pgMar w:left="240" w:top="455" w:right="239" w:bottom="1440" w:gutter="0" w:footer="0" w:header="0"/>
        </w:sectPr>
      </w:pPr>
    </w:p>
    <w:bookmarkStart w:id="64" w:name="page65"/>
    <w:bookmarkEnd w:id="6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18"/>
          <w:szCs w:val="18"/>
          <w:b w:val="1"/>
          <w:bCs w:val="1"/>
          <w:color w:val="auto"/>
        </w:rPr>
        <w:t>Great Lakes Dredge &amp; Dock Corporation and Subsidiaries</w:t>
      </w:r>
    </w:p>
    <w:p>
      <w:pPr>
        <w:spacing w:after="0" w:line="90"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Years Ended December 31, 2012, 2011 and 2010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84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2012</w:t>
            </w:r>
          </w:p>
        </w:tc>
        <w:tc>
          <w:tcPr>
            <w:tcW w:w="4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2011</w:t>
            </w:r>
          </w:p>
        </w:tc>
        <w:tc>
          <w:tcPr>
            <w:tcW w:w="24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2010</w:t>
            </w:r>
          </w:p>
        </w:tc>
        <w:tc>
          <w:tcPr>
            <w:tcW w:w="100" w:type="dxa"/>
            <w:vAlign w:val="bottom"/>
            <w:tcBorders>
              <w:bottom w:val="single" w:sz="8" w:color="CCEEFF"/>
            </w:tcBorders>
          </w:tcPr>
          <w:p>
            <w:pPr>
              <w:spacing w:after="0"/>
              <w:rPr>
                <w:sz w:val="14"/>
                <w:szCs w:val="14"/>
                <w:color w:val="auto"/>
              </w:rPr>
            </w:pPr>
          </w:p>
        </w:tc>
      </w:tr>
      <w:tr>
        <w:trPr>
          <w:trHeight w:val="210"/>
        </w:trPr>
        <w:tc>
          <w:tcPr>
            <w:tcW w:w="8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CONTRACT REVENUES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687,584</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627,333</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686,922</w:t>
            </w:r>
          </w:p>
        </w:tc>
        <w:tc>
          <w:tcPr>
            <w:tcW w:w="100" w:type="dxa"/>
            <w:vAlign w:val="bottom"/>
            <w:shd w:val="clear" w:color="auto" w:fill="CCEEFF"/>
          </w:tcPr>
          <w:p>
            <w:pPr>
              <w:spacing w:after="0"/>
              <w:rPr>
                <w:sz w:val="18"/>
                <w:szCs w:val="18"/>
                <w:color w:val="auto"/>
              </w:rPr>
            </w:pPr>
          </w:p>
        </w:tc>
      </w:tr>
      <w:tr>
        <w:trPr>
          <w:trHeight w:val="223"/>
        </w:trPr>
        <w:tc>
          <w:tcPr>
            <w:tcW w:w="8400" w:type="dxa"/>
            <w:vAlign w:val="bottom"/>
          </w:tcPr>
          <w:p>
            <w:pPr>
              <w:spacing w:after="0"/>
              <w:rPr>
                <w:sz w:val="20"/>
                <w:szCs w:val="20"/>
                <w:color w:val="auto"/>
              </w:rPr>
            </w:pPr>
            <w:r>
              <w:rPr>
                <w:rFonts w:ascii="Times New Roman" w:cs="Times New Roman" w:eastAsia="Times New Roman" w:hAnsi="Times New Roman"/>
                <w:sz w:val="18"/>
                <w:szCs w:val="18"/>
                <w:color w:val="auto"/>
              </w:rPr>
              <w:t>COSTS OF CONTRACT REVENUES</w:t>
            </w: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619,185</w:t>
            </w:r>
          </w:p>
        </w:tc>
        <w:tc>
          <w:tcPr>
            <w:tcW w:w="4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534,316</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564,140</w:t>
            </w:r>
          </w:p>
        </w:tc>
        <w:tc>
          <w:tcPr>
            <w:tcW w:w="100" w:type="dxa"/>
            <w:vAlign w:val="bottom"/>
          </w:tcPr>
          <w:p>
            <w:pPr>
              <w:spacing w:after="0"/>
              <w:rPr>
                <w:sz w:val="19"/>
                <w:szCs w:val="19"/>
                <w:color w:val="auto"/>
              </w:rPr>
            </w:pPr>
          </w:p>
        </w:tc>
      </w:tr>
      <w:tr>
        <w:trPr>
          <w:trHeight w:val="216"/>
        </w:trPr>
        <w:tc>
          <w:tcPr>
            <w:tcW w:w="840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GROSS PROFIT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68,399</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93,017</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5"/>
              </w:rPr>
              <w:t>122,782</w:t>
            </w:r>
          </w:p>
        </w:tc>
      </w:tr>
      <w:tr>
        <w:trPr>
          <w:trHeight w:val="216"/>
        </w:trPr>
        <w:tc>
          <w:tcPr>
            <w:tcW w:w="840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53,459</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50,434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54,352</w:t>
            </w:r>
          </w:p>
        </w:tc>
      </w:tr>
      <w:tr>
        <w:trPr>
          <w:trHeight w:val="223"/>
        </w:trPr>
        <w:tc>
          <w:tcPr>
            <w:tcW w:w="8400" w:type="dxa"/>
            <w:vAlign w:val="bottom"/>
          </w:tcPr>
          <w:p>
            <w:pPr>
              <w:spacing w:after="0"/>
              <w:rPr>
                <w:sz w:val="20"/>
                <w:szCs w:val="20"/>
                <w:color w:val="auto"/>
              </w:rPr>
            </w:pPr>
            <w:r>
              <w:rPr>
                <w:rFonts w:ascii="Times New Roman" w:cs="Times New Roman" w:eastAsia="Times New Roman" w:hAnsi="Times New Roman"/>
                <w:sz w:val="18"/>
                <w:szCs w:val="18"/>
                <w:color w:val="auto"/>
              </w:rPr>
              <w:t>GAIN ON SALE OF ASSETS—Net</w:t>
            </w:r>
          </w:p>
        </w:tc>
        <w:tc>
          <w:tcPr>
            <w:tcW w:w="100" w:type="dxa"/>
            <w:vAlign w:val="bottom"/>
          </w:tcPr>
          <w:p>
            <w:pPr>
              <w:spacing w:after="0"/>
              <w:rPr>
                <w:sz w:val="19"/>
                <w:szCs w:val="19"/>
                <w:color w:val="auto"/>
              </w:rPr>
            </w:pPr>
          </w:p>
        </w:tc>
        <w:tc>
          <w:tcPr>
            <w:tcW w:w="10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(565)</w:t>
            </w:r>
          </w:p>
        </w:tc>
        <w:tc>
          <w:tcPr>
            <w:tcW w:w="100" w:type="dxa"/>
            <w:vAlign w:val="bottom"/>
          </w:tcPr>
          <w:p>
            <w:pPr>
              <w:spacing w:after="0"/>
              <w:rPr>
                <w:sz w:val="19"/>
                <w:szCs w:val="19"/>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w w:val="97"/>
              </w:rPr>
              <w:t>(11,711)</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40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Total operating income</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15,505</w:t>
            </w:r>
          </w:p>
        </w:tc>
        <w:tc>
          <w:tcPr>
            <w:tcW w:w="44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54,294</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68,430</w:t>
            </w:r>
          </w:p>
        </w:tc>
        <w:tc>
          <w:tcPr>
            <w:tcW w:w="100" w:type="dxa"/>
            <w:vAlign w:val="bottom"/>
            <w:shd w:val="clear" w:color="auto" w:fill="CCEEFF"/>
          </w:tcPr>
          <w:p>
            <w:pPr>
              <w:spacing w:after="0"/>
              <w:rPr>
                <w:sz w:val="18"/>
                <w:szCs w:val="18"/>
                <w:color w:val="auto"/>
              </w:rPr>
            </w:pPr>
          </w:p>
        </w:tc>
      </w:tr>
      <w:tr>
        <w:trPr>
          <w:trHeight w:val="222"/>
        </w:trPr>
        <w:tc>
          <w:tcPr>
            <w:tcW w:w="8400" w:type="dxa"/>
            <w:vAlign w:val="bottom"/>
          </w:tcPr>
          <w:p>
            <w:pPr>
              <w:spacing w:after="0"/>
              <w:rPr>
                <w:sz w:val="20"/>
                <w:szCs w:val="20"/>
                <w:color w:val="auto"/>
              </w:rPr>
            </w:pPr>
            <w:r>
              <w:rPr>
                <w:rFonts w:ascii="Times New Roman" w:cs="Times New Roman" w:eastAsia="Times New Roman" w:hAnsi="Times New Roman"/>
                <w:sz w:val="18"/>
                <w:szCs w:val="18"/>
                <w:color w:val="auto"/>
              </w:rPr>
              <w:t>OTHER EXPENSE:</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7"/>
        </w:trPr>
        <w:tc>
          <w:tcPr>
            <w:tcW w:w="84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Interest expense—net</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w w:val="97"/>
              </w:rPr>
              <w:t>(20,922)</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w w:val="97"/>
              </w:rPr>
              <w:t>(21,665)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(13,542)</w:t>
            </w:r>
          </w:p>
        </w:tc>
      </w:tr>
      <w:tr>
        <w:trPr>
          <w:trHeight w:val="216"/>
        </w:trPr>
        <w:tc>
          <w:tcPr>
            <w:tcW w:w="84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Equity in earnings (loss) of joint ventures</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(406)</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(614)</w:t>
            </w:r>
          </w:p>
        </w:tc>
      </w:tr>
      <w:tr>
        <w:trPr>
          <w:trHeight w:val="216"/>
        </w:trPr>
        <w:tc>
          <w:tcPr>
            <w:tcW w:w="84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Loss on foreign currency transactions—net</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(118)</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(282)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4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100" w:type="dxa"/>
            <w:vAlign w:val="bottom"/>
          </w:tcPr>
          <w:p>
            <w:pPr>
              <w:spacing w:after="0"/>
              <w:rPr>
                <w:sz w:val="18"/>
                <w:szCs w:val="18"/>
                <w:color w:val="auto"/>
              </w:rPr>
            </w:pPr>
          </w:p>
        </w:tc>
        <w:tc>
          <w:tcPr>
            <w:tcW w:w="5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(5,145)</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8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840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Total other expense</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w w:val="97"/>
              </w:rPr>
              <w:t>(20,916)</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w w:val="97"/>
              </w:rPr>
              <w:t>(27,498)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(14,156)</w:t>
            </w:r>
          </w:p>
        </w:tc>
      </w:tr>
      <w:tr>
        <w:trPr>
          <w:trHeight w:val="216"/>
        </w:trPr>
        <w:tc>
          <w:tcPr>
            <w:tcW w:w="8400" w:type="dxa"/>
            <w:vAlign w:val="bottom"/>
          </w:tcPr>
          <w:p>
            <w:pPr>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100" w:type="dxa"/>
            <w:vAlign w:val="bottom"/>
          </w:tcPr>
          <w:p>
            <w:pPr>
              <w:spacing w:after="0"/>
              <w:rPr>
                <w:sz w:val="18"/>
                <w:szCs w:val="18"/>
                <w:color w:val="auto"/>
              </w:rPr>
            </w:pPr>
          </w:p>
        </w:tc>
        <w:tc>
          <w:tcPr>
            <w:tcW w:w="10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(5,411)</w:t>
            </w:r>
          </w:p>
        </w:tc>
        <w:tc>
          <w:tcPr>
            <w:tcW w:w="10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26,796</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54,274</w:t>
            </w:r>
          </w:p>
        </w:tc>
      </w:tr>
      <w:tr>
        <w:trPr>
          <w:trHeight w:val="216"/>
        </w:trPr>
        <w:tc>
          <w:tcPr>
            <w:tcW w:w="8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(PROVISION) BENEFIT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2,071</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(9,545)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(20,554)</w:t>
            </w:r>
          </w:p>
        </w:tc>
      </w:tr>
      <w:tr>
        <w:trPr>
          <w:trHeight w:val="222"/>
        </w:trPr>
        <w:tc>
          <w:tcPr>
            <w:tcW w:w="840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(3,340)</w:t>
            </w:r>
          </w:p>
        </w:tc>
        <w:tc>
          <w:tcPr>
            <w:tcW w:w="4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17,251</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33,720</w:t>
            </w:r>
          </w:p>
        </w:tc>
        <w:tc>
          <w:tcPr>
            <w:tcW w:w="100" w:type="dxa"/>
            <w:vAlign w:val="bottom"/>
          </w:tcPr>
          <w:p>
            <w:pPr>
              <w:spacing w:after="0"/>
              <w:rPr>
                <w:sz w:val="19"/>
                <w:szCs w:val="19"/>
                <w:color w:val="auto"/>
              </w:rPr>
            </w:pPr>
          </w:p>
        </w:tc>
      </w:tr>
      <w:tr>
        <w:trPr>
          <w:trHeight w:val="217"/>
        </w:trPr>
        <w:tc>
          <w:tcPr>
            <w:tcW w:w="8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 attributable to noncontrolling interests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645</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(723)</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889</w:t>
            </w:r>
          </w:p>
        </w:tc>
      </w:tr>
      <w:tr>
        <w:trPr>
          <w:trHeight w:val="209"/>
        </w:trPr>
        <w:tc>
          <w:tcPr>
            <w:tcW w:w="840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 ATTRIBUTABLE TO COMMON STOCKHOLDERS OF GREAT LAKES DREDGE &amp;</w:t>
            </w:r>
          </w:p>
        </w:tc>
        <w:tc>
          <w:tcPr>
            <w:tcW w:w="10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29"/>
        </w:trPr>
        <w:tc>
          <w:tcPr>
            <w:tcW w:w="84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DOCK CORPORATION</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(2,695)</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16,528</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34,609</w:t>
            </w:r>
          </w:p>
        </w:tc>
      </w:tr>
      <w:tr>
        <w:trPr>
          <w:trHeight w:val="20"/>
        </w:trPr>
        <w:tc>
          <w:tcPr>
            <w:tcW w:w="8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1"/>
        </w:trPr>
        <w:tc>
          <w:tcPr>
            <w:tcW w:w="8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earnings (loss) per share attributable to Great Lakes Dredge &amp; Dock Corporation</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(0.05)</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0.28</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0.59</w:t>
            </w:r>
          </w:p>
        </w:tc>
      </w:tr>
      <w:tr>
        <w:trPr>
          <w:trHeight w:val="216"/>
        </w:trPr>
        <w:tc>
          <w:tcPr>
            <w:tcW w:w="8400" w:type="dxa"/>
            <w:vAlign w:val="bottom"/>
          </w:tcPr>
          <w:p>
            <w:pPr>
              <w:spacing w:after="0"/>
              <w:rPr>
                <w:sz w:val="20"/>
                <w:szCs w:val="20"/>
                <w:color w:val="auto"/>
              </w:rPr>
            </w:pPr>
            <w:r>
              <w:rPr>
                <w:rFonts w:ascii="Times New Roman" w:cs="Times New Roman" w:eastAsia="Times New Roman" w:hAnsi="Times New Roman"/>
                <w:sz w:val="18"/>
                <w:szCs w:val="18"/>
                <w:color w:val="auto"/>
              </w:rPr>
              <w:t>Basic weighted average shares</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59,195</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58,891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58,647</w:t>
            </w:r>
          </w:p>
        </w:tc>
      </w:tr>
      <w:tr>
        <w:trPr>
          <w:trHeight w:val="216"/>
        </w:trPr>
        <w:tc>
          <w:tcPr>
            <w:tcW w:w="8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 earnings (loss) per share attributable to Great Lakes Dredge &amp; Dock Corporation</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(0.05)</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0.28</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0.59</w:t>
            </w:r>
          </w:p>
        </w:tc>
      </w:tr>
      <w:tr>
        <w:trPr>
          <w:trHeight w:val="228"/>
        </w:trPr>
        <w:tc>
          <w:tcPr>
            <w:tcW w:w="8400" w:type="dxa"/>
            <w:vAlign w:val="bottom"/>
          </w:tcPr>
          <w:p>
            <w:pPr>
              <w:spacing w:after="0"/>
              <w:rPr>
                <w:sz w:val="20"/>
                <w:szCs w:val="20"/>
                <w:color w:val="auto"/>
              </w:rPr>
            </w:pPr>
            <w:r>
              <w:rPr>
                <w:rFonts w:ascii="Times New Roman" w:cs="Times New Roman" w:eastAsia="Times New Roman" w:hAnsi="Times New Roman"/>
                <w:sz w:val="18"/>
                <w:szCs w:val="18"/>
                <w:color w:val="auto"/>
              </w:rPr>
              <w:t>Diluted weighted average shares</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59,195</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59,230</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58,871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ectPr>
          <w:pgSz w:w="11900" w:h="16838" w:orient="portrait"/>
          <w:cols w:equalWidth="0" w:num="1">
            <w:col w:w="11420"/>
          </w:cols>
          <w:pgMar w:left="240" w:top="455" w:right="239" w:bottom="1440" w:gutter="0" w:footer="0" w:header="0"/>
        </w:sectPr>
      </w:pPr>
    </w:p>
    <w:bookmarkStart w:id="65" w:name="page66"/>
    <w:bookmarkEnd w:id="6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18"/>
          <w:szCs w:val="18"/>
          <w:b w:val="1"/>
          <w:bCs w:val="1"/>
          <w:color w:val="auto"/>
        </w:rPr>
        <w:t>Great Lakes Dredge &amp; Dock Corporation and Subsidiaries</w:t>
      </w:r>
    </w:p>
    <w:p>
      <w:pPr>
        <w:spacing w:after="0" w:line="90" w:lineRule="exact"/>
        <w:rPr>
          <w:sz w:val="20"/>
          <w:szCs w:val="20"/>
          <w:color w:val="auto"/>
        </w:rPr>
      </w:pPr>
    </w:p>
    <w:p>
      <w:pPr>
        <w:jc w:val="center"/>
        <w:ind w:left="1080"/>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 (Loss)</w:t>
      </w:r>
    </w:p>
    <w:p>
      <w:pPr>
        <w:spacing w:after="0" w:line="23" w:lineRule="exact"/>
        <w:rPr>
          <w:sz w:val="20"/>
          <w:szCs w:val="20"/>
          <w:color w:val="auto"/>
        </w:rPr>
      </w:pPr>
    </w:p>
    <w:p>
      <w:pPr>
        <w:jc w:val="center"/>
        <w:ind w:left="1080"/>
        <w:spacing w:after="0"/>
        <w:rPr>
          <w:sz w:val="20"/>
          <w:szCs w:val="20"/>
          <w:color w:val="auto"/>
        </w:rPr>
      </w:pPr>
      <w:r>
        <w:rPr>
          <w:rFonts w:ascii="Times New Roman" w:cs="Times New Roman" w:eastAsia="Times New Roman" w:hAnsi="Times New Roman"/>
          <w:sz w:val="18"/>
          <w:szCs w:val="18"/>
          <w:b w:val="1"/>
          <w:bCs w:val="1"/>
          <w:color w:val="auto"/>
        </w:rPr>
        <w:t>For the Years Ended December 31, 2012, 2011 and 2010</w:t>
      </w:r>
    </w:p>
    <w:p>
      <w:pPr>
        <w:spacing w:after="0" w:line="9" w:lineRule="exact"/>
        <w:rPr>
          <w:sz w:val="20"/>
          <w:szCs w:val="20"/>
          <w:color w:val="auto"/>
        </w:rPr>
      </w:pPr>
    </w:p>
    <w:p>
      <w:pPr>
        <w:jc w:val="center"/>
        <w:ind w:left="108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87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560" w:type="dxa"/>
            <w:vAlign w:val="bottom"/>
            <w:gridSpan w:val="2"/>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2012</w:t>
            </w: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80" w:type="dxa"/>
            <w:vAlign w:val="bottom"/>
          </w:tcPr>
          <w:p>
            <w:pPr>
              <w:jc w:val="right"/>
              <w:ind w:right="74"/>
              <w:spacing w:after="0"/>
              <w:rPr>
                <w:sz w:val="20"/>
                <w:szCs w:val="20"/>
                <w:color w:val="auto"/>
              </w:rPr>
            </w:pPr>
            <w:r>
              <w:rPr>
                <w:rFonts w:ascii="Times New Roman" w:cs="Times New Roman" w:eastAsia="Times New Roman" w:hAnsi="Times New Roman"/>
                <w:sz w:val="14"/>
                <w:szCs w:val="14"/>
                <w:b w:val="1"/>
                <w:bCs w:val="1"/>
                <w:color w:val="auto"/>
              </w:rPr>
              <w:t>2011</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870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540" w:type="dxa"/>
            <w:vAlign w:val="bottom"/>
            <w:tcBorders>
              <w:top w:val="single" w:sz="8" w:color="auto"/>
            </w:tcBorders>
          </w:tcPr>
          <w:p>
            <w:pPr>
              <w:jc w:val="right"/>
              <w:spacing w:after="0" w:line="195" w:lineRule="exact"/>
              <w:rPr>
                <w:sz w:val="20"/>
                <w:szCs w:val="20"/>
                <w:color w:val="auto"/>
              </w:rPr>
            </w:pPr>
            <w:r>
              <w:rPr>
                <w:rFonts w:ascii="Times New Roman" w:cs="Times New Roman" w:eastAsia="Times New Roman" w:hAnsi="Times New Roman"/>
                <w:sz w:val="18"/>
                <w:szCs w:val="18"/>
                <w:color w:val="auto"/>
                <w:w w:val="84"/>
              </w:rPr>
              <w:t>$(3,340)</w:t>
            </w:r>
          </w:p>
        </w:tc>
        <w:tc>
          <w:tcPr>
            <w:tcW w:w="440" w:type="dxa"/>
            <w:vAlign w:val="bottom"/>
            <w:gridSpan w:val="2"/>
          </w:tcPr>
          <w:p>
            <w:pPr>
              <w:spacing w:after="0"/>
              <w:rPr>
                <w:sz w:val="16"/>
                <w:szCs w:val="16"/>
                <w:color w:val="auto"/>
              </w:rPr>
            </w:pPr>
          </w:p>
        </w:tc>
        <w:tc>
          <w:tcPr>
            <w:tcW w:w="580" w:type="dxa"/>
            <w:vAlign w:val="bottom"/>
            <w:tcBorders>
              <w:top w:val="single" w:sz="8" w:color="auto"/>
            </w:tcBorders>
          </w:tcPr>
          <w:p>
            <w:pPr>
              <w:jc w:val="right"/>
              <w:spacing w:after="0" w:line="195" w:lineRule="exact"/>
              <w:rPr>
                <w:sz w:val="20"/>
                <w:szCs w:val="20"/>
                <w:color w:val="auto"/>
              </w:rPr>
            </w:pPr>
            <w:r>
              <w:rPr>
                <w:rFonts w:ascii="Times New Roman" w:cs="Times New Roman" w:eastAsia="Times New Roman" w:hAnsi="Times New Roman"/>
                <w:sz w:val="18"/>
                <w:szCs w:val="18"/>
                <w:color w:val="auto"/>
                <w:w w:val="95"/>
              </w:rPr>
              <w:t>$17,251</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8700" w:type="dxa"/>
            <w:vAlign w:val="bottom"/>
          </w:tcPr>
          <w:p>
            <w:pPr>
              <w:spacing w:after="0"/>
              <w:rPr>
                <w:sz w:val="20"/>
                <w:szCs w:val="20"/>
                <w:color w:val="auto"/>
              </w:rPr>
            </w:pPr>
            <w:r>
              <w:rPr>
                <w:rFonts w:ascii="Times New Roman" w:cs="Times New Roman" w:eastAsia="Times New Roman" w:hAnsi="Times New Roman"/>
                <w:sz w:val="18"/>
                <w:szCs w:val="18"/>
                <w:color w:val="auto"/>
              </w:rPr>
              <w:t>Currency translation adjustment—net of tax (1)</w:t>
            </w:r>
          </w:p>
        </w:tc>
        <w:tc>
          <w:tcPr>
            <w:tcW w:w="1000" w:type="dxa"/>
            <w:vAlign w:val="bottom"/>
            <w:gridSpan w:val="4"/>
          </w:tcPr>
          <w:p>
            <w:pPr>
              <w:jc w:val="right"/>
              <w:ind w:right="342"/>
              <w:spacing w:after="0"/>
              <w:rPr>
                <w:sz w:val="20"/>
                <w:szCs w:val="20"/>
                <w:color w:val="auto"/>
              </w:rPr>
            </w:pPr>
            <w:r>
              <w:rPr>
                <w:rFonts w:ascii="Times New Roman" w:cs="Times New Roman" w:eastAsia="Times New Roman" w:hAnsi="Times New Roman"/>
                <w:sz w:val="18"/>
                <w:szCs w:val="18"/>
                <w:color w:val="auto"/>
              </w:rPr>
              <w:t>(6)</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0" w:type="dxa"/>
            <w:vAlign w:val="bottom"/>
          </w:tcPr>
          <w:p>
            <w:pPr>
              <w:spacing w:after="0"/>
              <w:rPr>
                <w:sz w:val="1"/>
                <w:szCs w:val="1"/>
                <w:color w:val="auto"/>
              </w:rPr>
            </w:pPr>
          </w:p>
        </w:tc>
      </w:tr>
      <w:tr>
        <w:trPr>
          <w:trHeight w:val="216"/>
        </w:trPr>
        <w:tc>
          <w:tcPr>
            <w:tcW w:w="8700" w:type="dxa"/>
            <w:vAlign w:val="bottom"/>
          </w:tcPr>
          <w:p>
            <w:pPr>
              <w:spacing w:after="0"/>
              <w:rPr>
                <w:sz w:val="20"/>
                <w:szCs w:val="20"/>
                <w:color w:val="auto"/>
              </w:rPr>
            </w:pPr>
            <w:r>
              <w:rPr>
                <w:rFonts w:ascii="Times New Roman" w:cs="Times New Roman" w:eastAsia="Times New Roman" w:hAnsi="Times New Roman"/>
                <w:sz w:val="18"/>
                <w:szCs w:val="18"/>
                <w:color w:val="auto"/>
              </w:rPr>
              <w:t>Reclassification of derivative gains (losses) to earnings—net of tax (2)</w:t>
            </w:r>
          </w:p>
        </w:tc>
        <w:tc>
          <w:tcPr>
            <w:tcW w:w="1000" w:type="dxa"/>
            <w:vAlign w:val="bottom"/>
            <w:gridSpan w:val="4"/>
          </w:tcPr>
          <w:p>
            <w:pPr>
              <w:jc w:val="right"/>
              <w:ind w:right="402"/>
              <w:spacing w:after="0"/>
              <w:rPr>
                <w:sz w:val="20"/>
                <w:szCs w:val="20"/>
                <w:color w:val="auto"/>
              </w:rPr>
            </w:pPr>
            <w:r>
              <w:rPr>
                <w:rFonts w:ascii="Times New Roman" w:cs="Times New Roman" w:eastAsia="Times New Roman" w:hAnsi="Times New Roman"/>
                <w:sz w:val="18"/>
                <w:szCs w:val="18"/>
                <w:color w:val="auto"/>
              </w:rPr>
              <w:t>3</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(1,437)</w:t>
            </w:r>
          </w:p>
        </w:tc>
        <w:tc>
          <w:tcPr>
            <w:tcW w:w="0" w:type="dxa"/>
            <w:vAlign w:val="bottom"/>
          </w:tcPr>
          <w:p>
            <w:pPr>
              <w:spacing w:after="0"/>
              <w:rPr>
                <w:sz w:val="1"/>
                <w:szCs w:val="1"/>
                <w:color w:val="auto"/>
              </w:rPr>
            </w:pPr>
          </w:p>
        </w:tc>
      </w:tr>
      <w:tr>
        <w:trPr>
          <w:trHeight w:val="228"/>
        </w:trPr>
        <w:tc>
          <w:tcPr>
            <w:tcW w:w="8700" w:type="dxa"/>
            <w:vAlign w:val="bottom"/>
          </w:tcPr>
          <w:p>
            <w:pPr>
              <w:spacing w:after="0"/>
              <w:rPr>
                <w:sz w:val="20"/>
                <w:szCs w:val="20"/>
                <w:color w:val="auto"/>
              </w:rPr>
            </w:pPr>
            <w:r>
              <w:rPr>
                <w:rFonts w:ascii="Times New Roman" w:cs="Times New Roman" w:eastAsia="Times New Roman" w:hAnsi="Times New Roman"/>
                <w:sz w:val="18"/>
                <w:szCs w:val="18"/>
                <w:color w:val="auto"/>
              </w:rPr>
              <w:t>Change in fair value of derivatives—net of tax (3)</w:t>
            </w:r>
          </w:p>
        </w:tc>
        <w:tc>
          <w:tcPr>
            <w:tcW w:w="1000" w:type="dxa"/>
            <w:vAlign w:val="bottom"/>
            <w:gridSpan w:val="4"/>
          </w:tcPr>
          <w:p>
            <w:pPr>
              <w:jc w:val="right"/>
              <w:ind w:right="342"/>
              <w:spacing w:after="0"/>
              <w:rPr>
                <w:sz w:val="20"/>
                <w:szCs w:val="20"/>
                <w:color w:val="auto"/>
              </w:rPr>
            </w:pPr>
            <w:r>
              <w:rPr>
                <w:rFonts w:ascii="Times New Roman" w:cs="Times New Roman" w:eastAsia="Times New Roman" w:hAnsi="Times New Roman"/>
                <w:sz w:val="18"/>
                <w:szCs w:val="18"/>
                <w:color w:val="auto"/>
              </w:rPr>
              <w:t>(380)</w:t>
            </w: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1,350</w:t>
            </w:r>
          </w:p>
        </w:tc>
        <w:tc>
          <w:tcPr>
            <w:tcW w:w="0" w:type="dxa"/>
            <w:vAlign w:val="bottom"/>
          </w:tcPr>
          <w:p>
            <w:pPr>
              <w:spacing w:after="0"/>
              <w:rPr>
                <w:sz w:val="1"/>
                <w:szCs w:val="1"/>
                <w:color w:val="auto"/>
              </w:rPr>
            </w:pPr>
          </w:p>
        </w:tc>
      </w:tr>
      <w:tr>
        <w:trPr>
          <w:trHeight w:val="224"/>
        </w:trPr>
        <w:tc>
          <w:tcPr>
            <w:tcW w:w="870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loss—net of tax</w:t>
            </w:r>
          </w:p>
        </w:tc>
        <w:tc>
          <w:tcPr>
            <w:tcW w:w="20" w:type="dxa"/>
            <w:vAlign w:val="bottom"/>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(383)</w:t>
            </w: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8700" w:type="dxa"/>
            <w:vAlign w:val="bottom"/>
          </w:tcPr>
          <w:p>
            <w:pPr>
              <w:spacing w:after="0"/>
              <w:rPr>
                <w:sz w:val="20"/>
                <w:szCs w:val="20"/>
                <w:color w:val="auto"/>
              </w:rPr>
            </w:pPr>
            <w:r>
              <w:rPr>
                <w:rFonts w:ascii="Times New Roman" w:cs="Times New Roman" w:eastAsia="Times New Roman" w:hAnsi="Times New Roman"/>
                <w:sz w:val="18"/>
                <w:szCs w:val="18"/>
                <w:color w:val="auto"/>
              </w:rPr>
              <w:t>Comprehensive income (loss)</w:t>
            </w:r>
          </w:p>
        </w:tc>
        <w:tc>
          <w:tcPr>
            <w:tcW w:w="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(3,723)</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16,897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8700" w:type="dxa"/>
            <w:vAlign w:val="bottom"/>
          </w:tcPr>
          <w:p>
            <w:pPr>
              <w:spacing w:after="0"/>
              <w:rPr>
                <w:sz w:val="20"/>
                <w:szCs w:val="20"/>
                <w:color w:val="auto"/>
              </w:rPr>
            </w:pPr>
            <w:r>
              <w:rPr>
                <w:rFonts w:ascii="Times New Roman" w:cs="Times New Roman" w:eastAsia="Times New Roman" w:hAnsi="Times New Roman"/>
                <w:sz w:val="18"/>
                <w:szCs w:val="18"/>
                <w:color w:val="auto"/>
              </w:rPr>
              <w:t>Comprehensive (income) loss attributable to noncontrolling interests</w:t>
            </w:r>
          </w:p>
        </w:tc>
        <w:tc>
          <w:tcPr>
            <w:tcW w:w="1000" w:type="dxa"/>
            <w:vAlign w:val="bottom"/>
            <w:gridSpan w:val="4"/>
          </w:tcPr>
          <w:p>
            <w:pPr>
              <w:jc w:val="right"/>
              <w:ind w:right="402"/>
              <w:spacing w:after="0"/>
              <w:rPr>
                <w:sz w:val="20"/>
                <w:szCs w:val="20"/>
                <w:color w:val="auto"/>
              </w:rPr>
            </w:pPr>
            <w:r>
              <w:rPr>
                <w:rFonts w:ascii="Times New Roman" w:cs="Times New Roman" w:eastAsia="Times New Roman" w:hAnsi="Times New Roman"/>
                <w:sz w:val="18"/>
                <w:szCs w:val="18"/>
                <w:color w:val="auto"/>
              </w:rPr>
              <w:t>645</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(723)</w:t>
            </w:r>
          </w:p>
        </w:tc>
        <w:tc>
          <w:tcPr>
            <w:tcW w:w="0" w:type="dxa"/>
            <w:vAlign w:val="bottom"/>
          </w:tcPr>
          <w:p>
            <w:pPr>
              <w:spacing w:after="0"/>
              <w:rPr>
                <w:sz w:val="1"/>
                <w:szCs w:val="1"/>
                <w:color w:val="auto"/>
              </w:rPr>
            </w:pPr>
          </w:p>
        </w:tc>
      </w:tr>
      <w:tr>
        <w:trPr>
          <w:trHeight w:val="225"/>
        </w:trPr>
        <w:tc>
          <w:tcPr>
            <w:tcW w:w="8700" w:type="dxa"/>
            <w:vAlign w:val="bottom"/>
          </w:tcPr>
          <w:p>
            <w:pPr>
              <w:spacing w:after="0"/>
              <w:rPr>
                <w:sz w:val="20"/>
                <w:szCs w:val="20"/>
                <w:color w:val="auto"/>
              </w:rPr>
            </w:pPr>
            <w:r>
              <w:rPr>
                <w:rFonts w:ascii="Times New Roman" w:cs="Times New Roman" w:eastAsia="Times New Roman" w:hAnsi="Times New Roman"/>
                <w:sz w:val="18"/>
                <w:szCs w:val="18"/>
                <w:color w:val="auto"/>
              </w:rPr>
              <w:t>Comprehensive income (loss) attributable to Great Lakes Dredge &amp; Dock Corporation</w:t>
            </w:r>
          </w:p>
        </w:tc>
        <w:tc>
          <w:tcPr>
            <w:tcW w:w="20" w:type="dxa"/>
            <w:vAlign w:val="bottom"/>
            <w:tcBorders>
              <w:bottom w:val="single" w:sz="8" w:color="auto"/>
            </w:tcBorders>
          </w:tcPr>
          <w:p>
            <w:pPr>
              <w:spacing w:after="0"/>
              <w:rPr>
                <w:sz w:val="19"/>
                <w:szCs w:val="19"/>
                <w:color w:val="auto"/>
              </w:rPr>
            </w:pPr>
          </w:p>
        </w:tc>
        <w:tc>
          <w:tcPr>
            <w:tcW w:w="56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u w:val="single" w:color="auto"/>
                <w:color w:val="auto"/>
                <w:w w:val="93"/>
              </w:rPr>
              <w:t>$</w:t>
            </w:r>
            <w:r>
              <w:rPr>
                <w:rFonts w:ascii="Times New Roman" w:cs="Times New Roman" w:eastAsia="Times New Roman" w:hAnsi="Times New Roman"/>
                <w:sz w:val="18"/>
                <w:szCs w:val="18"/>
                <w:color w:val="auto"/>
                <w:w w:val="93"/>
              </w:rPr>
              <w:t>(3,078</w:t>
            </w:r>
          </w:p>
        </w:tc>
        <w:tc>
          <w:tcPr>
            <w:tcW w:w="420" w:type="dxa"/>
            <w:vAlign w:val="bottom"/>
          </w:tcPr>
          <w:p>
            <w:pPr>
              <w:jc w:val="right"/>
              <w:ind w:right="342"/>
              <w:spacing w:after="0"/>
              <w:rPr>
                <w:sz w:val="20"/>
                <w:szCs w:val="20"/>
                <w:color w:val="auto"/>
              </w:rPr>
            </w:pPr>
            <w:r>
              <w:rPr>
                <w:rFonts w:ascii="Times New Roman" w:cs="Times New Roman" w:eastAsia="Times New Roman" w:hAnsi="Times New Roman"/>
                <w:sz w:val="8"/>
                <w:szCs w:val="8"/>
                <w:color w:val="auto"/>
                <w:w w:val="73"/>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5"/>
              </w:rPr>
              <w:t>$</w:t>
            </w:r>
            <w:r>
              <w:rPr>
                <w:rFonts w:ascii="Times New Roman" w:cs="Times New Roman" w:eastAsia="Times New Roman" w:hAnsi="Times New Roman"/>
                <w:sz w:val="18"/>
                <w:szCs w:val="18"/>
                <w:color w:val="auto"/>
                <w:w w:val="95"/>
              </w:rPr>
              <w:t>16,174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-899795</wp:posOffset>
            </wp:positionV>
            <wp:extent cx="7246620" cy="13716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-608330</wp:posOffset>
            </wp:positionV>
            <wp:extent cx="7246620" cy="13716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-316865</wp:posOffset>
            </wp:positionV>
            <wp:extent cx="7246620" cy="13716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-1183005</wp:posOffset>
            </wp:positionV>
            <wp:extent cx="7246620" cy="14605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182" w:lineRule="exact"/>
        <w:rPr>
          <w:sz w:val="20"/>
          <w:szCs w:val="20"/>
          <w:color w:val="auto"/>
        </w:rPr>
      </w:pPr>
    </w:p>
    <w:p>
      <w:pPr>
        <w:ind w:left="460" w:hanging="452"/>
        <w:spacing w:after="0"/>
        <w:tabs>
          <w:tab w:leader="none" w:pos="4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of income tax (provision) benefit of $(7), $(177) and $0 for the years ended December 31, 2012, 2011 and 2010, respectively.</w:t>
      </w:r>
    </w:p>
    <w:p>
      <w:pPr>
        <w:spacing w:after="0" w:line="21"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of income tax (provision) benefit of $2, $(882) and $(213) for the years ended December 31, 2012, 2011 and 2010, respectively.</w:t>
      </w:r>
    </w:p>
    <w:p>
      <w:pPr>
        <w:spacing w:after="0" w:line="9"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of income tax (provision) benefit of $(252), $824 and $92 for the years ended December 31, 2012, 2011 and 2010,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left="1080"/>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158" w:lineRule="exact"/>
        <w:rPr>
          <w:sz w:val="20"/>
          <w:szCs w:val="20"/>
          <w:color w:val="auto"/>
        </w:rPr>
      </w:pPr>
    </w:p>
    <w:p>
      <w:pPr>
        <w:jc w:val="center"/>
        <w:ind w:left="1080"/>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2010</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$33,720</w:t>
      </w:r>
    </w:p>
    <w:p>
      <w:pPr>
        <w:spacing w:after="0" w:line="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(321)</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368935"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68935" cy="8890"/>
                    </a:xfrm>
                    <a:prstGeom prst="rect">
                      <a:avLst/>
                    </a:prstGeom>
                    <a:noFill/>
                  </pic:spPr>
                </pic:pic>
              </a:graphicData>
            </a:graphic>
          </wp:anchor>
        </w:drawing>
      </w:r>
    </w:p>
    <w:p>
      <w:pPr>
        <w:spacing w:after="0" w:line="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68935"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68935" cy="8890"/>
                    </a:xfrm>
                    <a:prstGeom prst="rect">
                      <a:avLst/>
                    </a:prstGeom>
                    <a:noFill/>
                  </pic:spPr>
                </pic:pic>
              </a:graphicData>
            </a:graphic>
          </wp:anchor>
        </w:drawing>
      </w:r>
    </w:p>
    <w:p>
      <w:pPr>
        <w:spacing w:after="0" w:line="16"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33,538</w:t>
      </w:r>
    </w:p>
    <w:p>
      <w:pPr>
        <w:spacing w:after="0" w:line="21"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color w:val="auto"/>
        </w:rPr>
        <w:t>889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368935"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68935" cy="8890"/>
                    </a:xfrm>
                    <a:prstGeom prst="rect">
                      <a:avLst/>
                    </a:prstGeom>
                    <a:noFill/>
                  </pic:spPr>
                </pic:pic>
              </a:graphicData>
            </a:graphic>
          </wp:anchor>
        </w:drawing>
      </w:r>
    </w:p>
    <w:p>
      <w:pPr>
        <w:spacing w:after="0" w:line="4"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6"/>
          <w:szCs w:val="16"/>
          <w:u w:val="single" w:color="auto"/>
          <w:color w:val="auto"/>
        </w:rPr>
        <w:t>$34,427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368935"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68935" cy="8890"/>
                    </a:xfrm>
                    <a:prstGeom prst="rect">
                      <a:avLst/>
                    </a:prstGeom>
                    <a:noFill/>
                  </pic:spPr>
                </pic:pic>
              </a:graphicData>
            </a:graphic>
          </wp:anchor>
        </w:drawing>
      </w:r>
    </w:p>
    <w:p>
      <w:pPr>
        <w:sectPr>
          <w:pgSz w:w="11900" w:h="16838" w:orient="portrait"/>
          <w:cols w:equalWidth="0" w:num="2">
            <w:col w:w="10340" w:space="400"/>
            <w:col w:w="640"/>
          </w:cols>
          <w:pgMar w:left="240" w:top="455" w:right="279" w:bottom="1440" w:gutter="0" w:footer="0" w:header="0"/>
        </w:sectPr>
      </w:pPr>
    </w:p>
    <w:bookmarkStart w:id="66" w:name="page67"/>
    <w:bookmarkEnd w:id="6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18"/>
          <w:szCs w:val="18"/>
          <w:b w:val="1"/>
          <w:bCs w:val="1"/>
          <w:color w:val="auto"/>
        </w:rPr>
        <w:t>Great Lakes Dredge &amp; Dock Corporation and Subsidiaries</w:t>
      </w:r>
    </w:p>
    <w:p>
      <w:pPr>
        <w:spacing w:after="0" w:line="90"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b w:val="1"/>
          <w:bCs w:val="1"/>
          <w:color w:val="auto"/>
        </w:rPr>
        <w:t>Consolidated Statements of Equity</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Years Ended December 31, 2012, 2011 and 2010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476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680" w:type="dxa"/>
            <w:vAlign w:val="bottom"/>
            <w:tcBorders>
              <w:bottom w:val="single" w:sz="8" w:color="auto"/>
            </w:tcBorders>
            <w:gridSpan w:val="12"/>
          </w:tcPr>
          <w:p>
            <w:pPr>
              <w:ind w:left="300"/>
              <w:spacing w:after="0"/>
              <w:rPr>
                <w:sz w:val="20"/>
                <w:szCs w:val="20"/>
                <w:color w:val="auto"/>
              </w:rPr>
            </w:pPr>
            <w:r>
              <w:rPr>
                <w:rFonts w:ascii="Times New Roman" w:cs="Times New Roman" w:eastAsia="Times New Roman" w:hAnsi="Times New Roman"/>
                <w:sz w:val="14"/>
                <w:szCs w:val="14"/>
                <w:b w:val="1"/>
                <w:bCs w:val="1"/>
                <w:color w:val="auto"/>
              </w:rPr>
              <w:t>Great Lakes Dredge &amp; Dock Corporation shareholders</w:t>
            </w:r>
          </w:p>
        </w:tc>
        <w:tc>
          <w:tcPr>
            <w:tcW w:w="1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47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80" w:type="dxa"/>
            <w:vAlign w:val="bottom"/>
            <w:gridSpan w:val="3"/>
          </w:tcPr>
          <w:p>
            <w:pPr>
              <w:jc w:val="center"/>
              <w:ind w:right="160"/>
              <w:spacing w:after="0" w:line="125" w:lineRule="exact"/>
              <w:rPr>
                <w:sz w:val="20"/>
                <w:szCs w:val="20"/>
                <w:color w:val="auto"/>
              </w:rPr>
            </w:pPr>
            <w:r>
              <w:rPr>
                <w:rFonts w:ascii="Times New Roman" w:cs="Times New Roman" w:eastAsia="Times New Roman" w:hAnsi="Times New Roman"/>
                <w:sz w:val="14"/>
                <w:szCs w:val="14"/>
                <w:b w:val="1"/>
                <w:bCs w:val="1"/>
                <w:color w:val="auto"/>
                <w:w w:val="95"/>
              </w:rPr>
              <w:t>Accumulated</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60" w:type="dxa"/>
            <w:vAlign w:val="bottom"/>
          </w:tcPr>
          <w:p>
            <w:pPr>
              <w:spacing w:after="0"/>
              <w:rPr>
                <w:sz w:val="12"/>
                <w:szCs w:val="12"/>
                <w:color w:val="auto"/>
              </w:rPr>
            </w:pPr>
          </w:p>
        </w:tc>
        <w:tc>
          <w:tcPr>
            <w:tcW w:w="68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w w:val="97"/>
              </w:rPr>
              <w:t>Shares of</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60" w:type="dxa"/>
            <w:vAlign w:val="bottom"/>
          </w:tcPr>
          <w:p>
            <w:pPr>
              <w:spacing w:after="0"/>
              <w:rPr>
                <w:sz w:val="12"/>
                <w:szCs w:val="12"/>
                <w:color w:val="auto"/>
              </w:rPr>
            </w:pPr>
          </w:p>
        </w:tc>
        <w:tc>
          <w:tcPr>
            <w:tcW w:w="68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w w:val="97"/>
              </w:rPr>
              <w:t>Common</w:t>
            </w:r>
          </w:p>
        </w:tc>
        <w:tc>
          <w:tcPr>
            <w:tcW w:w="120" w:type="dxa"/>
            <w:vAlign w:val="bottom"/>
          </w:tcPr>
          <w:p>
            <w:pPr>
              <w:spacing w:after="0"/>
              <w:rPr>
                <w:sz w:val="12"/>
                <w:szCs w:val="12"/>
                <w:color w:val="auto"/>
              </w:rPr>
            </w:pPr>
          </w:p>
        </w:tc>
        <w:tc>
          <w:tcPr>
            <w:tcW w:w="68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Common</w:t>
            </w:r>
          </w:p>
        </w:tc>
        <w:tc>
          <w:tcPr>
            <w:tcW w:w="140" w:type="dxa"/>
            <w:vAlign w:val="bottom"/>
          </w:tcPr>
          <w:p>
            <w:pPr>
              <w:spacing w:after="0"/>
              <w:rPr>
                <w:sz w:val="12"/>
                <w:szCs w:val="12"/>
                <w:color w:val="auto"/>
              </w:rPr>
            </w:pPr>
          </w:p>
        </w:tc>
        <w:tc>
          <w:tcPr>
            <w:tcW w:w="84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120" w:type="dxa"/>
            <w:vAlign w:val="bottom"/>
          </w:tcPr>
          <w:p>
            <w:pPr>
              <w:spacing w:after="0"/>
              <w:rPr>
                <w:sz w:val="12"/>
                <w:szCs w:val="12"/>
                <w:color w:val="auto"/>
              </w:rPr>
            </w:pPr>
          </w:p>
        </w:tc>
        <w:tc>
          <w:tcPr>
            <w:tcW w:w="920" w:type="dxa"/>
            <w:vAlign w:val="bottom"/>
            <w:gridSpan w:val="3"/>
          </w:tcPr>
          <w:p>
            <w:pPr>
              <w:jc w:val="right"/>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Retained</w:t>
            </w:r>
          </w:p>
        </w:tc>
        <w:tc>
          <w:tcPr>
            <w:tcW w:w="108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20" w:type="dxa"/>
            <w:vAlign w:val="bottom"/>
          </w:tcPr>
          <w:p>
            <w:pPr>
              <w:spacing w:after="0"/>
              <w:rPr>
                <w:sz w:val="12"/>
                <w:szCs w:val="12"/>
                <w:color w:val="auto"/>
              </w:rPr>
            </w:pPr>
          </w:p>
        </w:tc>
        <w:tc>
          <w:tcPr>
            <w:tcW w:w="104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Noncontrolling</w:t>
            </w: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4760" w:type="dxa"/>
            <w:vAlign w:val="bottom"/>
          </w:tcPr>
          <w:p>
            <w:pPr>
              <w:spacing w:after="0"/>
              <w:rPr>
                <w:sz w:val="14"/>
                <w:szCs w:val="14"/>
                <w:color w:val="auto"/>
              </w:rPr>
            </w:pPr>
          </w:p>
        </w:tc>
        <w:tc>
          <w:tcPr>
            <w:tcW w:w="6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5"/>
              </w:rPr>
              <w:t>Stock</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40" w:type="dxa"/>
            <w:vAlign w:val="bottom"/>
          </w:tcPr>
          <w:p>
            <w:pPr>
              <w:spacing w:after="0"/>
              <w:rPr>
                <w:sz w:val="14"/>
                <w:szCs w:val="14"/>
                <w:color w:val="auto"/>
              </w:rPr>
            </w:pPr>
          </w:p>
        </w:tc>
        <w:tc>
          <w:tcPr>
            <w:tcW w:w="8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20" w:type="dxa"/>
            <w:vAlign w:val="bottom"/>
          </w:tcPr>
          <w:p>
            <w:pPr>
              <w:spacing w:after="0"/>
              <w:rPr>
                <w:sz w:val="14"/>
                <w:szCs w:val="14"/>
                <w:color w:val="auto"/>
              </w:rPr>
            </w:pPr>
          </w:p>
        </w:tc>
        <w:tc>
          <w:tcPr>
            <w:tcW w:w="920" w:type="dxa"/>
            <w:vAlign w:val="bottom"/>
            <w:gridSpan w:val="3"/>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08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4"/>
              </w:rPr>
              <w:t>Income (Loss)</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Interests</w:t>
            </w:r>
          </w:p>
        </w:tc>
        <w:tc>
          <w:tcPr>
            <w:tcW w:w="120" w:type="dxa"/>
            <w:vAlign w:val="bottom"/>
          </w:tcPr>
          <w:p>
            <w:pPr>
              <w:spacing w:after="0"/>
              <w:rPr>
                <w:sz w:val="14"/>
                <w:szCs w:val="14"/>
                <w:color w:val="auto"/>
              </w:rPr>
            </w:pPr>
          </w:p>
        </w:tc>
        <w:tc>
          <w:tcPr>
            <w:tcW w:w="78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BALANCE—January 1, 2010</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58,542</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top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w w:val="74"/>
              </w:rPr>
              <w:t>6</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$263,579</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4"/>
              </w:rPr>
              <w:t>(18,336)</w:t>
            </w:r>
          </w:p>
        </w:tc>
        <w:tc>
          <w:tcPr>
            <w:tcW w:w="2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w w:val="96"/>
              </w:rPr>
              <w:t>539</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(1,239)</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$244,549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Share-based compensation</w:t>
            </w: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2,094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88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2,094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760" w:type="dxa"/>
            <w:vAlign w:val="bottom"/>
            <w:shd w:val="clear" w:color="auto" w:fill="CCEEFF"/>
          </w:tcPr>
          <w:p>
            <w:pPr>
              <w:ind w:left="420"/>
              <w:spacing w:after="0" w:line="201" w:lineRule="exact"/>
              <w:rPr>
                <w:sz w:val="20"/>
                <w:szCs w:val="20"/>
                <w:color w:val="auto"/>
              </w:rPr>
            </w:pPr>
            <w:r>
              <w:rPr>
                <w:rFonts w:ascii="Times New Roman" w:cs="Times New Roman" w:eastAsia="Times New Roman" w:hAnsi="Times New Roman"/>
                <w:sz w:val="18"/>
                <w:szCs w:val="18"/>
                <w:color w:val="auto"/>
              </w:rPr>
              <w:t>Vesting of restricted stock units, including impact of shares</w:t>
            </w: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76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withheld for taxes</w:t>
            </w: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84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88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0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Exercise of stock options</w:t>
            </w:r>
          </w:p>
        </w:tc>
        <w:tc>
          <w:tcPr>
            <w:tcW w:w="68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136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w w:val="96"/>
              </w:rPr>
              <w:t>656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88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656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Dividends declared and paid ($0.07 per share)</w:t>
            </w:r>
          </w:p>
        </w:tc>
        <w:tc>
          <w:tcPr>
            <w:tcW w:w="68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(3,988)</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(3,988)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Dividend equivalents paid on restricted stock units</w:t>
            </w:r>
          </w:p>
        </w:tc>
        <w:tc>
          <w:tcPr>
            <w:tcW w:w="68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4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w:t>
            </w:r>
          </w:p>
        </w:tc>
        <w:tc>
          <w:tcPr>
            <w:tcW w:w="200" w:type="dxa"/>
            <w:vAlign w:val="bottom"/>
          </w:tcPr>
          <w:p>
            <w:pPr>
              <w:spacing w:after="0"/>
              <w:rPr>
                <w:sz w:val="18"/>
                <w:szCs w:val="18"/>
                <w:color w:val="auto"/>
              </w:rPr>
            </w:pPr>
          </w:p>
        </w:tc>
        <w:tc>
          <w:tcPr>
            <w:tcW w:w="88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Net income</w:t>
            </w:r>
          </w:p>
        </w:tc>
        <w:tc>
          <w:tcPr>
            <w:tcW w:w="68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34,609</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(889)</w:t>
            </w:r>
          </w:p>
        </w:tc>
        <w:tc>
          <w:tcPr>
            <w:tcW w:w="9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33,720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Other comprehensive loss—net of tax</w:t>
            </w:r>
          </w:p>
        </w:tc>
        <w:tc>
          <w:tcPr>
            <w:tcW w:w="5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(182)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76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BALANCE—December 31, 2010</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58,770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6</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266,329</w:t>
            </w:r>
          </w:p>
        </w:tc>
        <w:tc>
          <w:tcPr>
            <w:tcW w:w="1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12,261</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357</w:t>
            </w:r>
          </w:p>
        </w:tc>
        <w:tc>
          <w:tcPr>
            <w:tcW w:w="2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(2,128)</w:t>
            </w:r>
          </w:p>
        </w:tc>
        <w:tc>
          <w:tcPr>
            <w:tcW w:w="9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276,825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60" w:type="dxa"/>
            <w:vAlign w:val="bottom"/>
            <w:vMerge w:val="restart"/>
          </w:tcPr>
          <w:p>
            <w:pPr>
              <w:ind w:left="420"/>
              <w:spacing w:after="0"/>
              <w:rPr>
                <w:sz w:val="20"/>
                <w:szCs w:val="20"/>
                <w:color w:val="auto"/>
              </w:rPr>
            </w:pPr>
            <w:r>
              <w:rPr>
                <w:rFonts w:ascii="Times New Roman" w:cs="Times New Roman" w:eastAsia="Times New Roman" w:hAnsi="Times New Roman"/>
                <w:sz w:val="18"/>
                <w:szCs w:val="18"/>
                <w:color w:val="auto"/>
              </w:rPr>
              <w:t>Share-based compensation</w:t>
            </w: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760" w:type="dxa"/>
            <w:vAlign w:val="bottom"/>
            <w:vMerge w:val="continue"/>
          </w:tcPr>
          <w:p>
            <w:pPr>
              <w:spacing w:after="0"/>
              <w:rPr>
                <w:sz w:val="18"/>
                <w:szCs w:val="18"/>
                <w:color w:val="auto"/>
              </w:rPr>
            </w:pPr>
          </w:p>
        </w:tc>
        <w:tc>
          <w:tcPr>
            <w:tcW w:w="540" w:type="dxa"/>
            <w:vAlign w:val="bottom"/>
          </w:tcPr>
          <w:p>
            <w:pPr>
              <w:ind w:left="280"/>
              <w:spacing w:after="0"/>
              <w:rPr>
                <w:sz w:val="20"/>
                <w:szCs w:val="20"/>
                <w:color w:val="auto"/>
              </w:rPr>
            </w:pPr>
            <w:r>
              <w:rPr>
                <w:rFonts w:ascii="Times New Roman" w:cs="Times New Roman" w:eastAsia="Times New Roman" w:hAnsi="Times New Roman"/>
                <w:sz w:val="18"/>
                <w:szCs w:val="18"/>
                <w:color w:val="auto"/>
                <w:w w:val="88"/>
              </w:rPr>
              <w:t>116</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760" w:type="dxa"/>
            <w:vAlign w:val="bottom"/>
            <w:shd w:val="clear" w:color="auto" w:fill="CCEEFF"/>
          </w:tcPr>
          <w:p>
            <w:pPr>
              <w:ind w:left="420"/>
              <w:spacing w:after="0" w:line="202" w:lineRule="exact"/>
              <w:rPr>
                <w:sz w:val="20"/>
                <w:szCs w:val="20"/>
                <w:color w:val="auto"/>
              </w:rPr>
            </w:pPr>
            <w:r>
              <w:rPr>
                <w:rFonts w:ascii="Times New Roman" w:cs="Times New Roman" w:eastAsia="Times New Roman" w:hAnsi="Times New Roman"/>
                <w:sz w:val="18"/>
                <w:szCs w:val="18"/>
                <w:color w:val="auto"/>
              </w:rPr>
              <w:t>Vesting of restricted stock units, including impact of shares</w:t>
            </w: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76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withheld for taxes</w:t>
            </w:r>
          </w:p>
        </w:tc>
        <w:tc>
          <w:tcPr>
            <w:tcW w:w="68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106</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(291)</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88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0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Exercise of stock options</w:t>
            </w: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88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Excess income tax benefit from share-based compensation</w:t>
            </w:r>
          </w:p>
        </w:tc>
        <w:tc>
          <w:tcPr>
            <w:tcW w:w="68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Acquisition of noncontrolling interest in NASDI, LLC</w:t>
            </w:r>
          </w:p>
        </w:tc>
        <w:tc>
          <w:tcPr>
            <w:tcW w:w="68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(40)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88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1,973</w:t>
            </w:r>
          </w:p>
        </w:tc>
        <w:tc>
          <w:tcPr>
            <w:tcW w:w="160" w:type="dxa"/>
            <w:vAlign w:val="bottom"/>
          </w:tcPr>
          <w:p>
            <w:pPr>
              <w:spacing w:after="0"/>
              <w:rPr>
                <w:sz w:val="18"/>
                <w:szCs w:val="18"/>
                <w:color w:val="auto"/>
              </w:rPr>
            </w:pPr>
          </w:p>
        </w:tc>
        <w:tc>
          <w:tcPr>
            <w:tcW w:w="9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1,933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Dividends declared and paid ($0.08 per share)</w:t>
            </w:r>
          </w:p>
        </w:tc>
        <w:tc>
          <w:tcPr>
            <w:tcW w:w="68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(4,711)</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(4,711)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Dividend equivalents paid on restricted stock units</w:t>
            </w:r>
          </w:p>
        </w:tc>
        <w:tc>
          <w:tcPr>
            <w:tcW w:w="68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4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(36)</w:t>
            </w:r>
          </w:p>
        </w:tc>
        <w:tc>
          <w:tcPr>
            <w:tcW w:w="200" w:type="dxa"/>
            <w:vAlign w:val="bottom"/>
          </w:tcPr>
          <w:p>
            <w:pPr>
              <w:spacing w:after="0"/>
              <w:rPr>
                <w:sz w:val="18"/>
                <w:szCs w:val="18"/>
                <w:color w:val="auto"/>
              </w:rPr>
            </w:pPr>
          </w:p>
        </w:tc>
        <w:tc>
          <w:tcPr>
            <w:tcW w:w="88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Net income</w:t>
            </w:r>
          </w:p>
        </w:tc>
        <w:tc>
          <w:tcPr>
            <w:tcW w:w="68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16,528</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w w:val="96"/>
              </w:rPr>
              <w:t>723</w:t>
            </w:r>
          </w:p>
        </w:tc>
        <w:tc>
          <w:tcPr>
            <w:tcW w:w="16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17,251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Other comprehensive loss—net of tax</w:t>
            </w:r>
          </w:p>
        </w:tc>
        <w:tc>
          <w:tcPr>
            <w:tcW w:w="5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(354)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76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BALANCE—December 31, 2011</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58,999</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6</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267,918</w:t>
            </w:r>
          </w:p>
        </w:tc>
        <w:tc>
          <w:tcPr>
            <w:tcW w:w="1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24,042</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w:t>
            </w:r>
          </w:p>
        </w:tc>
        <w:tc>
          <w:tcPr>
            <w:tcW w:w="2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w w:val="96"/>
              </w:rPr>
              <w:t>568</w:t>
            </w:r>
          </w:p>
        </w:tc>
        <w:tc>
          <w:tcPr>
            <w:tcW w:w="16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292,537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60" w:type="dxa"/>
            <w:vAlign w:val="bottom"/>
            <w:vMerge w:val="restart"/>
          </w:tcPr>
          <w:p>
            <w:pPr>
              <w:ind w:left="420"/>
              <w:spacing w:after="0"/>
              <w:rPr>
                <w:sz w:val="20"/>
                <w:szCs w:val="20"/>
                <w:color w:val="auto"/>
              </w:rPr>
            </w:pPr>
            <w:r>
              <w:rPr>
                <w:rFonts w:ascii="Times New Roman" w:cs="Times New Roman" w:eastAsia="Times New Roman" w:hAnsi="Times New Roman"/>
                <w:sz w:val="18"/>
                <w:szCs w:val="18"/>
                <w:color w:val="auto"/>
              </w:rPr>
              <w:t>Share-based compensation</w:t>
            </w: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760" w:type="dxa"/>
            <w:vAlign w:val="bottom"/>
            <w:vMerge w:val="continue"/>
          </w:tcPr>
          <w:p>
            <w:pPr>
              <w:spacing w:after="0"/>
              <w:rPr>
                <w:sz w:val="18"/>
                <w:szCs w:val="18"/>
                <w:color w:val="auto"/>
              </w:rPr>
            </w:pPr>
          </w:p>
        </w:tc>
        <w:tc>
          <w:tcPr>
            <w:tcW w:w="540" w:type="dxa"/>
            <w:vAlign w:val="bottom"/>
          </w:tcPr>
          <w:p>
            <w:pPr>
              <w:ind w:left="280"/>
              <w:spacing w:after="0"/>
              <w:rPr>
                <w:sz w:val="20"/>
                <w:szCs w:val="20"/>
                <w:color w:val="auto"/>
              </w:rPr>
            </w:pPr>
            <w:r>
              <w:rPr>
                <w:rFonts w:ascii="Times New Roman" w:cs="Times New Roman" w:eastAsia="Times New Roman" w:hAnsi="Times New Roman"/>
                <w:sz w:val="18"/>
                <w:szCs w:val="18"/>
                <w:color w:val="auto"/>
                <w:w w:val="88"/>
              </w:rPr>
              <w:t>165</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760" w:type="dxa"/>
            <w:vAlign w:val="bottom"/>
            <w:shd w:val="clear" w:color="auto" w:fill="CCEEFF"/>
          </w:tcPr>
          <w:p>
            <w:pPr>
              <w:ind w:left="420"/>
              <w:spacing w:after="0" w:line="202" w:lineRule="exact"/>
              <w:rPr>
                <w:sz w:val="20"/>
                <w:szCs w:val="20"/>
                <w:color w:val="auto"/>
              </w:rPr>
            </w:pPr>
            <w:r>
              <w:rPr>
                <w:rFonts w:ascii="Times New Roman" w:cs="Times New Roman" w:eastAsia="Times New Roman" w:hAnsi="Times New Roman"/>
                <w:sz w:val="18"/>
                <w:szCs w:val="18"/>
                <w:color w:val="auto"/>
              </w:rPr>
              <w:t>Vesting of restricted stock units, including impact of shares</w:t>
            </w: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76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withheld for taxes</w:t>
            </w: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92</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(231)</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88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0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Exercise of stock options</w:t>
            </w:r>
          </w:p>
        </w:tc>
        <w:tc>
          <w:tcPr>
            <w:tcW w:w="68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103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w w:val="96"/>
              </w:rPr>
              <w:t>461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88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461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Excess income tax benefit from share-based compensation</w:t>
            </w:r>
          </w:p>
        </w:tc>
        <w:tc>
          <w:tcPr>
            <w:tcW w:w="68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w w:val="96"/>
              </w:rPr>
              <w:t>189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Dividends declared and paid ($0.31 per share)</w:t>
            </w:r>
          </w:p>
        </w:tc>
        <w:tc>
          <w:tcPr>
            <w:tcW w:w="68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4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4"/>
              </w:rPr>
              <w:t>(18,560)</w:t>
            </w:r>
          </w:p>
        </w:tc>
        <w:tc>
          <w:tcPr>
            <w:tcW w:w="200" w:type="dxa"/>
            <w:vAlign w:val="bottom"/>
          </w:tcPr>
          <w:p>
            <w:pPr>
              <w:spacing w:after="0"/>
              <w:rPr>
                <w:sz w:val="18"/>
                <w:szCs w:val="18"/>
                <w:color w:val="auto"/>
              </w:rPr>
            </w:pPr>
          </w:p>
        </w:tc>
        <w:tc>
          <w:tcPr>
            <w:tcW w:w="88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(18,560)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Dividend equivalents paid on restricted stock units</w:t>
            </w:r>
          </w:p>
        </w:tc>
        <w:tc>
          <w:tcPr>
            <w:tcW w:w="68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(196)</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Distributions paid to noncontrolling interests</w:t>
            </w:r>
          </w:p>
        </w:tc>
        <w:tc>
          <w:tcPr>
            <w:tcW w:w="68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4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88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(133)</w:t>
            </w:r>
          </w:p>
        </w:tc>
        <w:tc>
          <w:tcPr>
            <w:tcW w:w="9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Net loss</w:t>
            </w:r>
          </w:p>
        </w:tc>
        <w:tc>
          <w:tcPr>
            <w:tcW w:w="68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(2,695)</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(645)</w:t>
            </w:r>
          </w:p>
        </w:tc>
        <w:tc>
          <w:tcPr>
            <w:tcW w:w="9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(3,340)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Other comprehensive loss—net of tax</w:t>
            </w:r>
          </w:p>
        </w:tc>
        <w:tc>
          <w:tcPr>
            <w:tcW w:w="5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(383)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76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BALANCE—December 31, 2012</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59,359</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6</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271,418</w:t>
            </w:r>
          </w:p>
        </w:tc>
        <w:tc>
          <w:tcPr>
            <w:tcW w:w="1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2,591</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(380)</w:t>
            </w:r>
          </w:p>
        </w:tc>
        <w:tc>
          <w:tcPr>
            <w:tcW w:w="2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(210)</w:t>
            </w:r>
          </w:p>
        </w:tc>
        <w:tc>
          <w:tcPr>
            <w:tcW w:w="9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273,425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ectPr>
          <w:pgSz w:w="11900" w:h="16838" w:orient="portrait"/>
          <w:cols w:equalWidth="0" w:num="1">
            <w:col w:w="11420"/>
          </w:cols>
          <w:pgMar w:left="240" w:top="455" w:right="239" w:bottom="1440" w:gutter="0" w:footer="0" w:header="0"/>
        </w:sectPr>
      </w:pPr>
    </w:p>
    <w:bookmarkStart w:id="67" w:name="page68"/>
    <w:bookmarkEnd w:id="6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18"/>
          <w:szCs w:val="18"/>
          <w:b w:val="1"/>
          <w:bCs w:val="1"/>
          <w:color w:val="auto"/>
        </w:rPr>
        <w:t>Great Lakes Dredge &amp; Dock Corporation and Subsidiaries</w:t>
      </w:r>
    </w:p>
    <w:p>
      <w:pPr>
        <w:spacing w:after="0" w:line="90"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Years Ended December 31, 2012, 2011 and 2010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6740" w:type="dxa"/>
            <w:vAlign w:val="bottom"/>
            <w:tcBorders>
              <w:bottom w:val="single" w:sz="8" w:color="CCEEFF"/>
            </w:tcBorders>
          </w:tcPr>
          <w:p>
            <w:pPr>
              <w:spacing w:after="0"/>
              <w:rPr>
                <w:sz w:val="14"/>
                <w:szCs w:val="14"/>
                <w:color w:val="auto"/>
              </w:rPr>
            </w:pPr>
          </w:p>
        </w:tc>
        <w:tc>
          <w:tcPr>
            <w:tcW w:w="216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2012</w:t>
            </w:r>
          </w:p>
        </w:tc>
        <w:tc>
          <w:tcPr>
            <w:tcW w:w="420" w:type="dxa"/>
            <w:vAlign w:val="bottom"/>
            <w:tcBorders>
              <w:bottom w:val="single" w:sz="8" w:color="CCEEFF"/>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2011</w:t>
            </w:r>
          </w:p>
        </w:tc>
        <w:tc>
          <w:tcPr>
            <w:tcW w:w="4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2010</w:t>
            </w:r>
          </w:p>
        </w:tc>
        <w:tc>
          <w:tcPr>
            <w:tcW w:w="8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740" w:type="dxa"/>
            <w:vAlign w:val="bottom"/>
            <w:shd w:val="clear" w:color="auto" w:fill="CCEEFF"/>
          </w:tcPr>
          <w:p>
            <w:pPr>
              <w:spacing w:after="0" w:line="129" w:lineRule="exact"/>
              <w:rPr>
                <w:sz w:val="20"/>
                <w:szCs w:val="20"/>
                <w:color w:val="auto"/>
              </w:rPr>
            </w:pPr>
            <w:r>
              <w:rPr>
                <w:rFonts w:ascii="Times New Roman" w:cs="Times New Roman" w:eastAsia="Times New Roman" w:hAnsi="Times New Roman"/>
                <w:sz w:val="14"/>
                <w:szCs w:val="14"/>
                <w:b w:val="1"/>
                <w:bCs w:val="1"/>
                <w:color w:val="auto"/>
              </w:rPr>
              <w:t>OPERATING ACTIVITIES:</w:t>
            </w:r>
          </w:p>
        </w:tc>
        <w:tc>
          <w:tcPr>
            <w:tcW w:w="2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Net income (loss)</w:t>
            </w:r>
          </w:p>
        </w:tc>
        <w:tc>
          <w:tcPr>
            <w:tcW w:w="22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jc w:val="right"/>
              <w:ind w:right="380"/>
              <w:spacing w:after="0" w:line="149" w:lineRule="exact"/>
              <w:rPr>
                <w:sz w:val="20"/>
                <w:szCs w:val="20"/>
                <w:color w:val="auto"/>
              </w:rPr>
            </w:pPr>
            <w:r>
              <w:rPr>
                <w:rFonts w:ascii="Times New Roman" w:cs="Times New Roman" w:eastAsia="Times New Roman" w:hAnsi="Times New Roman"/>
                <w:sz w:val="14"/>
                <w:szCs w:val="14"/>
                <w:color w:val="auto"/>
              </w:rPr>
              <w:t>(3,340)</w:t>
            </w: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17,251</w:t>
            </w:r>
          </w:p>
        </w:tc>
        <w:tc>
          <w:tcPr>
            <w:tcW w:w="420" w:type="dxa"/>
            <w:vAlign w:val="bottom"/>
          </w:tcPr>
          <w:p>
            <w:pPr>
              <w:spacing w:after="0"/>
              <w:rPr>
                <w:sz w:val="12"/>
                <w:szCs w:val="12"/>
                <w:color w:val="auto"/>
              </w:rPr>
            </w:pPr>
          </w:p>
        </w:tc>
        <w:tc>
          <w:tcPr>
            <w:tcW w:w="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33,720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Adjustments to reconcile net income to net cash flows used in operating activities:</w:t>
            </w:r>
          </w:p>
        </w:tc>
        <w:tc>
          <w:tcPr>
            <w:tcW w:w="2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40" w:type="dxa"/>
            <w:vAlign w:val="bottom"/>
          </w:tcPr>
          <w:p>
            <w:pPr>
              <w:ind w:left="420"/>
              <w:spacing w:after="0" w:line="149" w:lineRule="exact"/>
              <w:rPr>
                <w:sz w:val="20"/>
                <w:szCs w:val="20"/>
                <w:color w:val="auto"/>
              </w:rPr>
            </w:pPr>
            <w:r>
              <w:rPr>
                <w:rFonts w:ascii="Times New Roman" w:cs="Times New Roman" w:eastAsia="Times New Roman" w:hAnsi="Times New Roman"/>
                <w:sz w:val="14"/>
                <w:szCs w:val="14"/>
                <w:color w:val="auto"/>
              </w:rPr>
              <w:t>Depreciation and amortization</w:t>
            </w:r>
          </w:p>
        </w:tc>
        <w:tc>
          <w:tcPr>
            <w:tcW w:w="2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40,034</w:t>
            </w: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40,838</w:t>
            </w: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34,301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40" w:type="dxa"/>
            <w:vAlign w:val="bottom"/>
            <w:shd w:val="clear" w:color="auto" w:fill="CCEEFF"/>
          </w:tcPr>
          <w:p>
            <w:pPr>
              <w:ind w:left="420"/>
              <w:spacing w:after="0" w:line="149" w:lineRule="exact"/>
              <w:rPr>
                <w:sz w:val="20"/>
                <w:szCs w:val="20"/>
                <w:color w:val="auto"/>
              </w:rPr>
            </w:pPr>
            <w:r>
              <w:rPr>
                <w:rFonts w:ascii="Times New Roman" w:cs="Times New Roman" w:eastAsia="Times New Roman" w:hAnsi="Times New Roman"/>
                <w:sz w:val="14"/>
                <w:szCs w:val="14"/>
                <w:color w:val="auto"/>
              </w:rPr>
              <w:t>Equity in (earnings) loss of joint ventures</w:t>
            </w:r>
          </w:p>
        </w:tc>
        <w:tc>
          <w:tcPr>
            <w:tcW w:w="2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380"/>
              <w:spacing w:after="0" w:line="149" w:lineRule="exact"/>
              <w:rPr>
                <w:sz w:val="20"/>
                <w:szCs w:val="20"/>
                <w:color w:val="auto"/>
              </w:rPr>
            </w:pPr>
            <w:r>
              <w:rPr>
                <w:rFonts w:ascii="Times New Roman" w:cs="Times New Roman" w:eastAsia="Times New Roman" w:hAnsi="Times New Roman"/>
                <w:sz w:val="14"/>
                <w:szCs w:val="14"/>
                <w:color w:val="auto"/>
              </w:rPr>
              <w:t>(124)</w:t>
            </w: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406</w:t>
            </w: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614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40" w:type="dxa"/>
            <w:vAlign w:val="bottom"/>
          </w:tcPr>
          <w:p>
            <w:pPr>
              <w:ind w:left="420"/>
              <w:spacing w:after="0" w:line="149" w:lineRule="exact"/>
              <w:rPr>
                <w:sz w:val="20"/>
                <w:szCs w:val="20"/>
                <w:color w:val="auto"/>
              </w:rPr>
            </w:pPr>
            <w:r>
              <w:rPr>
                <w:rFonts w:ascii="Times New Roman" w:cs="Times New Roman" w:eastAsia="Times New Roman" w:hAnsi="Times New Roman"/>
                <w:sz w:val="14"/>
                <w:szCs w:val="14"/>
                <w:color w:val="auto"/>
              </w:rPr>
              <w:t>Loss on extinguishment of 7 3/4% senior subordinated notes</w:t>
            </w:r>
          </w:p>
        </w:tc>
        <w:tc>
          <w:tcPr>
            <w:tcW w:w="2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ind w:right="5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5,145</w:t>
            </w: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40" w:type="dxa"/>
            <w:vAlign w:val="bottom"/>
            <w:shd w:val="clear" w:color="auto" w:fill="CCEEFF"/>
          </w:tcPr>
          <w:p>
            <w:pPr>
              <w:ind w:left="420"/>
              <w:spacing w:after="0" w:line="149" w:lineRule="exact"/>
              <w:rPr>
                <w:sz w:val="20"/>
                <w:szCs w:val="20"/>
                <w:color w:val="auto"/>
              </w:rPr>
            </w:pPr>
            <w:r>
              <w:rPr>
                <w:rFonts w:ascii="Times New Roman" w:cs="Times New Roman" w:eastAsia="Times New Roman" w:hAnsi="Times New Roman"/>
                <w:sz w:val="14"/>
                <w:szCs w:val="14"/>
                <w:color w:val="auto"/>
              </w:rPr>
              <w:t>Deferred income taxes</w:t>
            </w:r>
          </w:p>
        </w:tc>
        <w:tc>
          <w:tcPr>
            <w:tcW w:w="2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3,100</w:t>
            </w:r>
          </w:p>
        </w:tc>
        <w:tc>
          <w:tcPr>
            <w:tcW w:w="4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14,332</w:t>
            </w: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7,405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40" w:type="dxa"/>
            <w:vAlign w:val="bottom"/>
          </w:tcPr>
          <w:p>
            <w:pPr>
              <w:ind w:left="420"/>
              <w:spacing w:after="0" w:line="149" w:lineRule="exact"/>
              <w:rPr>
                <w:sz w:val="20"/>
                <w:szCs w:val="20"/>
                <w:color w:val="auto"/>
              </w:rPr>
            </w:pPr>
            <w:r>
              <w:rPr>
                <w:rFonts w:ascii="Times New Roman" w:cs="Times New Roman" w:eastAsia="Times New Roman" w:hAnsi="Times New Roman"/>
                <w:sz w:val="14"/>
                <w:szCs w:val="14"/>
                <w:color w:val="auto"/>
              </w:rPr>
              <w:t>Gain on dispositions of property and equipment</w:t>
            </w:r>
          </w:p>
        </w:tc>
        <w:tc>
          <w:tcPr>
            <w:tcW w:w="2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ind w:right="380"/>
              <w:spacing w:after="0" w:line="149" w:lineRule="exact"/>
              <w:rPr>
                <w:sz w:val="20"/>
                <w:szCs w:val="20"/>
                <w:color w:val="auto"/>
              </w:rPr>
            </w:pPr>
            <w:r>
              <w:rPr>
                <w:rFonts w:ascii="Times New Roman" w:cs="Times New Roman" w:eastAsia="Times New Roman" w:hAnsi="Times New Roman"/>
                <w:sz w:val="14"/>
                <w:szCs w:val="14"/>
                <w:color w:val="auto"/>
              </w:rPr>
              <w:t>(532)</w:t>
            </w:r>
          </w:p>
        </w:tc>
        <w:tc>
          <w:tcPr>
            <w:tcW w:w="60" w:type="dxa"/>
            <w:vAlign w:val="bottom"/>
          </w:tcPr>
          <w:p>
            <w:pPr>
              <w:spacing w:after="0"/>
              <w:rPr>
                <w:sz w:val="12"/>
                <w:szCs w:val="12"/>
                <w:color w:val="auto"/>
              </w:rPr>
            </w:pPr>
          </w:p>
        </w:tc>
        <w:tc>
          <w:tcPr>
            <w:tcW w:w="900" w:type="dxa"/>
            <w:vAlign w:val="bottom"/>
            <w:gridSpan w:val="2"/>
          </w:tcPr>
          <w:p>
            <w:pPr>
              <w:jc w:val="right"/>
              <w:ind w:right="360"/>
              <w:spacing w:after="0" w:line="149" w:lineRule="exact"/>
              <w:rPr>
                <w:sz w:val="20"/>
                <w:szCs w:val="20"/>
                <w:color w:val="auto"/>
              </w:rPr>
            </w:pPr>
            <w:r>
              <w:rPr>
                <w:rFonts w:ascii="Times New Roman" w:cs="Times New Roman" w:eastAsia="Times New Roman" w:hAnsi="Times New Roman"/>
                <w:sz w:val="14"/>
                <w:szCs w:val="14"/>
                <w:color w:val="auto"/>
              </w:rPr>
              <w:t>(11,711)</w:t>
            </w:r>
          </w:p>
        </w:tc>
        <w:tc>
          <w:tcPr>
            <w:tcW w:w="80" w:type="dxa"/>
            <w:vAlign w:val="bottom"/>
          </w:tcPr>
          <w:p>
            <w:pPr>
              <w:spacing w:after="0"/>
              <w:rPr>
                <w:sz w:val="12"/>
                <w:szCs w:val="12"/>
                <w:color w:val="auto"/>
              </w:rPr>
            </w:pPr>
          </w:p>
        </w:tc>
        <w:tc>
          <w:tcPr>
            <w:tcW w:w="52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(505)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40" w:type="dxa"/>
            <w:vAlign w:val="bottom"/>
            <w:shd w:val="clear" w:color="auto" w:fill="CCEEFF"/>
          </w:tcPr>
          <w:p>
            <w:pPr>
              <w:ind w:left="420"/>
              <w:spacing w:after="0" w:line="149" w:lineRule="exact"/>
              <w:rPr>
                <w:sz w:val="20"/>
                <w:szCs w:val="20"/>
                <w:color w:val="auto"/>
              </w:rPr>
            </w:pPr>
            <w:r>
              <w:rPr>
                <w:rFonts w:ascii="Times New Roman" w:cs="Times New Roman" w:eastAsia="Times New Roman" w:hAnsi="Times New Roman"/>
                <w:sz w:val="14"/>
                <w:szCs w:val="14"/>
                <w:color w:val="auto"/>
              </w:rPr>
              <w:t>Gain on adjustment of contingent earnout</w:t>
            </w:r>
          </w:p>
        </w:tc>
        <w:tc>
          <w:tcPr>
            <w:tcW w:w="2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380"/>
              <w:spacing w:after="0" w:line="149" w:lineRule="exact"/>
              <w:rPr>
                <w:sz w:val="20"/>
                <w:szCs w:val="20"/>
                <w:color w:val="auto"/>
              </w:rPr>
            </w:pPr>
            <w:r>
              <w:rPr>
                <w:rFonts w:ascii="Times New Roman" w:cs="Times New Roman" w:eastAsia="Times New Roman" w:hAnsi="Times New Roman"/>
                <w:sz w:val="14"/>
                <w:szCs w:val="14"/>
                <w:color w:val="auto"/>
              </w:rPr>
              <w:t>(240)</w:t>
            </w:r>
          </w:p>
        </w:tc>
        <w:tc>
          <w:tcPr>
            <w:tcW w:w="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360"/>
              <w:spacing w:after="0" w:line="149" w:lineRule="exact"/>
              <w:rPr>
                <w:sz w:val="20"/>
                <w:szCs w:val="20"/>
                <w:color w:val="auto"/>
              </w:rPr>
            </w:pPr>
            <w:r>
              <w:rPr>
                <w:rFonts w:ascii="Times New Roman" w:cs="Times New Roman" w:eastAsia="Times New Roman" w:hAnsi="Times New Roman"/>
                <w:sz w:val="14"/>
                <w:szCs w:val="14"/>
                <w:color w:val="auto"/>
              </w:rPr>
              <w:t>(1,400)</w:t>
            </w:r>
          </w:p>
        </w:tc>
        <w:tc>
          <w:tcPr>
            <w:tcW w:w="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40" w:type="dxa"/>
            <w:vAlign w:val="bottom"/>
          </w:tcPr>
          <w:p>
            <w:pPr>
              <w:ind w:left="420"/>
              <w:spacing w:after="0" w:line="149" w:lineRule="exact"/>
              <w:rPr>
                <w:sz w:val="20"/>
                <w:szCs w:val="20"/>
                <w:color w:val="auto"/>
              </w:rPr>
            </w:pPr>
            <w:r>
              <w:rPr>
                <w:rFonts w:ascii="Times New Roman" w:cs="Times New Roman" w:eastAsia="Times New Roman" w:hAnsi="Times New Roman"/>
                <w:sz w:val="14"/>
                <w:szCs w:val="14"/>
                <w:color w:val="auto"/>
              </w:rPr>
              <w:t>Amortization of deferred financing fees</w:t>
            </w:r>
          </w:p>
        </w:tc>
        <w:tc>
          <w:tcPr>
            <w:tcW w:w="2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1,245</w:t>
            </w: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1,515</w:t>
            </w: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1,607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40" w:type="dxa"/>
            <w:vAlign w:val="bottom"/>
            <w:shd w:val="clear" w:color="auto" w:fill="CCEEFF"/>
          </w:tcPr>
          <w:p>
            <w:pPr>
              <w:ind w:left="420"/>
              <w:spacing w:after="0" w:line="149" w:lineRule="exact"/>
              <w:rPr>
                <w:sz w:val="20"/>
                <w:szCs w:val="20"/>
                <w:color w:val="auto"/>
              </w:rPr>
            </w:pPr>
            <w:r>
              <w:rPr>
                <w:rFonts w:ascii="Times New Roman" w:cs="Times New Roman" w:eastAsia="Times New Roman" w:hAnsi="Times New Roman"/>
                <w:sz w:val="14"/>
                <w:szCs w:val="14"/>
                <w:color w:val="auto"/>
              </w:rPr>
              <w:t>Unrealized foreign currency loss</w:t>
            </w:r>
          </w:p>
        </w:tc>
        <w:tc>
          <w:tcPr>
            <w:tcW w:w="2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208</w:t>
            </w:r>
          </w:p>
        </w:tc>
        <w:tc>
          <w:tcPr>
            <w:tcW w:w="4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513</w:t>
            </w: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40" w:type="dxa"/>
            <w:vAlign w:val="bottom"/>
          </w:tcPr>
          <w:p>
            <w:pPr>
              <w:ind w:left="420"/>
              <w:spacing w:after="0" w:line="149" w:lineRule="exact"/>
              <w:rPr>
                <w:sz w:val="20"/>
                <w:szCs w:val="20"/>
                <w:color w:val="auto"/>
              </w:rPr>
            </w:pPr>
            <w:r>
              <w:rPr>
                <w:rFonts w:ascii="Times New Roman" w:cs="Times New Roman" w:eastAsia="Times New Roman" w:hAnsi="Times New Roman"/>
                <w:sz w:val="14"/>
                <w:szCs w:val="14"/>
                <w:color w:val="auto"/>
              </w:rPr>
              <w:t>Share-based compensation expense</w:t>
            </w:r>
          </w:p>
        </w:tc>
        <w:tc>
          <w:tcPr>
            <w:tcW w:w="2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3,081</w:t>
            </w: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1,838</w:t>
            </w: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2,094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40" w:type="dxa"/>
            <w:vAlign w:val="bottom"/>
            <w:shd w:val="clear" w:color="auto" w:fill="CCEEFF"/>
          </w:tcPr>
          <w:p>
            <w:pPr>
              <w:ind w:left="420"/>
              <w:spacing w:after="0" w:line="149" w:lineRule="exact"/>
              <w:rPr>
                <w:sz w:val="20"/>
                <w:szCs w:val="20"/>
                <w:color w:val="auto"/>
              </w:rPr>
            </w:pPr>
            <w:r>
              <w:rPr>
                <w:rFonts w:ascii="Times New Roman" w:cs="Times New Roman" w:eastAsia="Times New Roman" w:hAnsi="Times New Roman"/>
                <w:sz w:val="14"/>
                <w:szCs w:val="14"/>
                <w:color w:val="auto"/>
              </w:rPr>
              <w:t>Excess income tax benefit from share-based compensation</w:t>
            </w:r>
          </w:p>
        </w:tc>
        <w:tc>
          <w:tcPr>
            <w:tcW w:w="2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380"/>
              <w:spacing w:after="0" w:line="149" w:lineRule="exact"/>
              <w:rPr>
                <w:sz w:val="20"/>
                <w:szCs w:val="20"/>
                <w:color w:val="auto"/>
              </w:rPr>
            </w:pPr>
            <w:r>
              <w:rPr>
                <w:rFonts w:ascii="Times New Roman" w:cs="Times New Roman" w:eastAsia="Times New Roman" w:hAnsi="Times New Roman"/>
                <w:sz w:val="14"/>
                <w:szCs w:val="14"/>
                <w:color w:val="auto"/>
              </w:rPr>
              <w:t>(189)</w:t>
            </w:r>
          </w:p>
        </w:tc>
        <w:tc>
          <w:tcPr>
            <w:tcW w:w="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360"/>
              <w:spacing w:after="0" w:line="149" w:lineRule="exact"/>
              <w:rPr>
                <w:sz w:val="20"/>
                <w:szCs w:val="20"/>
                <w:color w:val="auto"/>
              </w:rPr>
            </w:pPr>
            <w:r>
              <w:rPr>
                <w:rFonts w:ascii="Times New Roman" w:cs="Times New Roman" w:eastAsia="Times New Roman" w:hAnsi="Times New Roman"/>
                <w:sz w:val="14"/>
                <w:szCs w:val="14"/>
                <w:color w:val="auto"/>
              </w:rPr>
              <w:t>(55)</w:t>
            </w:r>
          </w:p>
        </w:tc>
        <w:tc>
          <w:tcPr>
            <w:tcW w:w="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40" w:type="dxa"/>
            <w:vAlign w:val="bottom"/>
          </w:tcPr>
          <w:p>
            <w:pPr>
              <w:ind w:left="420"/>
              <w:spacing w:after="0" w:line="149" w:lineRule="exact"/>
              <w:rPr>
                <w:sz w:val="20"/>
                <w:szCs w:val="20"/>
                <w:color w:val="auto"/>
              </w:rPr>
            </w:pPr>
            <w:r>
              <w:rPr>
                <w:rFonts w:ascii="Times New Roman" w:cs="Times New Roman" w:eastAsia="Times New Roman" w:hAnsi="Times New Roman"/>
                <w:sz w:val="14"/>
                <w:szCs w:val="14"/>
                <w:color w:val="auto"/>
              </w:rPr>
              <w:t>Changes in assets and liabilities:</w:t>
            </w:r>
          </w:p>
        </w:tc>
        <w:tc>
          <w:tcPr>
            <w:tcW w:w="2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40" w:type="dxa"/>
            <w:vAlign w:val="bottom"/>
            <w:shd w:val="clear" w:color="auto" w:fill="CCEEFF"/>
          </w:tcPr>
          <w:p>
            <w:pPr>
              <w:ind w:left="860"/>
              <w:spacing w:after="0" w:line="149" w:lineRule="exact"/>
              <w:rPr>
                <w:sz w:val="20"/>
                <w:szCs w:val="20"/>
                <w:color w:val="auto"/>
              </w:rPr>
            </w:pPr>
            <w:r>
              <w:rPr>
                <w:rFonts w:ascii="Times New Roman" w:cs="Times New Roman" w:eastAsia="Times New Roman" w:hAnsi="Times New Roman"/>
                <w:sz w:val="14"/>
                <w:szCs w:val="14"/>
                <w:color w:val="auto"/>
              </w:rPr>
              <w:t>Accounts receivable</w:t>
            </w:r>
          </w:p>
        </w:tc>
        <w:tc>
          <w:tcPr>
            <w:tcW w:w="2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380"/>
              <w:spacing w:after="0" w:line="149" w:lineRule="exact"/>
              <w:rPr>
                <w:sz w:val="20"/>
                <w:szCs w:val="20"/>
                <w:color w:val="auto"/>
              </w:rPr>
            </w:pPr>
            <w:r>
              <w:rPr>
                <w:rFonts w:ascii="Times New Roman" w:cs="Times New Roman" w:eastAsia="Times New Roman" w:hAnsi="Times New Roman"/>
                <w:sz w:val="14"/>
                <w:szCs w:val="14"/>
                <w:color w:val="auto"/>
                <w:w w:val="96"/>
              </w:rPr>
              <w:t>(16,597)</w:t>
            </w:r>
          </w:p>
        </w:tc>
        <w:tc>
          <w:tcPr>
            <w:tcW w:w="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360"/>
              <w:spacing w:after="0" w:line="149" w:lineRule="exact"/>
              <w:rPr>
                <w:sz w:val="20"/>
                <w:szCs w:val="20"/>
                <w:color w:val="auto"/>
              </w:rPr>
            </w:pPr>
            <w:r>
              <w:rPr>
                <w:rFonts w:ascii="Times New Roman" w:cs="Times New Roman" w:eastAsia="Times New Roman" w:hAnsi="Times New Roman"/>
                <w:sz w:val="14"/>
                <w:szCs w:val="14"/>
                <w:color w:val="auto"/>
              </w:rPr>
              <w:t>(25,659)</w:t>
            </w:r>
          </w:p>
        </w:tc>
        <w:tc>
          <w:tcPr>
            <w:tcW w:w="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56,603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40" w:type="dxa"/>
            <w:vAlign w:val="bottom"/>
          </w:tcPr>
          <w:p>
            <w:pPr>
              <w:ind w:left="860"/>
              <w:spacing w:after="0" w:line="149" w:lineRule="exact"/>
              <w:rPr>
                <w:sz w:val="20"/>
                <w:szCs w:val="20"/>
                <w:color w:val="auto"/>
              </w:rPr>
            </w:pPr>
            <w:r>
              <w:rPr>
                <w:rFonts w:ascii="Times New Roman" w:cs="Times New Roman" w:eastAsia="Times New Roman" w:hAnsi="Times New Roman"/>
                <w:sz w:val="14"/>
                <w:szCs w:val="14"/>
                <w:color w:val="auto"/>
              </w:rPr>
              <w:t>Contract revenues in excess of billings</w:t>
            </w:r>
          </w:p>
        </w:tc>
        <w:tc>
          <w:tcPr>
            <w:tcW w:w="2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ind w:right="380"/>
              <w:spacing w:after="0" w:line="149" w:lineRule="exact"/>
              <w:rPr>
                <w:sz w:val="20"/>
                <w:szCs w:val="20"/>
                <w:color w:val="auto"/>
              </w:rPr>
            </w:pPr>
            <w:r>
              <w:rPr>
                <w:rFonts w:ascii="Times New Roman" w:cs="Times New Roman" w:eastAsia="Times New Roman" w:hAnsi="Times New Roman"/>
                <w:sz w:val="14"/>
                <w:szCs w:val="14"/>
                <w:color w:val="auto"/>
                <w:w w:val="96"/>
              </w:rPr>
              <w:t>(40,273)</w:t>
            </w:r>
          </w:p>
        </w:tc>
        <w:tc>
          <w:tcPr>
            <w:tcW w:w="60" w:type="dxa"/>
            <w:vAlign w:val="bottom"/>
          </w:tcPr>
          <w:p>
            <w:pPr>
              <w:spacing w:after="0"/>
              <w:rPr>
                <w:sz w:val="12"/>
                <w:szCs w:val="12"/>
                <w:color w:val="auto"/>
              </w:rPr>
            </w:pPr>
          </w:p>
        </w:tc>
        <w:tc>
          <w:tcPr>
            <w:tcW w:w="900" w:type="dxa"/>
            <w:vAlign w:val="bottom"/>
            <w:gridSpan w:val="2"/>
          </w:tcPr>
          <w:p>
            <w:pPr>
              <w:jc w:val="right"/>
              <w:ind w:right="360"/>
              <w:spacing w:after="0" w:line="149" w:lineRule="exact"/>
              <w:rPr>
                <w:sz w:val="20"/>
                <w:szCs w:val="20"/>
                <w:color w:val="auto"/>
              </w:rPr>
            </w:pPr>
            <w:r>
              <w:rPr>
                <w:rFonts w:ascii="Times New Roman" w:cs="Times New Roman" w:eastAsia="Times New Roman" w:hAnsi="Times New Roman"/>
                <w:sz w:val="14"/>
                <w:szCs w:val="14"/>
                <w:color w:val="auto"/>
              </w:rPr>
              <w:t>(3,759)</w:t>
            </w:r>
          </w:p>
        </w:tc>
        <w:tc>
          <w:tcPr>
            <w:tcW w:w="80" w:type="dxa"/>
            <w:vAlign w:val="bottom"/>
          </w:tcPr>
          <w:p>
            <w:pPr>
              <w:spacing w:after="0"/>
              <w:rPr>
                <w:sz w:val="12"/>
                <w:szCs w:val="12"/>
                <w:color w:val="auto"/>
              </w:rPr>
            </w:pPr>
          </w:p>
        </w:tc>
        <w:tc>
          <w:tcPr>
            <w:tcW w:w="52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3,510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40" w:type="dxa"/>
            <w:vAlign w:val="bottom"/>
            <w:shd w:val="clear" w:color="auto" w:fill="CCEEFF"/>
          </w:tcPr>
          <w:p>
            <w:pPr>
              <w:ind w:left="860"/>
              <w:spacing w:after="0" w:line="149" w:lineRule="exact"/>
              <w:rPr>
                <w:sz w:val="20"/>
                <w:szCs w:val="20"/>
                <w:color w:val="auto"/>
              </w:rPr>
            </w:pPr>
            <w:r>
              <w:rPr>
                <w:rFonts w:ascii="Times New Roman" w:cs="Times New Roman" w:eastAsia="Times New Roman" w:hAnsi="Times New Roman"/>
                <w:sz w:val="14"/>
                <w:szCs w:val="14"/>
                <w:color w:val="auto"/>
              </w:rPr>
              <w:t>Inventories</w:t>
            </w:r>
          </w:p>
        </w:tc>
        <w:tc>
          <w:tcPr>
            <w:tcW w:w="2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380"/>
              <w:spacing w:after="0" w:line="149" w:lineRule="exact"/>
              <w:rPr>
                <w:sz w:val="20"/>
                <w:szCs w:val="20"/>
                <w:color w:val="auto"/>
              </w:rPr>
            </w:pPr>
            <w:r>
              <w:rPr>
                <w:rFonts w:ascii="Times New Roman" w:cs="Times New Roman" w:eastAsia="Times New Roman" w:hAnsi="Times New Roman"/>
                <w:sz w:val="14"/>
                <w:szCs w:val="14"/>
                <w:color w:val="auto"/>
              </w:rPr>
              <w:t>(2,869)</w:t>
            </w:r>
          </w:p>
        </w:tc>
        <w:tc>
          <w:tcPr>
            <w:tcW w:w="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360"/>
              <w:spacing w:after="0" w:line="149" w:lineRule="exact"/>
              <w:rPr>
                <w:sz w:val="20"/>
                <w:szCs w:val="20"/>
                <w:color w:val="auto"/>
              </w:rPr>
            </w:pPr>
            <w:r>
              <w:rPr>
                <w:rFonts w:ascii="Times New Roman" w:cs="Times New Roman" w:eastAsia="Times New Roman" w:hAnsi="Times New Roman"/>
                <w:sz w:val="14"/>
                <w:szCs w:val="14"/>
                <w:color w:val="auto"/>
              </w:rPr>
              <w:t>(4,667)</w:t>
            </w:r>
          </w:p>
        </w:tc>
        <w:tc>
          <w:tcPr>
            <w:tcW w:w="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2,630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40" w:type="dxa"/>
            <w:vAlign w:val="bottom"/>
          </w:tcPr>
          <w:p>
            <w:pPr>
              <w:ind w:left="860"/>
              <w:spacing w:after="0" w:line="149" w:lineRule="exact"/>
              <w:rPr>
                <w:sz w:val="20"/>
                <w:szCs w:val="20"/>
                <w:color w:val="auto"/>
              </w:rPr>
            </w:pPr>
            <w:r>
              <w:rPr>
                <w:rFonts w:ascii="Times New Roman" w:cs="Times New Roman" w:eastAsia="Times New Roman" w:hAnsi="Times New Roman"/>
                <w:sz w:val="14"/>
                <w:szCs w:val="14"/>
                <w:color w:val="auto"/>
              </w:rPr>
              <w:t>Prepaid expenses and other current assets</w:t>
            </w:r>
          </w:p>
        </w:tc>
        <w:tc>
          <w:tcPr>
            <w:tcW w:w="2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ind w:right="380"/>
              <w:spacing w:after="0" w:line="149" w:lineRule="exact"/>
              <w:rPr>
                <w:sz w:val="20"/>
                <w:szCs w:val="20"/>
                <w:color w:val="auto"/>
              </w:rPr>
            </w:pPr>
            <w:r>
              <w:rPr>
                <w:rFonts w:ascii="Times New Roman" w:cs="Times New Roman" w:eastAsia="Times New Roman" w:hAnsi="Times New Roman"/>
                <w:sz w:val="14"/>
                <w:szCs w:val="14"/>
                <w:color w:val="auto"/>
              </w:rPr>
              <w:t>(7,935)</w:t>
            </w:r>
          </w:p>
        </w:tc>
        <w:tc>
          <w:tcPr>
            <w:tcW w:w="60" w:type="dxa"/>
            <w:vAlign w:val="bottom"/>
          </w:tcPr>
          <w:p>
            <w:pPr>
              <w:spacing w:after="0"/>
              <w:rPr>
                <w:sz w:val="12"/>
                <w:szCs w:val="12"/>
                <w:color w:val="auto"/>
              </w:rPr>
            </w:pPr>
          </w:p>
        </w:tc>
        <w:tc>
          <w:tcPr>
            <w:tcW w:w="900" w:type="dxa"/>
            <w:vAlign w:val="bottom"/>
            <w:gridSpan w:val="2"/>
          </w:tcPr>
          <w:p>
            <w:pPr>
              <w:jc w:val="right"/>
              <w:ind w:right="360"/>
              <w:spacing w:after="0" w:line="149" w:lineRule="exact"/>
              <w:rPr>
                <w:sz w:val="20"/>
                <w:szCs w:val="20"/>
                <w:color w:val="auto"/>
              </w:rPr>
            </w:pPr>
            <w:r>
              <w:rPr>
                <w:rFonts w:ascii="Times New Roman" w:cs="Times New Roman" w:eastAsia="Times New Roman" w:hAnsi="Times New Roman"/>
                <w:sz w:val="14"/>
                <w:szCs w:val="14"/>
                <w:color w:val="auto"/>
              </w:rPr>
              <w:t>(12,340)</w:t>
            </w:r>
          </w:p>
        </w:tc>
        <w:tc>
          <w:tcPr>
            <w:tcW w:w="80" w:type="dxa"/>
            <w:vAlign w:val="bottom"/>
          </w:tcPr>
          <w:p>
            <w:pPr>
              <w:spacing w:after="0"/>
              <w:rPr>
                <w:sz w:val="12"/>
                <w:szCs w:val="12"/>
                <w:color w:val="auto"/>
              </w:rPr>
            </w:pPr>
          </w:p>
        </w:tc>
        <w:tc>
          <w:tcPr>
            <w:tcW w:w="52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(847)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40" w:type="dxa"/>
            <w:vAlign w:val="bottom"/>
            <w:shd w:val="clear" w:color="auto" w:fill="CCEEFF"/>
          </w:tcPr>
          <w:p>
            <w:pPr>
              <w:ind w:left="860"/>
              <w:spacing w:after="0" w:line="149" w:lineRule="exact"/>
              <w:rPr>
                <w:sz w:val="20"/>
                <w:szCs w:val="20"/>
                <w:color w:val="auto"/>
              </w:rPr>
            </w:pPr>
            <w:r>
              <w:rPr>
                <w:rFonts w:ascii="Times New Roman" w:cs="Times New Roman" w:eastAsia="Times New Roman" w:hAnsi="Times New Roman"/>
                <w:sz w:val="14"/>
                <w:szCs w:val="14"/>
                <w:color w:val="auto"/>
              </w:rPr>
              <w:t>Accounts payable and accrued expenses</w:t>
            </w:r>
          </w:p>
        </w:tc>
        <w:tc>
          <w:tcPr>
            <w:tcW w:w="2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24,633</w:t>
            </w:r>
          </w:p>
        </w:tc>
        <w:tc>
          <w:tcPr>
            <w:tcW w:w="4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3,888</w:t>
            </w: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(5,053)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40" w:type="dxa"/>
            <w:vAlign w:val="bottom"/>
          </w:tcPr>
          <w:p>
            <w:pPr>
              <w:ind w:left="860"/>
              <w:spacing w:after="0" w:line="149" w:lineRule="exact"/>
              <w:rPr>
                <w:sz w:val="20"/>
                <w:szCs w:val="20"/>
                <w:color w:val="auto"/>
              </w:rPr>
            </w:pPr>
            <w:r>
              <w:rPr>
                <w:rFonts w:ascii="Times New Roman" w:cs="Times New Roman" w:eastAsia="Times New Roman" w:hAnsi="Times New Roman"/>
                <w:sz w:val="14"/>
                <w:szCs w:val="14"/>
                <w:color w:val="auto"/>
              </w:rPr>
              <w:t>Billings in excess of contract revenues</w:t>
            </w:r>
          </w:p>
        </w:tc>
        <w:tc>
          <w:tcPr>
            <w:tcW w:w="2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ind w:right="380"/>
              <w:spacing w:after="0" w:line="149" w:lineRule="exact"/>
              <w:rPr>
                <w:sz w:val="20"/>
                <w:szCs w:val="20"/>
                <w:color w:val="auto"/>
              </w:rPr>
            </w:pPr>
            <w:r>
              <w:rPr>
                <w:rFonts w:ascii="Times New Roman" w:cs="Times New Roman" w:eastAsia="Times New Roman" w:hAnsi="Times New Roman"/>
                <w:sz w:val="14"/>
                <w:szCs w:val="14"/>
                <w:color w:val="auto"/>
              </w:rPr>
              <w:t>(2,398)</w:t>
            </w:r>
          </w:p>
        </w:tc>
        <w:tc>
          <w:tcPr>
            <w:tcW w:w="60" w:type="dxa"/>
            <w:vAlign w:val="bottom"/>
          </w:tcPr>
          <w:p>
            <w:pPr>
              <w:spacing w:after="0"/>
              <w:rPr>
                <w:sz w:val="12"/>
                <w:szCs w:val="12"/>
                <w:color w:val="auto"/>
              </w:rPr>
            </w:pPr>
          </w:p>
        </w:tc>
        <w:tc>
          <w:tcPr>
            <w:tcW w:w="900" w:type="dxa"/>
            <w:vAlign w:val="bottom"/>
            <w:gridSpan w:val="2"/>
          </w:tcPr>
          <w:p>
            <w:pPr>
              <w:jc w:val="right"/>
              <w:ind w:right="360"/>
              <w:spacing w:after="0" w:line="149" w:lineRule="exact"/>
              <w:rPr>
                <w:sz w:val="20"/>
                <w:szCs w:val="20"/>
                <w:color w:val="auto"/>
              </w:rPr>
            </w:pPr>
            <w:r>
              <w:rPr>
                <w:rFonts w:ascii="Times New Roman" w:cs="Times New Roman" w:eastAsia="Times New Roman" w:hAnsi="Times New Roman"/>
                <w:sz w:val="14"/>
                <w:szCs w:val="14"/>
                <w:color w:val="auto"/>
              </w:rPr>
              <w:t>(857)</w:t>
            </w:r>
          </w:p>
        </w:tc>
        <w:tc>
          <w:tcPr>
            <w:tcW w:w="80" w:type="dxa"/>
            <w:vAlign w:val="bottom"/>
          </w:tcPr>
          <w:p>
            <w:pPr>
              <w:spacing w:after="0"/>
              <w:rPr>
                <w:sz w:val="12"/>
                <w:szCs w:val="12"/>
                <w:color w:val="auto"/>
              </w:rPr>
            </w:pPr>
          </w:p>
        </w:tc>
        <w:tc>
          <w:tcPr>
            <w:tcW w:w="52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w w:val="96"/>
              </w:rPr>
              <w:t>(11,078)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40" w:type="dxa"/>
            <w:vAlign w:val="bottom"/>
            <w:shd w:val="clear" w:color="auto" w:fill="CCEEFF"/>
          </w:tcPr>
          <w:p>
            <w:pPr>
              <w:ind w:left="860"/>
              <w:spacing w:after="0" w:line="149" w:lineRule="exact"/>
              <w:rPr>
                <w:sz w:val="20"/>
                <w:szCs w:val="20"/>
                <w:color w:val="auto"/>
              </w:rPr>
            </w:pPr>
            <w:r>
              <w:rPr>
                <w:rFonts w:ascii="Times New Roman" w:cs="Times New Roman" w:eastAsia="Times New Roman" w:hAnsi="Times New Roman"/>
                <w:sz w:val="14"/>
                <w:szCs w:val="14"/>
                <w:color w:val="auto"/>
              </w:rPr>
              <w:t>Other noncurrent assets and liabilities</w:t>
            </w:r>
          </w:p>
        </w:tc>
        <w:tc>
          <w:tcPr>
            <w:tcW w:w="2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336</w:t>
            </w:r>
          </w:p>
        </w:tc>
        <w:tc>
          <w:tcPr>
            <w:tcW w:w="4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360"/>
              <w:spacing w:after="0" w:line="149" w:lineRule="exact"/>
              <w:rPr>
                <w:sz w:val="20"/>
                <w:szCs w:val="20"/>
                <w:color w:val="auto"/>
              </w:rPr>
            </w:pPr>
            <w:r>
              <w:rPr>
                <w:rFonts w:ascii="Times New Roman" w:cs="Times New Roman" w:eastAsia="Times New Roman" w:hAnsi="Times New Roman"/>
                <w:sz w:val="14"/>
                <w:szCs w:val="14"/>
                <w:color w:val="auto"/>
              </w:rPr>
              <w:t>(715)</w:t>
            </w:r>
          </w:p>
        </w:tc>
        <w:tc>
          <w:tcPr>
            <w:tcW w:w="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(1,470)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40" w:type="dxa"/>
            <w:vAlign w:val="bottom"/>
            <w:vMerge w:val="restart"/>
          </w:tcPr>
          <w:p>
            <w:pPr>
              <w:ind w:left="420"/>
              <w:spacing w:after="0"/>
              <w:rPr>
                <w:sz w:val="20"/>
                <w:szCs w:val="20"/>
                <w:color w:val="auto"/>
              </w:rPr>
            </w:pPr>
            <w:r>
              <w:rPr>
                <w:rFonts w:ascii="Times New Roman" w:cs="Times New Roman" w:eastAsia="Times New Roman" w:hAnsi="Times New Roman"/>
                <w:sz w:val="14"/>
                <w:szCs w:val="14"/>
                <w:color w:val="auto"/>
              </w:rPr>
              <w:t>Net cash flows provided by (used in) by operating activities</w:t>
            </w:r>
          </w:p>
        </w:tc>
        <w:tc>
          <w:tcPr>
            <w:tcW w:w="2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6740" w:type="dxa"/>
            <w:vAlign w:val="bottom"/>
            <w:vMerge w:val="continue"/>
          </w:tcPr>
          <w:p>
            <w:pPr>
              <w:spacing w:after="0"/>
              <w:rPr>
                <w:sz w:val="13"/>
                <w:szCs w:val="13"/>
                <w:color w:val="auto"/>
              </w:rPr>
            </w:pPr>
          </w:p>
        </w:tc>
        <w:tc>
          <w:tcPr>
            <w:tcW w:w="2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gridSpan w:val="2"/>
          </w:tcPr>
          <w:p>
            <w:pPr>
              <w:jc w:val="right"/>
              <w:ind w:right="380"/>
              <w:spacing w:after="0" w:line="155" w:lineRule="exact"/>
              <w:rPr>
                <w:sz w:val="20"/>
                <w:szCs w:val="20"/>
                <w:color w:val="auto"/>
              </w:rPr>
            </w:pPr>
            <w:r>
              <w:rPr>
                <w:rFonts w:ascii="Times New Roman" w:cs="Times New Roman" w:eastAsia="Times New Roman" w:hAnsi="Times New Roman"/>
                <w:sz w:val="14"/>
                <w:szCs w:val="14"/>
                <w:color w:val="auto"/>
              </w:rPr>
              <w:t>(1,860)</w:t>
            </w:r>
          </w:p>
        </w:tc>
        <w:tc>
          <w:tcPr>
            <w:tcW w:w="60" w:type="dxa"/>
            <w:vAlign w:val="bottom"/>
          </w:tcPr>
          <w:p>
            <w:pPr>
              <w:spacing w:after="0"/>
              <w:rPr>
                <w:sz w:val="13"/>
                <w:szCs w:val="13"/>
                <w:color w:val="auto"/>
              </w:rPr>
            </w:pPr>
          </w:p>
        </w:tc>
        <w:tc>
          <w:tcPr>
            <w:tcW w:w="48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24,563</w:t>
            </w: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gridSpan w:val="2"/>
          </w:tcPr>
          <w:p>
            <w:pPr>
              <w:jc w:val="right"/>
              <w:ind w:right="80"/>
              <w:spacing w:after="0" w:line="155" w:lineRule="exact"/>
              <w:rPr>
                <w:sz w:val="20"/>
                <w:szCs w:val="20"/>
                <w:color w:val="auto"/>
              </w:rPr>
            </w:pPr>
            <w:r>
              <w:rPr>
                <w:rFonts w:ascii="Times New Roman" w:cs="Times New Roman" w:eastAsia="Times New Roman" w:hAnsi="Times New Roman"/>
                <w:sz w:val="14"/>
                <w:szCs w:val="14"/>
                <w:color w:val="auto"/>
                <w:w w:val="92"/>
              </w:rPr>
              <w:t>123,531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INVESTING ACTIVITIES:</w:t>
            </w:r>
          </w:p>
        </w:tc>
        <w:tc>
          <w:tcPr>
            <w:tcW w:w="2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Purchases of property and equipment</w:t>
            </w:r>
          </w:p>
        </w:tc>
        <w:tc>
          <w:tcPr>
            <w:tcW w:w="2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ind w:right="380"/>
              <w:spacing w:after="0" w:line="149" w:lineRule="exact"/>
              <w:rPr>
                <w:sz w:val="20"/>
                <w:szCs w:val="20"/>
                <w:color w:val="auto"/>
              </w:rPr>
            </w:pPr>
            <w:r>
              <w:rPr>
                <w:rFonts w:ascii="Times New Roman" w:cs="Times New Roman" w:eastAsia="Times New Roman" w:hAnsi="Times New Roman"/>
                <w:sz w:val="14"/>
                <w:szCs w:val="14"/>
                <w:color w:val="auto"/>
                <w:w w:val="96"/>
              </w:rPr>
              <w:t>(62,485)</w:t>
            </w:r>
          </w:p>
        </w:tc>
        <w:tc>
          <w:tcPr>
            <w:tcW w:w="60" w:type="dxa"/>
            <w:vAlign w:val="bottom"/>
          </w:tcPr>
          <w:p>
            <w:pPr>
              <w:spacing w:after="0"/>
              <w:rPr>
                <w:sz w:val="12"/>
                <w:szCs w:val="12"/>
                <w:color w:val="auto"/>
              </w:rPr>
            </w:pPr>
          </w:p>
        </w:tc>
        <w:tc>
          <w:tcPr>
            <w:tcW w:w="900" w:type="dxa"/>
            <w:vAlign w:val="bottom"/>
            <w:gridSpan w:val="2"/>
          </w:tcPr>
          <w:p>
            <w:pPr>
              <w:jc w:val="right"/>
              <w:ind w:right="360"/>
              <w:spacing w:after="0" w:line="149" w:lineRule="exact"/>
              <w:rPr>
                <w:sz w:val="20"/>
                <w:szCs w:val="20"/>
                <w:color w:val="auto"/>
              </w:rPr>
            </w:pPr>
            <w:r>
              <w:rPr>
                <w:rFonts w:ascii="Times New Roman" w:cs="Times New Roman" w:eastAsia="Times New Roman" w:hAnsi="Times New Roman"/>
                <w:sz w:val="14"/>
                <w:szCs w:val="14"/>
                <w:color w:val="auto"/>
              </w:rPr>
              <w:t>(33,433)</w:t>
            </w:r>
          </w:p>
        </w:tc>
        <w:tc>
          <w:tcPr>
            <w:tcW w:w="80" w:type="dxa"/>
            <w:vAlign w:val="bottom"/>
          </w:tcPr>
          <w:p>
            <w:pPr>
              <w:spacing w:after="0"/>
              <w:rPr>
                <w:sz w:val="12"/>
                <w:szCs w:val="12"/>
                <w:color w:val="auto"/>
              </w:rPr>
            </w:pPr>
          </w:p>
        </w:tc>
        <w:tc>
          <w:tcPr>
            <w:tcW w:w="52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w w:val="96"/>
              </w:rPr>
              <w:t>(25,258)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Proceeds from dispositions of property and equipment</w:t>
            </w:r>
          </w:p>
        </w:tc>
        <w:tc>
          <w:tcPr>
            <w:tcW w:w="2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1,042</w:t>
            </w:r>
          </w:p>
        </w:tc>
        <w:tc>
          <w:tcPr>
            <w:tcW w:w="4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16,717</w:t>
            </w: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431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Acquisition of Terra assets</w:t>
            </w:r>
          </w:p>
        </w:tc>
        <w:tc>
          <w:tcPr>
            <w:tcW w:w="2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ind w:right="380"/>
              <w:spacing w:after="0" w:line="149" w:lineRule="exact"/>
              <w:rPr>
                <w:sz w:val="20"/>
                <w:szCs w:val="20"/>
                <w:color w:val="auto"/>
              </w:rPr>
            </w:pPr>
            <w:r>
              <w:rPr>
                <w:rFonts w:ascii="Times New Roman" w:cs="Times New Roman" w:eastAsia="Times New Roman" w:hAnsi="Times New Roman"/>
                <w:sz w:val="14"/>
                <w:szCs w:val="14"/>
                <w:color w:val="auto"/>
              </w:rPr>
              <w:t>(2,000)</w:t>
            </w:r>
          </w:p>
        </w:tc>
        <w:tc>
          <w:tcPr>
            <w:tcW w:w="60" w:type="dxa"/>
            <w:vAlign w:val="bottom"/>
          </w:tcPr>
          <w:p>
            <w:pPr>
              <w:spacing w:after="0"/>
              <w:rPr>
                <w:sz w:val="12"/>
                <w:szCs w:val="12"/>
                <w:color w:val="auto"/>
              </w:rPr>
            </w:pPr>
          </w:p>
        </w:tc>
        <w:tc>
          <w:tcPr>
            <w:tcW w:w="900" w:type="dxa"/>
            <w:vAlign w:val="bottom"/>
            <w:gridSpan w:val="2"/>
          </w:tcPr>
          <w:p>
            <w:pPr>
              <w:jc w:val="right"/>
              <w:ind w:right="4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52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Acquisition of Matteson assets</w:t>
            </w:r>
          </w:p>
        </w:tc>
        <w:tc>
          <w:tcPr>
            <w:tcW w:w="2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ind w:right="12"/>
              <w:spacing w:after="0" w:line="149" w:lineRule="exact"/>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w w:val="96"/>
              </w:rPr>
              <w:t>(37,869)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40" w:type="dxa"/>
            <w:vAlign w:val="bottom"/>
            <w:vMerge w:val="restart"/>
          </w:tcPr>
          <w:p>
            <w:pPr>
              <w:ind w:left="420"/>
              <w:spacing w:after="0"/>
              <w:rPr>
                <w:sz w:val="20"/>
                <w:szCs w:val="20"/>
                <w:color w:val="auto"/>
              </w:rPr>
            </w:pPr>
            <w:r>
              <w:rPr>
                <w:rFonts w:ascii="Times New Roman" w:cs="Times New Roman" w:eastAsia="Times New Roman" w:hAnsi="Times New Roman"/>
                <w:sz w:val="14"/>
                <w:szCs w:val="14"/>
                <w:color w:val="auto"/>
              </w:rPr>
              <w:t>Net cash flows used in investing activities</w:t>
            </w:r>
          </w:p>
        </w:tc>
        <w:tc>
          <w:tcPr>
            <w:tcW w:w="2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6740" w:type="dxa"/>
            <w:vAlign w:val="bottom"/>
            <w:vMerge w:val="continue"/>
          </w:tcPr>
          <w:p>
            <w:pPr>
              <w:spacing w:after="0"/>
              <w:rPr>
                <w:sz w:val="13"/>
                <w:szCs w:val="13"/>
                <w:color w:val="auto"/>
              </w:rPr>
            </w:pPr>
          </w:p>
        </w:tc>
        <w:tc>
          <w:tcPr>
            <w:tcW w:w="2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gridSpan w:val="2"/>
          </w:tcPr>
          <w:p>
            <w:pPr>
              <w:jc w:val="right"/>
              <w:ind w:right="380"/>
              <w:spacing w:after="0" w:line="155" w:lineRule="exact"/>
              <w:rPr>
                <w:sz w:val="20"/>
                <w:szCs w:val="20"/>
                <w:color w:val="auto"/>
              </w:rPr>
            </w:pPr>
            <w:r>
              <w:rPr>
                <w:rFonts w:ascii="Times New Roman" w:cs="Times New Roman" w:eastAsia="Times New Roman" w:hAnsi="Times New Roman"/>
                <w:sz w:val="14"/>
                <w:szCs w:val="14"/>
                <w:color w:val="auto"/>
                <w:w w:val="96"/>
              </w:rPr>
              <w:t>(63,443)</w:t>
            </w:r>
          </w:p>
        </w:tc>
        <w:tc>
          <w:tcPr>
            <w:tcW w:w="60" w:type="dxa"/>
            <w:vAlign w:val="bottom"/>
          </w:tcPr>
          <w:p>
            <w:pPr>
              <w:spacing w:after="0"/>
              <w:rPr>
                <w:sz w:val="13"/>
                <w:szCs w:val="13"/>
                <w:color w:val="auto"/>
              </w:rPr>
            </w:pPr>
          </w:p>
        </w:tc>
        <w:tc>
          <w:tcPr>
            <w:tcW w:w="900" w:type="dxa"/>
            <w:vAlign w:val="bottom"/>
            <w:gridSpan w:val="2"/>
          </w:tcPr>
          <w:p>
            <w:pPr>
              <w:jc w:val="right"/>
              <w:ind w:right="360"/>
              <w:spacing w:after="0" w:line="155" w:lineRule="exact"/>
              <w:rPr>
                <w:sz w:val="20"/>
                <w:szCs w:val="20"/>
                <w:color w:val="auto"/>
              </w:rPr>
            </w:pPr>
            <w:r>
              <w:rPr>
                <w:rFonts w:ascii="Times New Roman" w:cs="Times New Roman" w:eastAsia="Times New Roman" w:hAnsi="Times New Roman"/>
                <w:sz w:val="14"/>
                <w:szCs w:val="14"/>
                <w:color w:val="auto"/>
              </w:rPr>
              <w:t>(16,716)</w:t>
            </w:r>
          </w:p>
        </w:tc>
        <w:tc>
          <w:tcPr>
            <w:tcW w:w="80" w:type="dxa"/>
            <w:vAlign w:val="bottom"/>
          </w:tcPr>
          <w:p>
            <w:pPr>
              <w:spacing w:after="0"/>
              <w:rPr>
                <w:sz w:val="13"/>
                <w:szCs w:val="13"/>
                <w:color w:val="auto"/>
              </w:rPr>
            </w:pPr>
          </w:p>
        </w:tc>
        <w:tc>
          <w:tcPr>
            <w:tcW w:w="520" w:type="dxa"/>
            <w:vAlign w:val="bottom"/>
            <w:gridSpan w:val="2"/>
          </w:tcPr>
          <w:p>
            <w:pPr>
              <w:jc w:val="right"/>
              <w:ind w:right="40"/>
              <w:spacing w:after="0" w:line="155" w:lineRule="exact"/>
              <w:rPr>
                <w:sz w:val="20"/>
                <w:szCs w:val="20"/>
                <w:color w:val="auto"/>
              </w:rPr>
            </w:pPr>
            <w:r>
              <w:rPr>
                <w:rFonts w:ascii="Times New Roman" w:cs="Times New Roman" w:eastAsia="Times New Roman" w:hAnsi="Times New Roman"/>
                <w:sz w:val="14"/>
                <w:szCs w:val="14"/>
                <w:color w:val="auto"/>
                <w:w w:val="96"/>
              </w:rPr>
              <w:t>(62,696)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FINANCING ACTIVITIES:</w:t>
            </w:r>
          </w:p>
        </w:tc>
        <w:tc>
          <w:tcPr>
            <w:tcW w:w="2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Proceeds from issuance of 7 3/8% senior notes</w:t>
            </w:r>
          </w:p>
        </w:tc>
        <w:tc>
          <w:tcPr>
            <w:tcW w:w="2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ind w:right="5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250,000</w:t>
            </w: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Redemption of 7 3/4% senior subordinated notes</w:t>
            </w:r>
          </w:p>
        </w:tc>
        <w:tc>
          <w:tcPr>
            <w:tcW w:w="2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5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360"/>
              <w:spacing w:after="0" w:line="149" w:lineRule="exact"/>
              <w:rPr>
                <w:sz w:val="20"/>
                <w:szCs w:val="20"/>
                <w:color w:val="auto"/>
              </w:rPr>
            </w:pPr>
            <w:r>
              <w:rPr>
                <w:rFonts w:ascii="Times New Roman" w:cs="Times New Roman" w:eastAsia="Times New Roman" w:hAnsi="Times New Roman"/>
                <w:sz w:val="14"/>
                <w:szCs w:val="14"/>
                <w:color w:val="auto"/>
                <w:w w:val="94"/>
              </w:rPr>
              <w:t>(175,000)</w:t>
            </w:r>
          </w:p>
        </w:tc>
        <w:tc>
          <w:tcPr>
            <w:tcW w:w="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Senior subordinated notes redemption premium</w:t>
            </w:r>
          </w:p>
        </w:tc>
        <w:tc>
          <w:tcPr>
            <w:tcW w:w="2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ind w:right="5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900" w:type="dxa"/>
            <w:vAlign w:val="bottom"/>
            <w:gridSpan w:val="2"/>
          </w:tcPr>
          <w:p>
            <w:pPr>
              <w:jc w:val="right"/>
              <w:ind w:right="360"/>
              <w:spacing w:after="0" w:line="149" w:lineRule="exact"/>
              <w:rPr>
                <w:sz w:val="20"/>
                <w:szCs w:val="20"/>
                <w:color w:val="auto"/>
              </w:rPr>
            </w:pPr>
            <w:r>
              <w:rPr>
                <w:rFonts w:ascii="Times New Roman" w:cs="Times New Roman" w:eastAsia="Times New Roman" w:hAnsi="Times New Roman"/>
                <w:sz w:val="14"/>
                <w:szCs w:val="14"/>
                <w:color w:val="auto"/>
              </w:rPr>
              <w:t>(2,264)</w:t>
            </w:r>
          </w:p>
        </w:tc>
        <w:tc>
          <w:tcPr>
            <w:tcW w:w="80" w:type="dxa"/>
            <w:vAlign w:val="bottom"/>
          </w:tcPr>
          <w:p>
            <w:pPr>
              <w:spacing w:after="0"/>
              <w:rPr>
                <w:sz w:val="12"/>
                <w:szCs w:val="12"/>
                <w:color w:val="auto"/>
              </w:rPr>
            </w:pPr>
          </w:p>
        </w:tc>
        <w:tc>
          <w:tcPr>
            <w:tcW w:w="52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Deferred financing fees</w:t>
            </w:r>
          </w:p>
        </w:tc>
        <w:tc>
          <w:tcPr>
            <w:tcW w:w="2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380"/>
              <w:spacing w:after="0" w:line="149" w:lineRule="exact"/>
              <w:rPr>
                <w:sz w:val="20"/>
                <w:szCs w:val="20"/>
                <w:color w:val="auto"/>
              </w:rPr>
            </w:pPr>
            <w:r>
              <w:rPr>
                <w:rFonts w:ascii="Times New Roman" w:cs="Times New Roman" w:eastAsia="Times New Roman" w:hAnsi="Times New Roman"/>
                <w:sz w:val="14"/>
                <w:szCs w:val="14"/>
                <w:color w:val="auto"/>
              </w:rPr>
              <w:t>(2,039)</w:t>
            </w:r>
          </w:p>
        </w:tc>
        <w:tc>
          <w:tcPr>
            <w:tcW w:w="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360"/>
              <w:spacing w:after="0" w:line="149" w:lineRule="exact"/>
              <w:rPr>
                <w:sz w:val="20"/>
                <w:szCs w:val="20"/>
                <w:color w:val="auto"/>
              </w:rPr>
            </w:pPr>
            <w:r>
              <w:rPr>
                <w:rFonts w:ascii="Times New Roman" w:cs="Times New Roman" w:eastAsia="Times New Roman" w:hAnsi="Times New Roman"/>
                <w:sz w:val="14"/>
                <w:szCs w:val="14"/>
                <w:color w:val="auto"/>
              </w:rPr>
              <w:t>(5,962)</w:t>
            </w:r>
          </w:p>
        </w:tc>
        <w:tc>
          <w:tcPr>
            <w:tcW w:w="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Repayment of long term note payable</w:t>
            </w:r>
          </w:p>
        </w:tc>
        <w:tc>
          <w:tcPr>
            <w:tcW w:w="2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ind w:right="380"/>
              <w:spacing w:after="0" w:line="149" w:lineRule="exact"/>
              <w:rPr>
                <w:sz w:val="20"/>
                <w:szCs w:val="20"/>
                <w:color w:val="auto"/>
              </w:rPr>
            </w:pPr>
            <w:r>
              <w:rPr>
                <w:rFonts w:ascii="Times New Roman" w:cs="Times New Roman" w:eastAsia="Times New Roman" w:hAnsi="Times New Roman"/>
                <w:sz w:val="14"/>
                <w:szCs w:val="14"/>
                <w:color w:val="auto"/>
              </w:rPr>
              <w:t>(2,500)</w:t>
            </w:r>
          </w:p>
        </w:tc>
        <w:tc>
          <w:tcPr>
            <w:tcW w:w="60" w:type="dxa"/>
            <w:vAlign w:val="bottom"/>
          </w:tcPr>
          <w:p>
            <w:pPr>
              <w:spacing w:after="0"/>
              <w:rPr>
                <w:sz w:val="12"/>
                <w:szCs w:val="12"/>
                <w:color w:val="auto"/>
              </w:rPr>
            </w:pPr>
          </w:p>
        </w:tc>
        <w:tc>
          <w:tcPr>
            <w:tcW w:w="900" w:type="dxa"/>
            <w:vAlign w:val="bottom"/>
            <w:gridSpan w:val="2"/>
          </w:tcPr>
          <w:p>
            <w:pPr>
              <w:jc w:val="right"/>
              <w:ind w:right="360"/>
              <w:spacing w:after="0" w:line="149" w:lineRule="exact"/>
              <w:rPr>
                <w:sz w:val="20"/>
                <w:szCs w:val="20"/>
                <w:color w:val="auto"/>
              </w:rPr>
            </w:pPr>
            <w:r>
              <w:rPr>
                <w:rFonts w:ascii="Times New Roman" w:cs="Times New Roman" w:eastAsia="Times New Roman" w:hAnsi="Times New Roman"/>
                <w:sz w:val="14"/>
                <w:szCs w:val="14"/>
                <w:color w:val="auto"/>
              </w:rPr>
              <w:t>(2,500)</w:t>
            </w:r>
          </w:p>
        </w:tc>
        <w:tc>
          <w:tcPr>
            <w:tcW w:w="80" w:type="dxa"/>
            <w:vAlign w:val="bottom"/>
          </w:tcPr>
          <w:p>
            <w:pPr>
              <w:spacing w:after="0"/>
              <w:rPr>
                <w:sz w:val="12"/>
                <w:szCs w:val="12"/>
                <w:color w:val="auto"/>
              </w:rPr>
            </w:pPr>
          </w:p>
        </w:tc>
        <w:tc>
          <w:tcPr>
            <w:tcW w:w="52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Distributions paid to minority interests</w:t>
            </w:r>
          </w:p>
        </w:tc>
        <w:tc>
          <w:tcPr>
            <w:tcW w:w="2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380"/>
              <w:spacing w:after="0" w:line="149" w:lineRule="exact"/>
              <w:rPr>
                <w:sz w:val="20"/>
                <w:szCs w:val="20"/>
                <w:color w:val="auto"/>
              </w:rPr>
            </w:pPr>
            <w:r>
              <w:rPr>
                <w:rFonts w:ascii="Times New Roman" w:cs="Times New Roman" w:eastAsia="Times New Roman" w:hAnsi="Times New Roman"/>
                <w:sz w:val="14"/>
                <w:szCs w:val="14"/>
                <w:color w:val="auto"/>
              </w:rPr>
              <w:t>(133)</w:t>
            </w:r>
          </w:p>
        </w:tc>
        <w:tc>
          <w:tcPr>
            <w:tcW w:w="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4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Dividends paid</w:t>
            </w:r>
          </w:p>
        </w:tc>
        <w:tc>
          <w:tcPr>
            <w:tcW w:w="2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ind w:right="380"/>
              <w:spacing w:after="0" w:line="149" w:lineRule="exact"/>
              <w:rPr>
                <w:sz w:val="20"/>
                <w:szCs w:val="20"/>
                <w:color w:val="auto"/>
              </w:rPr>
            </w:pPr>
            <w:r>
              <w:rPr>
                <w:rFonts w:ascii="Times New Roman" w:cs="Times New Roman" w:eastAsia="Times New Roman" w:hAnsi="Times New Roman"/>
                <w:sz w:val="14"/>
                <w:szCs w:val="14"/>
                <w:color w:val="auto"/>
                <w:w w:val="96"/>
              </w:rPr>
              <w:t>(18,560)</w:t>
            </w:r>
          </w:p>
        </w:tc>
        <w:tc>
          <w:tcPr>
            <w:tcW w:w="60" w:type="dxa"/>
            <w:vAlign w:val="bottom"/>
          </w:tcPr>
          <w:p>
            <w:pPr>
              <w:spacing w:after="0"/>
              <w:rPr>
                <w:sz w:val="12"/>
                <w:szCs w:val="12"/>
                <w:color w:val="auto"/>
              </w:rPr>
            </w:pPr>
          </w:p>
        </w:tc>
        <w:tc>
          <w:tcPr>
            <w:tcW w:w="900" w:type="dxa"/>
            <w:vAlign w:val="bottom"/>
            <w:gridSpan w:val="2"/>
          </w:tcPr>
          <w:p>
            <w:pPr>
              <w:jc w:val="right"/>
              <w:ind w:right="360"/>
              <w:spacing w:after="0" w:line="149" w:lineRule="exact"/>
              <w:rPr>
                <w:sz w:val="20"/>
                <w:szCs w:val="20"/>
                <w:color w:val="auto"/>
              </w:rPr>
            </w:pPr>
            <w:r>
              <w:rPr>
                <w:rFonts w:ascii="Times New Roman" w:cs="Times New Roman" w:eastAsia="Times New Roman" w:hAnsi="Times New Roman"/>
                <w:sz w:val="14"/>
                <w:szCs w:val="14"/>
                <w:color w:val="auto"/>
              </w:rPr>
              <w:t>(4,711)</w:t>
            </w:r>
          </w:p>
        </w:tc>
        <w:tc>
          <w:tcPr>
            <w:tcW w:w="80" w:type="dxa"/>
            <w:vAlign w:val="bottom"/>
          </w:tcPr>
          <w:p>
            <w:pPr>
              <w:spacing w:after="0"/>
              <w:rPr>
                <w:sz w:val="12"/>
                <w:szCs w:val="12"/>
                <w:color w:val="auto"/>
              </w:rPr>
            </w:pPr>
          </w:p>
        </w:tc>
        <w:tc>
          <w:tcPr>
            <w:tcW w:w="52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(3,988)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Dividend equivalents paid on restricted stock units</w:t>
            </w:r>
          </w:p>
        </w:tc>
        <w:tc>
          <w:tcPr>
            <w:tcW w:w="2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380"/>
              <w:spacing w:after="0" w:line="149" w:lineRule="exact"/>
              <w:rPr>
                <w:sz w:val="20"/>
                <w:szCs w:val="20"/>
                <w:color w:val="auto"/>
              </w:rPr>
            </w:pPr>
            <w:r>
              <w:rPr>
                <w:rFonts w:ascii="Times New Roman" w:cs="Times New Roman" w:eastAsia="Times New Roman" w:hAnsi="Times New Roman"/>
                <w:sz w:val="14"/>
                <w:szCs w:val="14"/>
                <w:color w:val="auto"/>
              </w:rPr>
              <w:t>(196)</w:t>
            </w:r>
          </w:p>
        </w:tc>
        <w:tc>
          <w:tcPr>
            <w:tcW w:w="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360"/>
              <w:spacing w:after="0" w:line="149" w:lineRule="exact"/>
              <w:rPr>
                <w:sz w:val="20"/>
                <w:szCs w:val="20"/>
                <w:color w:val="auto"/>
              </w:rPr>
            </w:pPr>
            <w:r>
              <w:rPr>
                <w:rFonts w:ascii="Times New Roman" w:cs="Times New Roman" w:eastAsia="Times New Roman" w:hAnsi="Times New Roman"/>
                <w:sz w:val="14"/>
                <w:szCs w:val="14"/>
                <w:color w:val="auto"/>
              </w:rPr>
              <w:t>(36)</w:t>
            </w:r>
          </w:p>
        </w:tc>
        <w:tc>
          <w:tcPr>
            <w:tcW w:w="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(24)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Taxes paid on settlement of vested share awards</w:t>
            </w:r>
          </w:p>
        </w:tc>
        <w:tc>
          <w:tcPr>
            <w:tcW w:w="2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ind w:right="380"/>
              <w:spacing w:after="0" w:line="149" w:lineRule="exact"/>
              <w:rPr>
                <w:sz w:val="20"/>
                <w:szCs w:val="20"/>
                <w:color w:val="auto"/>
              </w:rPr>
            </w:pPr>
            <w:r>
              <w:rPr>
                <w:rFonts w:ascii="Times New Roman" w:cs="Times New Roman" w:eastAsia="Times New Roman" w:hAnsi="Times New Roman"/>
                <w:sz w:val="14"/>
                <w:szCs w:val="14"/>
                <w:color w:val="auto"/>
              </w:rPr>
              <w:t>(231)</w:t>
            </w:r>
          </w:p>
        </w:tc>
        <w:tc>
          <w:tcPr>
            <w:tcW w:w="60" w:type="dxa"/>
            <w:vAlign w:val="bottom"/>
          </w:tcPr>
          <w:p>
            <w:pPr>
              <w:spacing w:after="0"/>
              <w:rPr>
                <w:sz w:val="12"/>
                <w:szCs w:val="12"/>
                <w:color w:val="auto"/>
              </w:rPr>
            </w:pPr>
          </w:p>
        </w:tc>
        <w:tc>
          <w:tcPr>
            <w:tcW w:w="900" w:type="dxa"/>
            <w:vAlign w:val="bottom"/>
            <w:gridSpan w:val="2"/>
          </w:tcPr>
          <w:p>
            <w:pPr>
              <w:jc w:val="right"/>
              <w:ind w:right="360"/>
              <w:spacing w:after="0" w:line="149" w:lineRule="exact"/>
              <w:rPr>
                <w:sz w:val="20"/>
                <w:szCs w:val="20"/>
                <w:color w:val="auto"/>
              </w:rPr>
            </w:pPr>
            <w:r>
              <w:rPr>
                <w:rFonts w:ascii="Times New Roman" w:cs="Times New Roman" w:eastAsia="Times New Roman" w:hAnsi="Times New Roman"/>
                <w:sz w:val="14"/>
                <w:szCs w:val="14"/>
                <w:color w:val="auto"/>
              </w:rPr>
              <w:t>(291)</w:t>
            </w:r>
          </w:p>
        </w:tc>
        <w:tc>
          <w:tcPr>
            <w:tcW w:w="80" w:type="dxa"/>
            <w:vAlign w:val="bottom"/>
          </w:tcPr>
          <w:p>
            <w:pPr>
              <w:spacing w:after="0"/>
              <w:rPr>
                <w:sz w:val="12"/>
                <w:szCs w:val="12"/>
                <w:color w:val="auto"/>
              </w:rPr>
            </w:pPr>
          </w:p>
        </w:tc>
        <w:tc>
          <w:tcPr>
            <w:tcW w:w="52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Repayments of equipment debt</w:t>
            </w:r>
          </w:p>
        </w:tc>
        <w:tc>
          <w:tcPr>
            <w:tcW w:w="2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380"/>
              <w:spacing w:after="0" w:line="149" w:lineRule="exact"/>
              <w:rPr>
                <w:sz w:val="20"/>
                <w:szCs w:val="20"/>
                <w:color w:val="auto"/>
              </w:rPr>
            </w:pPr>
            <w:r>
              <w:rPr>
                <w:rFonts w:ascii="Times New Roman" w:cs="Times New Roman" w:eastAsia="Times New Roman" w:hAnsi="Times New Roman"/>
                <w:sz w:val="14"/>
                <w:szCs w:val="14"/>
                <w:color w:val="auto"/>
              </w:rPr>
              <w:t>(543)</w:t>
            </w:r>
          </w:p>
        </w:tc>
        <w:tc>
          <w:tcPr>
            <w:tcW w:w="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360"/>
              <w:spacing w:after="0" w:line="149" w:lineRule="exact"/>
              <w:rPr>
                <w:sz w:val="20"/>
                <w:szCs w:val="20"/>
                <w:color w:val="auto"/>
              </w:rPr>
            </w:pPr>
            <w:r>
              <w:rPr>
                <w:rFonts w:ascii="Times New Roman" w:cs="Times New Roman" w:eastAsia="Times New Roman" w:hAnsi="Times New Roman"/>
                <w:sz w:val="14"/>
                <w:szCs w:val="14"/>
                <w:color w:val="auto"/>
              </w:rPr>
              <w:t>(1,911)</w:t>
            </w:r>
          </w:p>
        </w:tc>
        <w:tc>
          <w:tcPr>
            <w:tcW w:w="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(1,251)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Exercise of stock options</w:t>
            </w:r>
          </w:p>
        </w:tc>
        <w:tc>
          <w:tcPr>
            <w:tcW w:w="2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461</w:t>
            </w: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27</w:t>
            </w: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656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Excess income tax benefit from share-based compensation</w:t>
            </w:r>
          </w:p>
        </w:tc>
        <w:tc>
          <w:tcPr>
            <w:tcW w:w="2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189</w:t>
            </w:r>
          </w:p>
        </w:tc>
        <w:tc>
          <w:tcPr>
            <w:tcW w:w="4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55</w:t>
            </w: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Borrowings under revolving loans</w:t>
            </w:r>
          </w:p>
        </w:tc>
        <w:tc>
          <w:tcPr>
            <w:tcW w:w="2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ind w:right="5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900" w:type="dxa"/>
            <w:vAlign w:val="bottom"/>
            <w:gridSpan w:val="2"/>
          </w:tcPr>
          <w:p>
            <w:pPr>
              <w:jc w:val="right"/>
              <w:ind w:right="4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52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14,968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Repayments of revolving loans</w:t>
            </w:r>
          </w:p>
        </w:tc>
        <w:tc>
          <w:tcPr>
            <w:tcW w:w="2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ind w:right="12"/>
              <w:spacing w:after="0" w:line="149" w:lineRule="exact"/>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w w:val="96"/>
              </w:rPr>
              <w:t>(25,968)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40" w:type="dxa"/>
            <w:vAlign w:val="bottom"/>
            <w:vMerge w:val="restart"/>
          </w:tcPr>
          <w:p>
            <w:pPr>
              <w:ind w:left="420"/>
              <w:spacing w:after="0"/>
              <w:rPr>
                <w:sz w:val="20"/>
                <w:szCs w:val="20"/>
                <w:color w:val="auto"/>
              </w:rPr>
            </w:pPr>
            <w:r>
              <w:rPr>
                <w:rFonts w:ascii="Times New Roman" w:cs="Times New Roman" w:eastAsia="Times New Roman" w:hAnsi="Times New Roman"/>
                <w:sz w:val="14"/>
                <w:szCs w:val="14"/>
                <w:color w:val="auto"/>
              </w:rPr>
              <w:t>Net cash flows provided by (used in) financing activities</w:t>
            </w:r>
          </w:p>
        </w:tc>
        <w:tc>
          <w:tcPr>
            <w:tcW w:w="2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6740" w:type="dxa"/>
            <w:vAlign w:val="bottom"/>
            <w:vMerge w:val="continue"/>
          </w:tcPr>
          <w:p>
            <w:pPr>
              <w:spacing w:after="0"/>
              <w:rPr>
                <w:sz w:val="13"/>
                <w:szCs w:val="13"/>
                <w:color w:val="auto"/>
              </w:rPr>
            </w:pPr>
          </w:p>
        </w:tc>
        <w:tc>
          <w:tcPr>
            <w:tcW w:w="2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gridSpan w:val="2"/>
          </w:tcPr>
          <w:p>
            <w:pPr>
              <w:jc w:val="right"/>
              <w:ind w:right="380"/>
              <w:spacing w:after="0" w:line="155" w:lineRule="exact"/>
              <w:rPr>
                <w:sz w:val="20"/>
                <w:szCs w:val="20"/>
                <w:color w:val="auto"/>
              </w:rPr>
            </w:pPr>
            <w:r>
              <w:rPr>
                <w:rFonts w:ascii="Times New Roman" w:cs="Times New Roman" w:eastAsia="Times New Roman" w:hAnsi="Times New Roman"/>
                <w:sz w:val="14"/>
                <w:szCs w:val="14"/>
                <w:color w:val="auto"/>
                <w:w w:val="96"/>
              </w:rPr>
              <w:t>(23,552)</w:t>
            </w:r>
          </w:p>
        </w:tc>
        <w:tc>
          <w:tcPr>
            <w:tcW w:w="60" w:type="dxa"/>
            <w:vAlign w:val="bottom"/>
          </w:tcPr>
          <w:p>
            <w:pPr>
              <w:spacing w:after="0"/>
              <w:rPr>
                <w:sz w:val="13"/>
                <w:szCs w:val="13"/>
                <w:color w:val="auto"/>
              </w:rPr>
            </w:pPr>
          </w:p>
        </w:tc>
        <w:tc>
          <w:tcPr>
            <w:tcW w:w="48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57,407</w:t>
            </w: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gridSpan w:val="2"/>
          </w:tcPr>
          <w:p>
            <w:pPr>
              <w:jc w:val="right"/>
              <w:ind w:right="40"/>
              <w:spacing w:after="0" w:line="155" w:lineRule="exact"/>
              <w:rPr>
                <w:sz w:val="20"/>
                <w:szCs w:val="20"/>
                <w:color w:val="auto"/>
              </w:rPr>
            </w:pPr>
            <w:r>
              <w:rPr>
                <w:rFonts w:ascii="Times New Roman" w:cs="Times New Roman" w:eastAsia="Times New Roman" w:hAnsi="Times New Roman"/>
                <w:sz w:val="14"/>
                <w:szCs w:val="14"/>
                <w:color w:val="auto"/>
                <w:w w:val="96"/>
              </w:rPr>
              <w:t>(15,607)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740" w:type="dxa"/>
            <w:vAlign w:val="bottom"/>
          </w:tcPr>
          <w:p>
            <w:pPr>
              <w:spacing w:after="0"/>
              <w:rPr>
                <w:sz w:val="2"/>
                <w:szCs w:val="2"/>
                <w:color w:val="auto"/>
              </w:rPr>
            </w:pPr>
          </w:p>
        </w:tc>
        <w:tc>
          <w:tcPr>
            <w:tcW w:w="2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67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Effect of foreign currency exchange rates on cash and cash equivalents</w:t>
            </w:r>
          </w:p>
        </w:tc>
        <w:tc>
          <w:tcPr>
            <w:tcW w:w="2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w:t>
            </w:r>
          </w:p>
        </w:tc>
        <w:tc>
          <w:tcPr>
            <w:tcW w:w="4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360"/>
              <w:spacing w:after="0" w:line="149" w:lineRule="exact"/>
              <w:rPr>
                <w:sz w:val="20"/>
                <w:szCs w:val="20"/>
                <w:color w:val="auto"/>
              </w:rPr>
            </w:pPr>
            <w:r>
              <w:rPr>
                <w:rFonts w:ascii="Times New Roman" w:cs="Times New Roman" w:eastAsia="Times New Roman" w:hAnsi="Times New Roman"/>
                <w:sz w:val="14"/>
                <w:szCs w:val="14"/>
                <w:color w:val="auto"/>
              </w:rPr>
              <w:t>(444)</w:t>
            </w:r>
          </w:p>
        </w:tc>
        <w:tc>
          <w:tcPr>
            <w:tcW w:w="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67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Net increase (decrease) in cash and cash equivalents</w:t>
            </w:r>
          </w:p>
        </w:tc>
        <w:tc>
          <w:tcPr>
            <w:tcW w:w="2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760" w:type="dxa"/>
            <w:vAlign w:val="bottom"/>
            <w:gridSpan w:val="2"/>
            <w:vMerge w:val="continue"/>
          </w:tcPr>
          <w:p>
            <w:pPr>
              <w:spacing w:after="0"/>
              <w:rPr>
                <w:sz w:val="13"/>
                <w:szCs w:val="13"/>
                <w:color w:val="auto"/>
              </w:rPr>
            </w:pPr>
          </w:p>
        </w:tc>
        <w:tc>
          <w:tcPr>
            <w:tcW w:w="2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gridSpan w:val="2"/>
          </w:tcPr>
          <w:p>
            <w:pPr>
              <w:jc w:val="right"/>
              <w:ind w:right="380"/>
              <w:spacing w:after="0" w:line="155" w:lineRule="exact"/>
              <w:rPr>
                <w:sz w:val="20"/>
                <w:szCs w:val="20"/>
                <w:color w:val="auto"/>
              </w:rPr>
            </w:pPr>
            <w:r>
              <w:rPr>
                <w:rFonts w:ascii="Times New Roman" w:cs="Times New Roman" w:eastAsia="Times New Roman" w:hAnsi="Times New Roman"/>
                <w:sz w:val="14"/>
                <w:szCs w:val="14"/>
                <w:color w:val="auto"/>
                <w:w w:val="96"/>
              </w:rPr>
              <w:t>(88,848)</w:t>
            </w:r>
          </w:p>
        </w:tc>
        <w:tc>
          <w:tcPr>
            <w:tcW w:w="60" w:type="dxa"/>
            <w:vAlign w:val="bottom"/>
          </w:tcPr>
          <w:p>
            <w:pPr>
              <w:spacing w:after="0"/>
              <w:rPr>
                <w:sz w:val="13"/>
                <w:szCs w:val="13"/>
                <w:color w:val="auto"/>
              </w:rPr>
            </w:pPr>
          </w:p>
        </w:tc>
        <w:tc>
          <w:tcPr>
            <w:tcW w:w="48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64,810</w:t>
            </w: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gridSpan w:val="2"/>
          </w:tcPr>
          <w:p>
            <w:pPr>
              <w:jc w:val="right"/>
              <w:ind w:right="80"/>
              <w:spacing w:after="0" w:line="155" w:lineRule="exact"/>
              <w:rPr>
                <w:sz w:val="20"/>
                <w:szCs w:val="20"/>
                <w:color w:val="auto"/>
              </w:rPr>
            </w:pPr>
            <w:r>
              <w:rPr>
                <w:rFonts w:ascii="Times New Roman" w:cs="Times New Roman" w:eastAsia="Times New Roman" w:hAnsi="Times New Roman"/>
                <w:sz w:val="14"/>
                <w:szCs w:val="14"/>
                <w:color w:val="auto"/>
              </w:rPr>
              <w:t>45,228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Cash and cash equivalents at beginning of period</w:t>
            </w:r>
          </w:p>
        </w:tc>
        <w:tc>
          <w:tcPr>
            <w:tcW w:w="216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44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92"/>
              </w:rPr>
              <w:t>113,288</w:t>
            </w:r>
          </w:p>
        </w:tc>
        <w:tc>
          <w:tcPr>
            <w:tcW w:w="42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48,478</w:t>
            </w:r>
          </w:p>
        </w:tc>
        <w:tc>
          <w:tcPr>
            <w:tcW w:w="42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44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3,250</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6760" w:type="dxa"/>
            <w:vAlign w:val="bottom"/>
            <w:gridSpan w:val="2"/>
          </w:tcPr>
          <w:p>
            <w:pPr>
              <w:spacing w:after="0" w:line="155" w:lineRule="exact"/>
              <w:rPr>
                <w:sz w:val="20"/>
                <w:szCs w:val="20"/>
                <w:color w:val="auto"/>
              </w:rPr>
            </w:pPr>
            <w:r>
              <w:rPr>
                <w:rFonts w:ascii="Times New Roman" w:cs="Times New Roman" w:eastAsia="Times New Roman" w:hAnsi="Times New Roman"/>
                <w:sz w:val="14"/>
                <w:szCs w:val="14"/>
                <w:color w:val="auto"/>
              </w:rPr>
              <w:t>Cash and cash equivalents at end of period</w:t>
            </w:r>
          </w:p>
        </w:tc>
        <w:tc>
          <w:tcPr>
            <w:tcW w:w="2240" w:type="dxa"/>
            <w:vAlign w:val="bottom"/>
            <w:gridSpan w:val="2"/>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24,440</w:t>
            </w:r>
          </w:p>
        </w:tc>
        <w:tc>
          <w:tcPr>
            <w:tcW w:w="420" w:type="dxa"/>
            <w:vAlign w:val="bottom"/>
          </w:tcPr>
          <w:p>
            <w:pPr>
              <w:spacing w:after="0"/>
              <w:rPr>
                <w:sz w:val="13"/>
                <w:szCs w:val="13"/>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gridSpan w:val="2"/>
          </w:tcPr>
          <w:p>
            <w:pPr>
              <w:jc w:val="right"/>
              <w:ind w:right="420"/>
              <w:spacing w:after="0" w:line="155" w:lineRule="exact"/>
              <w:rPr>
                <w:sz w:val="20"/>
                <w:szCs w:val="20"/>
                <w:color w:val="auto"/>
              </w:rPr>
            </w:pPr>
            <w:r>
              <w:rPr>
                <w:rFonts w:ascii="Times New Roman" w:cs="Times New Roman" w:eastAsia="Times New Roman" w:hAnsi="Times New Roman"/>
                <w:sz w:val="14"/>
                <w:szCs w:val="14"/>
                <w:color w:val="auto"/>
              </w:rPr>
              <w:t>113,288</w:t>
            </w:r>
          </w:p>
        </w:tc>
        <w:tc>
          <w:tcPr>
            <w:tcW w:w="80" w:type="dxa"/>
            <w:vAlign w:val="bottom"/>
          </w:tcPr>
          <w:p>
            <w:pPr>
              <w:spacing w:after="0"/>
              <w:rPr>
                <w:sz w:val="13"/>
                <w:szCs w:val="13"/>
                <w:color w:val="auto"/>
              </w:rPr>
            </w:pPr>
          </w:p>
        </w:tc>
        <w:tc>
          <w:tcPr>
            <w:tcW w:w="520" w:type="dxa"/>
            <w:vAlign w:val="bottom"/>
            <w:gridSpan w:val="2"/>
          </w:tcPr>
          <w:p>
            <w:pPr>
              <w:jc w:val="right"/>
              <w:ind w:right="80"/>
              <w:spacing w:after="0" w:line="155" w:lineRule="exact"/>
              <w:rPr>
                <w:sz w:val="20"/>
                <w:szCs w:val="20"/>
                <w:color w:val="auto"/>
              </w:rPr>
            </w:pPr>
            <w:r>
              <w:rPr>
                <w:rFonts w:ascii="Times New Roman" w:cs="Times New Roman" w:eastAsia="Times New Roman" w:hAnsi="Times New Roman"/>
                <w:sz w:val="14"/>
                <w:szCs w:val="14"/>
                <w:color w:val="auto"/>
              </w:rPr>
              <w:t>48,478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6740" w:type="dxa"/>
            <w:vAlign w:val="bottom"/>
            <w:shd w:val="clear" w:color="auto" w:fill="CCEEFF"/>
          </w:tcPr>
          <w:p>
            <w:pPr>
              <w:spacing w:after="0" w:line="143" w:lineRule="exact"/>
              <w:rPr>
                <w:sz w:val="20"/>
                <w:szCs w:val="20"/>
                <w:color w:val="auto"/>
              </w:rPr>
            </w:pPr>
            <w:r>
              <w:rPr>
                <w:rFonts w:ascii="Times New Roman" w:cs="Times New Roman" w:eastAsia="Times New Roman" w:hAnsi="Times New Roman"/>
                <w:sz w:val="14"/>
                <w:szCs w:val="14"/>
                <w:b w:val="1"/>
                <w:bCs w:val="1"/>
                <w:color w:val="auto"/>
              </w:rPr>
              <w:t>Supplemental Cash Flow Information</w:t>
            </w:r>
          </w:p>
        </w:tc>
        <w:tc>
          <w:tcPr>
            <w:tcW w:w="2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Cash paid for interest</w:t>
            </w:r>
          </w:p>
        </w:tc>
        <w:tc>
          <w:tcPr>
            <w:tcW w:w="22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19,462</w:t>
            </w:r>
          </w:p>
        </w:tc>
        <w:tc>
          <w:tcPr>
            <w:tcW w:w="420" w:type="dxa"/>
            <w:vAlign w:val="bottom"/>
          </w:tcPr>
          <w:p>
            <w:pPr>
              <w:spacing w:after="0"/>
              <w:rPr>
                <w:sz w:val="12"/>
                <w:szCs w:val="12"/>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12,485</w:t>
            </w:r>
          </w:p>
        </w:tc>
        <w:tc>
          <w:tcPr>
            <w:tcW w:w="420" w:type="dxa"/>
            <w:vAlign w:val="bottom"/>
          </w:tcPr>
          <w:p>
            <w:pPr>
              <w:spacing w:after="0"/>
              <w:rPr>
                <w:sz w:val="12"/>
                <w:szCs w:val="12"/>
                <w:color w:val="auto"/>
              </w:rPr>
            </w:pPr>
          </w:p>
        </w:tc>
        <w:tc>
          <w:tcPr>
            <w:tcW w:w="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13,269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6740" w:type="dxa"/>
            <w:vAlign w:val="bottom"/>
            <w:shd w:val="clear" w:color="auto" w:fill="CCEEFF"/>
          </w:tcPr>
          <w:p>
            <w:pPr>
              <w:spacing w:after="0" w:line="143" w:lineRule="exact"/>
              <w:rPr>
                <w:sz w:val="20"/>
                <w:szCs w:val="20"/>
                <w:color w:val="auto"/>
              </w:rPr>
            </w:pPr>
            <w:r>
              <w:rPr>
                <w:rFonts w:ascii="Times New Roman" w:cs="Times New Roman" w:eastAsia="Times New Roman" w:hAnsi="Times New Roman"/>
                <w:sz w:val="14"/>
                <w:szCs w:val="14"/>
                <w:color w:val="auto"/>
              </w:rPr>
              <w:t>Cash paid (refunded) for income taxes</w:t>
            </w:r>
          </w:p>
        </w:tc>
        <w:tc>
          <w:tcPr>
            <w:tcW w:w="2240" w:type="dxa"/>
            <w:vAlign w:val="bottom"/>
            <w:gridSpan w:val="2"/>
            <w:shd w:val="clear" w:color="auto" w:fill="CCEEFF"/>
          </w:tcPr>
          <w:p>
            <w:pPr>
              <w:jc w:val="right"/>
              <w:spacing w:after="0" w:line="143"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shd w:val="clear" w:color="auto" w:fill="CCEEFF"/>
          </w:tcPr>
          <w:p>
            <w:pPr>
              <w:jc w:val="right"/>
              <w:ind w:right="380"/>
              <w:spacing w:after="0" w:line="143" w:lineRule="exact"/>
              <w:rPr>
                <w:sz w:val="20"/>
                <w:szCs w:val="20"/>
                <w:color w:val="auto"/>
              </w:rPr>
            </w:pPr>
            <w:r>
              <w:rPr>
                <w:rFonts w:ascii="Times New Roman" w:cs="Times New Roman" w:eastAsia="Times New Roman" w:hAnsi="Times New Roman"/>
                <w:sz w:val="14"/>
                <w:szCs w:val="14"/>
                <w:color w:val="auto"/>
              </w:rPr>
              <w:t>(4,859)</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shd w:val="clear" w:color="auto" w:fill="CCEEFF"/>
          </w:tcPr>
          <w:p>
            <w:pPr>
              <w:jc w:val="right"/>
              <w:spacing w:after="0" w:line="143" w:lineRule="exact"/>
              <w:rPr>
                <w:sz w:val="20"/>
                <w:szCs w:val="20"/>
                <w:color w:val="auto"/>
              </w:rPr>
            </w:pPr>
            <w:r>
              <w:rPr>
                <w:rFonts w:ascii="Times New Roman" w:cs="Times New Roman" w:eastAsia="Times New Roman" w:hAnsi="Times New Roman"/>
                <w:sz w:val="14"/>
                <w:szCs w:val="14"/>
                <w:color w:val="auto"/>
              </w:rPr>
              <w:t>5,270</w:t>
            </w: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3" w:lineRule="exact"/>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gridSpan w:val="2"/>
            <w:shd w:val="clear" w:color="auto" w:fill="CCEEFF"/>
          </w:tcPr>
          <w:p>
            <w:pPr>
              <w:jc w:val="right"/>
              <w:ind w:right="80"/>
              <w:spacing w:after="0" w:line="143" w:lineRule="exact"/>
              <w:rPr>
                <w:sz w:val="20"/>
                <w:szCs w:val="20"/>
                <w:color w:val="auto"/>
              </w:rPr>
            </w:pPr>
            <w:r>
              <w:rPr>
                <w:rFonts w:ascii="Times New Roman" w:cs="Times New Roman" w:eastAsia="Times New Roman" w:hAnsi="Times New Roman"/>
                <w:sz w:val="14"/>
                <w:szCs w:val="14"/>
                <w:color w:val="auto"/>
              </w:rPr>
              <w:t>16,332</w:t>
            </w:r>
          </w:p>
        </w:tc>
        <w:tc>
          <w:tcPr>
            <w:tcW w:w="0" w:type="dxa"/>
            <w:vAlign w:val="bottom"/>
          </w:tcPr>
          <w:p>
            <w:pPr>
              <w:spacing w:after="0"/>
              <w:rPr>
                <w:sz w:val="1"/>
                <w:szCs w:val="1"/>
                <w:color w:val="auto"/>
              </w:rPr>
            </w:pPr>
          </w:p>
        </w:tc>
      </w:tr>
      <w:tr>
        <w:trPr>
          <w:trHeight w:val="20"/>
        </w:trPr>
        <w:tc>
          <w:tcPr>
            <w:tcW w:w="67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Non-cash Investing and Financing Activities</w:t>
            </w:r>
          </w:p>
        </w:tc>
        <w:tc>
          <w:tcPr>
            <w:tcW w:w="2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6760" w:type="dxa"/>
            <w:vAlign w:val="bottom"/>
            <w:gridSpan w:val="2"/>
            <w:vMerge w:val="continue"/>
          </w:tcPr>
          <w:p>
            <w:pPr>
              <w:spacing w:after="0"/>
              <w:rPr>
                <w:sz w:val="12"/>
                <w:szCs w:val="12"/>
                <w:color w:val="auto"/>
              </w:rPr>
            </w:pPr>
          </w:p>
        </w:tc>
        <w:tc>
          <w:tcPr>
            <w:tcW w:w="2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Property and equipment purchased but not yet paid</w:t>
            </w:r>
          </w:p>
        </w:tc>
        <w:tc>
          <w:tcPr>
            <w:tcW w:w="216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7,747</w:t>
            </w:r>
          </w:p>
        </w:tc>
        <w:tc>
          <w:tcPr>
            <w:tcW w:w="42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5,222</w:t>
            </w:r>
          </w:p>
        </w:tc>
        <w:tc>
          <w:tcPr>
            <w:tcW w:w="42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8,559</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7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Property and equipment purchased on capital leases and equipment notes</w:t>
            </w:r>
          </w:p>
        </w:tc>
        <w:tc>
          <w:tcPr>
            <w:tcW w:w="2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6760" w:type="dxa"/>
            <w:vAlign w:val="bottom"/>
            <w:gridSpan w:val="2"/>
            <w:vMerge w:val="continue"/>
          </w:tcPr>
          <w:p>
            <w:pPr>
              <w:spacing w:after="0"/>
              <w:rPr>
                <w:sz w:val="12"/>
                <w:szCs w:val="12"/>
                <w:color w:val="auto"/>
              </w:rPr>
            </w:pPr>
          </w:p>
        </w:tc>
        <w:tc>
          <w:tcPr>
            <w:tcW w:w="2240" w:type="dxa"/>
            <w:vAlign w:val="bottom"/>
            <w:gridSpan w:val="2"/>
          </w:tcPr>
          <w:p>
            <w:pPr>
              <w:jc w:val="right"/>
              <w:spacing w:after="0" w:line="143"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jc w:val="right"/>
              <w:ind w:right="500"/>
              <w:spacing w:after="0" w:line="143"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tcPr>
          <w:p>
            <w:pPr>
              <w:jc w:val="right"/>
              <w:spacing w:after="0" w:line="143" w:lineRule="exact"/>
              <w:rPr>
                <w:sz w:val="20"/>
                <w:szCs w:val="20"/>
                <w:color w:val="auto"/>
              </w:rPr>
            </w:pPr>
            <w:r>
              <w:rPr>
                <w:rFonts w:ascii="Times New Roman" w:cs="Times New Roman" w:eastAsia="Times New Roman" w:hAnsi="Times New Roman"/>
                <w:sz w:val="14"/>
                <w:szCs w:val="14"/>
                <w:color w:val="auto"/>
              </w:rPr>
              <w:t>2,127</w:t>
            </w:r>
          </w:p>
        </w:tc>
        <w:tc>
          <w:tcPr>
            <w:tcW w:w="420" w:type="dxa"/>
            <w:vAlign w:val="bottom"/>
          </w:tcPr>
          <w:p>
            <w:pPr>
              <w:spacing w:after="0"/>
              <w:rPr>
                <w:sz w:val="12"/>
                <w:szCs w:val="12"/>
                <w:color w:val="auto"/>
              </w:rPr>
            </w:pPr>
          </w:p>
        </w:tc>
        <w:tc>
          <w:tcPr>
            <w:tcW w:w="80" w:type="dxa"/>
            <w:vAlign w:val="bottom"/>
          </w:tcPr>
          <w:p>
            <w:pPr>
              <w:jc w:val="right"/>
              <w:spacing w:after="0" w:line="143" w:lineRule="exact"/>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gridSpan w:val="2"/>
          </w:tcPr>
          <w:p>
            <w:pPr>
              <w:jc w:val="right"/>
              <w:ind w:right="80"/>
              <w:spacing w:after="0" w:line="143" w:lineRule="exact"/>
              <w:rPr>
                <w:sz w:val="20"/>
                <w:szCs w:val="20"/>
                <w:color w:val="auto"/>
              </w:rPr>
            </w:pPr>
            <w:r>
              <w:rPr>
                <w:rFonts w:ascii="Times New Roman" w:cs="Times New Roman" w:eastAsia="Times New Roman" w:hAnsi="Times New Roman"/>
                <w:sz w:val="14"/>
                <w:szCs w:val="14"/>
                <w:color w:val="auto"/>
              </w:rPr>
              <w:t>109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6740" w:type="dxa"/>
            <w:vAlign w:val="bottom"/>
            <w:shd w:val="clear" w:color="auto" w:fill="CCEEFF"/>
          </w:tcPr>
          <w:p>
            <w:pPr>
              <w:spacing w:after="0" w:line="143" w:lineRule="exact"/>
              <w:rPr>
                <w:sz w:val="20"/>
                <w:szCs w:val="20"/>
                <w:color w:val="auto"/>
              </w:rPr>
            </w:pPr>
            <w:r>
              <w:rPr>
                <w:rFonts w:ascii="Times New Roman" w:cs="Times New Roman" w:eastAsia="Times New Roman" w:hAnsi="Times New Roman"/>
                <w:sz w:val="14"/>
                <w:szCs w:val="14"/>
                <w:color w:val="auto"/>
              </w:rPr>
              <w:t>Acquisition of noncontrolling interest in NASDI, LLC</w:t>
            </w:r>
          </w:p>
        </w:tc>
        <w:tc>
          <w:tcPr>
            <w:tcW w:w="216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tcBorders>
              <w:bottom w:val="single" w:sz="8" w:color="auto"/>
            </w:tcBorders>
            <w:shd w:val="clear" w:color="auto" w:fill="CCEEFF"/>
          </w:tcPr>
          <w:p>
            <w:pPr>
              <w:jc w:val="right"/>
              <w:ind w:right="12"/>
              <w:spacing w:after="0" w:line="143" w:lineRule="exact"/>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tcBorders>
              <w:bottom w:val="single" w:sz="8" w:color="auto"/>
            </w:tcBorders>
            <w:shd w:val="clear" w:color="auto" w:fill="CCEEFF"/>
          </w:tcPr>
          <w:p>
            <w:pPr>
              <w:jc w:val="right"/>
              <w:spacing w:after="0" w:line="143" w:lineRule="exact"/>
              <w:rPr>
                <w:sz w:val="20"/>
                <w:szCs w:val="20"/>
                <w:color w:val="auto"/>
              </w:rPr>
            </w:pPr>
            <w:r>
              <w:rPr>
                <w:rFonts w:ascii="Times New Roman" w:cs="Times New Roman" w:eastAsia="Times New Roman" w:hAnsi="Times New Roman"/>
                <w:sz w:val="14"/>
                <w:szCs w:val="14"/>
                <w:color w:val="auto"/>
              </w:rPr>
              <w:t>40</w:t>
            </w:r>
          </w:p>
        </w:tc>
        <w:tc>
          <w:tcPr>
            <w:tcW w:w="42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jc w:val="right"/>
              <w:spacing w:after="0" w:line="143" w:lineRule="exact"/>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tcBorders>
              <w:bottom w:val="single" w:sz="8" w:color="auto"/>
            </w:tcBorders>
            <w:shd w:val="clear" w:color="auto" w:fill="CCEEFF"/>
          </w:tcPr>
          <w:p>
            <w:pPr>
              <w:jc w:val="right"/>
              <w:spacing w:after="0" w:line="143"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7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Purchase price of Matteson assets comprised of promissory notes and other liabilities</w:t>
            </w:r>
          </w:p>
        </w:tc>
        <w:tc>
          <w:tcPr>
            <w:tcW w:w="2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6760" w:type="dxa"/>
            <w:vAlign w:val="bottom"/>
            <w:gridSpan w:val="2"/>
            <w:vMerge w:val="continue"/>
          </w:tcPr>
          <w:p>
            <w:pPr>
              <w:spacing w:after="0"/>
              <w:rPr>
                <w:sz w:val="12"/>
                <w:szCs w:val="12"/>
                <w:color w:val="auto"/>
              </w:rPr>
            </w:pPr>
          </w:p>
        </w:tc>
        <w:tc>
          <w:tcPr>
            <w:tcW w:w="2240" w:type="dxa"/>
            <w:vAlign w:val="bottom"/>
            <w:gridSpan w:val="2"/>
          </w:tcPr>
          <w:p>
            <w:pPr>
              <w:jc w:val="right"/>
              <w:spacing w:after="0" w:line="143"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jc w:val="right"/>
              <w:ind w:right="500"/>
              <w:spacing w:after="0" w:line="143"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gridSpan w:val="2"/>
          </w:tcPr>
          <w:p>
            <w:pPr>
              <w:jc w:val="right"/>
              <w:ind w:right="480"/>
              <w:spacing w:after="0" w:line="143"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jc w:val="right"/>
              <w:spacing w:after="0" w:line="143" w:lineRule="exact"/>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gridSpan w:val="2"/>
          </w:tcPr>
          <w:p>
            <w:pPr>
              <w:jc w:val="right"/>
              <w:ind w:right="80"/>
              <w:spacing w:after="0" w:line="143" w:lineRule="exact"/>
              <w:rPr>
                <w:sz w:val="20"/>
                <w:szCs w:val="20"/>
                <w:color w:val="auto"/>
              </w:rPr>
            </w:pPr>
            <w:r>
              <w:rPr>
                <w:rFonts w:ascii="Times New Roman" w:cs="Times New Roman" w:eastAsia="Times New Roman" w:hAnsi="Times New Roman"/>
                <w:sz w:val="14"/>
                <w:szCs w:val="14"/>
                <w:color w:val="auto"/>
              </w:rPr>
              <w:t>9,140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6740" w:type="dxa"/>
            <w:vAlign w:val="bottom"/>
            <w:shd w:val="clear" w:color="auto" w:fill="CCEEFF"/>
          </w:tcPr>
          <w:p>
            <w:pPr>
              <w:spacing w:after="0" w:line="143" w:lineRule="exact"/>
              <w:rPr>
                <w:sz w:val="20"/>
                <w:szCs w:val="20"/>
                <w:color w:val="auto"/>
              </w:rPr>
            </w:pPr>
            <w:r>
              <w:rPr>
                <w:rFonts w:ascii="Times New Roman" w:cs="Times New Roman" w:eastAsia="Times New Roman" w:hAnsi="Times New Roman"/>
                <w:sz w:val="14"/>
                <w:szCs w:val="14"/>
                <w:color w:val="auto"/>
              </w:rPr>
              <w:t>Purchase price of Terra assets comprised of promissory notes and other liabilities</w:t>
            </w:r>
          </w:p>
        </w:tc>
        <w:tc>
          <w:tcPr>
            <w:tcW w:w="2240" w:type="dxa"/>
            <w:vAlign w:val="bottom"/>
            <w:gridSpan w:val="2"/>
            <w:shd w:val="clear" w:color="auto" w:fill="CCEEFF"/>
          </w:tcPr>
          <w:p>
            <w:pPr>
              <w:jc w:val="right"/>
              <w:spacing w:after="0" w:line="143" w:lineRule="exact"/>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CEEFF"/>
          </w:tcPr>
          <w:p>
            <w:pPr>
              <w:jc w:val="right"/>
              <w:spacing w:after="0" w:line="143" w:lineRule="exact"/>
              <w:rPr>
                <w:sz w:val="20"/>
                <w:szCs w:val="20"/>
                <w:color w:val="auto"/>
              </w:rPr>
            </w:pPr>
            <w:r>
              <w:rPr>
                <w:rFonts w:ascii="Times New Roman" w:cs="Times New Roman" w:eastAsia="Times New Roman" w:hAnsi="Times New Roman"/>
                <w:sz w:val="14"/>
                <w:szCs w:val="14"/>
                <w:color w:val="auto"/>
              </w:rPr>
              <w:t>23,798</w:t>
            </w:r>
          </w:p>
        </w:tc>
        <w:tc>
          <w:tcPr>
            <w:tcW w:w="4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480"/>
              <w:spacing w:after="0" w:line="143"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40"/>
              <w:spacing w:after="0" w:line="143"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ectPr>
          <w:pgSz w:w="11900" w:h="16838" w:orient="portrait"/>
          <w:cols w:equalWidth="0" w:num="1">
            <w:col w:w="11420"/>
          </w:cols>
          <w:pgMar w:left="240" w:top="455" w:right="239" w:bottom="1440" w:gutter="0" w:footer="0" w:header="0"/>
        </w:sectPr>
      </w:pPr>
    </w:p>
    <w:bookmarkStart w:id="68" w:name="page69"/>
    <w:bookmarkEnd w:id="6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left="300" w:right="2720"/>
        <w:spacing w:after="0" w:line="351" w:lineRule="auto"/>
        <w:rPr>
          <w:sz w:val="20"/>
          <w:szCs w:val="20"/>
          <w:color w:val="auto"/>
        </w:rPr>
      </w:pPr>
      <w:r>
        <w:rPr>
          <w:rFonts w:ascii="Times New Roman" w:cs="Times New Roman" w:eastAsia="Times New Roman" w:hAnsi="Times New Roman"/>
          <w:sz w:val="18"/>
          <w:szCs w:val="18"/>
          <w:b w:val="1"/>
          <w:bCs w:val="1"/>
          <w:color w:val="auto"/>
        </w:rPr>
        <w:t>GREAT LAKES DREDGE &amp; DOCK CORPORATION AND SUBSIDIARIES NOTES TO CONSOLIDATED FINANCIAL STATEMENTS AS OF DECEMBER 31, 2012 AND 2011 AND FOR THE YEARS ENDED DECEMBER 31, 2012, 2011 AND 2010 (In thousands, except per share amounts or as otherwise noted)</w:t>
      </w:r>
    </w:p>
    <w:p>
      <w:pPr>
        <w:spacing w:after="0" w:line="94" w:lineRule="exact"/>
        <w:rPr>
          <w:sz w:val="20"/>
          <w:szCs w:val="20"/>
          <w:color w:val="auto"/>
        </w:rPr>
      </w:pPr>
    </w:p>
    <w:p>
      <w:pPr>
        <w:ind w:left="900" w:hanging="446"/>
        <w:spacing w:after="0"/>
        <w:tabs>
          <w:tab w:leader="none" w:pos="900" w:val="left"/>
        </w:tabs>
        <w:numPr>
          <w:ilvl w:val="0"/>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NATURE OF BUSINESS AND SUMMARY OF SIGNIFICANT ACCOUNTING POLICIES</w:t>
      </w:r>
    </w:p>
    <w:p>
      <w:pPr>
        <w:spacing w:after="0" w:line="90" w:lineRule="exact"/>
        <w:rPr>
          <w:sz w:val="20"/>
          <w:szCs w:val="20"/>
          <w:color w:val="auto"/>
        </w:rPr>
      </w:pPr>
    </w:p>
    <w:p>
      <w:pPr>
        <w:ind w:right="180" w:firstLine="456"/>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Organization </w:t>
      </w:r>
      <w:r>
        <w:rPr>
          <w:rFonts w:ascii="Times New Roman" w:cs="Times New Roman" w:eastAsia="Times New Roman" w:hAnsi="Times New Roman"/>
          <w:sz w:val="18"/>
          <w:szCs w:val="18"/>
          <w:color w:val="auto"/>
        </w:rPr>
        <w:t>— Great Lakes Dredge &amp; Dock Corporation and its subsidiaries (the “Company” or “Great Lakes”) are in the business of marine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construction, primarily dredging, and commercial and industrial demolition. The Company’s primary dredging customers are domestic and foreign government agencies, as well as private entities, and its primary demolition customers are general contractors, corporations that commission projects, nonprofit institutions such as universities and hospitals, and local government and municipal agencies.</w:t>
      </w:r>
    </w:p>
    <w:p>
      <w:pPr>
        <w:spacing w:after="0" w:line="133" w:lineRule="exact"/>
        <w:rPr>
          <w:sz w:val="20"/>
          <w:szCs w:val="20"/>
          <w:color w:val="auto"/>
        </w:rPr>
      </w:pPr>
    </w:p>
    <w:p>
      <w:pPr>
        <w:ind w:right="20" w:firstLine="456"/>
        <w:spacing w:after="0" w:line="312" w:lineRule="auto"/>
        <w:rPr>
          <w:sz w:val="20"/>
          <w:szCs w:val="20"/>
          <w:color w:val="auto"/>
        </w:rPr>
      </w:pPr>
      <w:r>
        <w:rPr>
          <w:rFonts w:ascii="Times New Roman" w:cs="Times New Roman" w:eastAsia="Times New Roman" w:hAnsi="Times New Roman"/>
          <w:sz w:val="16"/>
          <w:szCs w:val="16"/>
          <w:b w:val="1"/>
          <w:bCs w:val="1"/>
          <w:color w:val="auto"/>
        </w:rPr>
        <w:t xml:space="preserve">Principles of Consolidation and Basis of Presentation </w:t>
      </w:r>
      <w:r>
        <w:rPr>
          <w:rFonts w:ascii="Times New Roman" w:cs="Times New Roman" w:eastAsia="Times New Roman" w:hAnsi="Times New Roman"/>
          <w:sz w:val="16"/>
          <w:szCs w:val="16"/>
          <w:color w:val="auto"/>
        </w:rPr>
        <w:t>— The consolidated financial statements include the accounts of Great Lakes Dredge &amp; Dock</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Corporation and its majority-owned subsidiaries. All intercompany accounts and transactions are eliminated in consolidation. The equity method of accounting is used for investments in unconsolidated investees in which the Company has significant influence, but not control. Other investments, if any, are carried at cost.</w:t>
      </w:r>
    </w:p>
    <w:p>
      <w:pPr>
        <w:spacing w:after="0" w:line="93" w:lineRule="exact"/>
        <w:rPr>
          <w:sz w:val="20"/>
          <w:szCs w:val="20"/>
          <w:color w:val="auto"/>
        </w:rPr>
      </w:pPr>
    </w:p>
    <w:p>
      <w:pPr>
        <w:jc w:val="both"/>
        <w:ind w:right="80" w:firstLine="456"/>
        <w:spacing w:after="0" w:line="264" w:lineRule="auto"/>
        <w:rPr>
          <w:sz w:val="20"/>
          <w:szCs w:val="20"/>
          <w:color w:val="auto"/>
        </w:rPr>
      </w:pPr>
      <w:r>
        <w:rPr>
          <w:rFonts w:ascii="Times New Roman" w:cs="Times New Roman" w:eastAsia="Times New Roman" w:hAnsi="Times New Roman"/>
          <w:sz w:val="18"/>
          <w:szCs w:val="18"/>
          <w:b w:val="1"/>
          <w:bCs w:val="1"/>
          <w:color w:val="auto"/>
        </w:rPr>
        <w:t xml:space="preserve">Use of Estimates </w:t>
      </w:r>
      <w:r>
        <w:rPr>
          <w:rFonts w:ascii="Times New Roman" w:cs="Times New Roman" w:eastAsia="Times New Roman" w:hAnsi="Times New Roman"/>
          <w:sz w:val="18"/>
          <w:szCs w:val="18"/>
          <w:color w:val="auto"/>
        </w:rPr>
        <w:t>— The preparation of financial statements in conformity with accounting principles generally accepted in the United States of America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(“GAAP”) requires management to make estimates and assumptions that affect certain reported amounts and disclosures. Accordingly, actual results could differ from those estimates.</w:t>
      </w:r>
    </w:p>
    <w:p>
      <w:pPr>
        <w:spacing w:after="0" w:line="127" w:lineRule="exact"/>
        <w:rPr>
          <w:sz w:val="20"/>
          <w:szCs w:val="20"/>
          <w:color w:val="auto"/>
        </w:rPr>
      </w:pPr>
    </w:p>
    <w:p>
      <w:pPr>
        <w:ind w:firstLine="456"/>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Revenue and Cost Recognition on Contracts </w:t>
      </w:r>
      <w:r>
        <w:rPr>
          <w:rFonts w:ascii="Times New Roman" w:cs="Times New Roman" w:eastAsia="Times New Roman" w:hAnsi="Times New Roman"/>
          <w:sz w:val="18"/>
          <w:szCs w:val="18"/>
          <w:color w:val="auto"/>
        </w:rPr>
        <w:t>— Substantially all of the Company’s contracts for dredging services are fixed-price contracts, which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provide for remeasurement based on actual quantities dredged. The majority of the Company’s demolition contracts are also fixed-price contracts, with others managed as time-and-materials. Contract revenues are recognized under the percentage-of-completion method, based on the Company’s engineering estimates of the physical percentage completed for dredging projects and using a cost-to-cost approach for demolition projects. For dredging projects, costs of contract revenues are adjusted to reflect the gross profit percentage expected to be achieved upon ultimate completion. For demolition contracts, contract revenues are adjusted to reflect the estimated gross profit percentage. Revisions in estimated gross profit percentages are recorded in the period during which the change in circumstances is experienced or becomes known. As the duration of most of the Company’s contracts is one year or less, the cumulative net impact of these revisions in estimates, individually and in the aggregate across our projects, does not significantly affect our results across reporting periods. Provisions for estimated losses on contracts in progress are made in the period in which such losses are determined. Change orders are not recognized in revenue until the recovery is probable and collectability is reasonably assured. Claims for additional compensation due to the Company are not recognized in contract revenues until such claims are settled. Billings on contracts are generally submitted after verification with the customers of physical progress and may not match the timing of revenue recognition. The difference between amounts billed and recognized as revenue is reflected in the balance sheet as either contract revenues in excess of billings or billings in excess of contract revenues. Modifications may be negotiated when a change from the original contract specification is encountered, and a change in project scope, performance methodology and/or material disposal is necessary. Thus, the resulting modification is considered a change in the scope of the original project to which it relates. Significant expenditures incurred incidental to major contracts are deferred and recognized as contract costs based on contract performance over the duration of the related project. These expenditures are reported as prepaid expenses.</w:t>
      </w:r>
    </w:p>
    <w:p>
      <w:pPr>
        <w:spacing w:after="0" w:line="144" w:lineRule="exact"/>
        <w:rPr>
          <w:sz w:val="20"/>
          <w:szCs w:val="20"/>
          <w:color w:val="auto"/>
        </w:rPr>
      </w:pPr>
    </w:p>
    <w:p>
      <w:pPr>
        <w:ind w:right="100" w:firstLine="456"/>
        <w:spacing w:after="0" w:line="262" w:lineRule="auto"/>
        <w:rPr>
          <w:sz w:val="20"/>
          <w:szCs w:val="20"/>
          <w:color w:val="auto"/>
        </w:rPr>
      </w:pPr>
      <w:r>
        <w:rPr>
          <w:rFonts w:ascii="Times New Roman" w:cs="Times New Roman" w:eastAsia="Times New Roman" w:hAnsi="Times New Roman"/>
          <w:sz w:val="18"/>
          <w:szCs w:val="18"/>
          <w:color w:val="auto"/>
        </w:rPr>
        <w:t>The components of costs of contract revenues include labor, equipment (including depreciation, maintenance, insurance and long-term rentals), subcontracts, fuel and project overhead. Hourly labor is generally hired on a project-by-project basis. Costs of contract revenues vary significantly depending on the type and</w:t>
      </w:r>
    </w:p>
    <w:p>
      <w:pPr>
        <w:spacing w:after="0" w:line="1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67</w:t>
      </w:r>
    </w:p>
    <w:p>
      <w:pPr>
        <w:sectPr>
          <w:pgSz w:w="11900" w:h="16838" w:orient="portrait"/>
          <w:cols w:equalWidth="0" w:num="1">
            <w:col w:w="11380"/>
          </w:cols>
          <w:pgMar w:left="240" w:top="455" w:right="279" w:bottom="1440" w:gutter="0" w:footer="0" w:header="0"/>
        </w:sectPr>
      </w:pPr>
    </w:p>
    <w:bookmarkStart w:id="69" w:name="page70"/>
    <w:bookmarkEnd w:id="6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20"/>
        <w:spacing w:after="0" w:line="275" w:lineRule="auto"/>
        <w:rPr>
          <w:sz w:val="20"/>
          <w:szCs w:val="20"/>
          <w:color w:val="auto"/>
        </w:rPr>
      </w:pPr>
      <w:r>
        <w:rPr>
          <w:rFonts w:ascii="Times New Roman" w:cs="Times New Roman" w:eastAsia="Times New Roman" w:hAnsi="Times New Roman"/>
          <w:sz w:val="18"/>
          <w:szCs w:val="18"/>
          <w:color w:val="auto"/>
        </w:rPr>
        <w:t>location of work performed and assets utilized. Generally, capital projects have the highest margins due to the complexity of the projects, while coastal protection projects have the most volatile margins because they are most often exposed to variability in weather conditions.</w:t>
      </w:r>
    </w:p>
    <w:p>
      <w:pPr>
        <w:spacing w:after="0" w:line="120" w:lineRule="exact"/>
        <w:rPr>
          <w:sz w:val="20"/>
          <w:szCs w:val="20"/>
          <w:color w:val="auto"/>
        </w:rPr>
      </w:pPr>
    </w:p>
    <w:p>
      <w:pPr>
        <w:ind w:right="40" w:firstLine="456"/>
        <w:spacing w:after="0" w:line="293" w:lineRule="auto"/>
        <w:rPr>
          <w:sz w:val="20"/>
          <w:szCs w:val="20"/>
          <w:color w:val="auto"/>
        </w:rPr>
      </w:pPr>
      <w:r>
        <w:rPr>
          <w:rFonts w:ascii="Times New Roman" w:cs="Times New Roman" w:eastAsia="Times New Roman" w:hAnsi="Times New Roman"/>
          <w:sz w:val="16"/>
          <w:szCs w:val="16"/>
          <w:color w:val="auto"/>
        </w:rPr>
        <w:t>The Company’s cost structure includes significant annual equipment-related costs, including depreciation, maintenance, insurance and long-term rentals. These costs have averaged approximately 21% to 25% of total costs of contract revenues over the prior three years. During the year, both equipment utilization and the timing of fixed cost expenditures fluctuate significantly. Accordingly, the Company allocates these fixed equipment costs to interim periods in proportion to revenues recognized over the year, to better match revenues and expenses. Specifically, at each interim reporting date the Company compares actual revenues earned to date on its dredging contracts to expected annual revenues and recognizes equipment costs on the same proportionate basis. In the fourth quarter, any over or under allocated equipment costs are recognized such that the expense for the year equals actual equipment costs incurred during the year.</w:t>
      </w:r>
    </w:p>
    <w:p>
      <w:pPr>
        <w:spacing w:after="0" w:line="109" w:lineRule="exact"/>
        <w:rPr>
          <w:sz w:val="20"/>
          <w:szCs w:val="20"/>
          <w:color w:val="auto"/>
        </w:rPr>
      </w:pPr>
    </w:p>
    <w:p>
      <w:pPr>
        <w:ind w:right="120" w:firstLine="456"/>
        <w:spacing w:after="0" w:line="277" w:lineRule="auto"/>
        <w:rPr>
          <w:sz w:val="20"/>
          <w:szCs w:val="20"/>
          <w:color w:val="auto"/>
        </w:rPr>
      </w:pPr>
      <w:r>
        <w:rPr>
          <w:rFonts w:ascii="Times New Roman" w:cs="Times New Roman" w:eastAsia="Times New Roman" w:hAnsi="Times New Roman"/>
          <w:sz w:val="18"/>
          <w:szCs w:val="18"/>
          <w:b w:val="1"/>
          <w:bCs w:val="1"/>
          <w:color w:val="auto"/>
        </w:rPr>
        <w:t xml:space="preserve">Classification of Current Assets and Liabilities </w:t>
      </w:r>
      <w:r>
        <w:rPr>
          <w:rFonts w:ascii="Times New Roman" w:cs="Times New Roman" w:eastAsia="Times New Roman" w:hAnsi="Times New Roman"/>
          <w:sz w:val="18"/>
          <w:szCs w:val="18"/>
          <w:color w:val="auto"/>
        </w:rPr>
        <w:t>— The Company includes in current assets and liabilities amounts realizable and payable in the normal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course of contract completion, unless completion of such contracts extends significantly beyond one year.</w:t>
      </w:r>
    </w:p>
    <w:p>
      <w:pPr>
        <w:spacing w:after="0" w:line="116" w:lineRule="exact"/>
        <w:rPr>
          <w:sz w:val="20"/>
          <w:szCs w:val="20"/>
          <w:color w:val="auto"/>
        </w:rPr>
      </w:pPr>
    </w:p>
    <w:p>
      <w:pPr>
        <w:ind w:left="460" w:right="360"/>
        <w:spacing w:after="0" w:line="396" w:lineRule="auto"/>
        <w:rPr>
          <w:sz w:val="20"/>
          <w:szCs w:val="20"/>
          <w:color w:val="auto"/>
        </w:rPr>
      </w:pPr>
      <w:r>
        <w:rPr>
          <w:rFonts w:ascii="Times New Roman" w:cs="Times New Roman" w:eastAsia="Times New Roman" w:hAnsi="Times New Roman"/>
          <w:sz w:val="16"/>
          <w:szCs w:val="16"/>
          <w:b w:val="1"/>
          <w:bCs w:val="1"/>
          <w:color w:val="auto"/>
        </w:rPr>
        <w:t xml:space="preserve">Cash Equivalents </w:t>
      </w:r>
      <w:r>
        <w:rPr>
          <w:rFonts w:ascii="Times New Roman" w:cs="Times New Roman" w:eastAsia="Times New Roman" w:hAnsi="Times New Roman"/>
          <w:sz w:val="16"/>
          <w:szCs w:val="16"/>
          <w:color w:val="auto"/>
        </w:rPr>
        <w:t>— The Company considers all highly liquid investments with a maturity at purchase of three months or less to be cash equivalents.</w:t>
      </w:r>
      <w:r>
        <w:rPr>
          <w:rFonts w:ascii="Times New Roman" w:cs="Times New Roman" w:eastAsia="Times New Roman" w:hAnsi="Times New Roman"/>
          <w:sz w:val="16"/>
          <w:szCs w:val="16"/>
          <w:b w:val="1"/>
          <w:bCs w:val="1"/>
          <w:color w:val="auto"/>
        </w:rPr>
        <w:t xml:space="preserve"> Accounts Receivable</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 xml:space="preserve"> net </w:t>
      </w:r>
      <w:r>
        <w:rPr>
          <w:rFonts w:ascii="Times New Roman" w:cs="Times New Roman" w:eastAsia="Times New Roman" w:hAnsi="Times New Roman"/>
          <w:sz w:val="16"/>
          <w:szCs w:val="16"/>
          <w:color w:val="auto"/>
        </w:rPr>
        <w:t>— Accounts receivable represent amounts due or billable under the terms of contracts with customers, including amounts</w:t>
      </w:r>
    </w:p>
    <w:p>
      <w:pPr>
        <w:spacing w:after="0" w:line="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related to retainage. The Company anticipates collection of retainage generally within one year, and accordingly presents retainage as a current asset. A portion of retainage will not be collected until after one year and is classified as other non-current assets. The Company provides an allowance for estimated uncollectible accounts receivable when events or conditions indicate that amounts outstanding are not recoverable.</w:t>
      </w:r>
    </w:p>
    <w:p>
      <w:pPr>
        <w:spacing w:after="0" w:line="136" w:lineRule="exact"/>
        <w:rPr>
          <w:sz w:val="20"/>
          <w:szCs w:val="20"/>
          <w:color w:val="auto"/>
        </w:rPr>
      </w:pPr>
    </w:p>
    <w:p>
      <w:pPr>
        <w:ind w:right="540" w:firstLine="456"/>
        <w:spacing w:after="0" w:line="264" w:lineRule="auto"/>
        <w:rPr>
          <w:sz w:val="20"/>
          <w:szCs w:val="20"/>
          <w:color w:val="auto"/>
        </w:rPr>
      </w:pPr>
      <w:r>
        <w:rPr>
          <w:rFonts w:ascii="Times New Roman" w:cs="Times New Roman" w:eastAsia="Times New Roman" w:hAnsi="Times New Roman"/>
          <w:sz w:val="18"/>
          <w:szCs w:val="18"/>
          <w:b w:val="1"/>
          <w:bCs w:val="1"/>
          <w:color w:val="auto"/>
        </w:rPr>
        <w:t xml:space="preserve">Inventories </w:t>
      </w:r>
      <w:r>
        <w:rPr>
          <w:rFonts w:ascii="Times New Roman" w:cs="Times New Roman" w:eastAsia="Times New Roman" w:hAnsi="Times New Roman"/>
          <w:sz w:val="18"/>
          <w:szCs w:val="18"/>
          <w:color w:val="auto"/>
        </w:rPr>
        <w:t>— Inventories consist of pipe and spare parts used in the Company’s dredging operations. Pipe and spare parts are purchased in large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quantities; therefore, a certain amount of pipe and spare part inventories is not anticipated to be used within the current year and is classified as long-term. Inventories are stated at the lower of net realizable value or weighted average historical cost.</w:t>
      </w:r>
    </w:p>
    <w:p>
      <w:pPr>
        <w:spacing w:after="0" w:line="127" w:lineRule="exact"/>
        <w:rPr>
          <w:sz w:val="20"/>
          <w:szCs w:val="20"/>
          <w:color w:val="auto"/>
        </w:rPr>
      </w:pPr>
    </w:p>
    <w:p>
      <w:pPr>
        <w:ind w:right="40" w:firstLine="456"/>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Property and Equipment </w:t>
      </w:r>
      <w:r>
        <w:rPr>
          <w:rFonts w:ascii="Times New Roman" w:cs="Times New Roman" w:eastAsia="Times New Roman" w:hAnsi="Times New Roman"/>
          <w:sz w:val="18"/>
          <w:szCs w:val="18"/>
          <w:color w:val="auto"/>
        </w:rPr>
        <w:t>— Capital additions, improvements, and major renewals are classified as property and equipment and are carried at depreciated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cost. Maintenance and repairs that do not significantly extend the useful lives of the assets or enhance the capabilities of such assets are charged to expenses as incurred. Depreciation is recorded over the estimated useful lives of property and equipment using the straight-line method and the mid-year depreciation convention. The estimated useful lives by class of assets are:</w:t>
      </w:r>
    </w:p>
    <w:p>
      <w:pPr>
        <w:spacing w:after="0" w:line="173" w:lineRule="exact"/>
        <w:rPr>
          <w:sz w:val="20"/>
          <w:szCs w:val="20"/>
          <w:color w:val="auto"/>
        </w:rPr>
      </w:pPr>
    </w:p>
    <w:tbl>
      <w:tblPr>
        <w:tblLayout w:type="fixed"/>
        <w:tblInd w:w="920" w:type="dxa"/>
        <w:tblCellMar>
          <w:top w:w="0" w:type="dxa"/>
          <w:left w:w="0" w:type="dxa"/>
          <w:bottom w:w="0" w:type="dxa"/>
          <w:right w:w="0" w:type="dxa"/>
        </w:tblCellMar>
      </w:tblPr>
      <w:tr>
        <w:trPr>
          <w:trHeight w:val="185"/>
        </w:trPr>
        <w:tc>
          <w:tcPr>
            <w:tcW w:w="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Class</w:t>
            </w:r>
          </w:p>
        </w:tc>
        <w:tc>
          <w:tcPr>
            <w:tcW w:w="8080" w:type="dxa"/>
            <w:vAlign w:val="bottom"/>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94"/>
              </w:rPr>
              <w:t>Useful Life (years)</w:t>
            </w:r>
          </w:p>
        </w:tc>
      </w:tr>
      <w:tr>
        <w:trPr>
          <w:trHeight w:val="189"/>
        </w:trPr>
        <w:tc>
          <w:tcPr>
            <w:tcW w:w="842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auto"/>
              </w:rPr>
              <w:t>Buildings and improvements</w:t>
            </w:r>
          </w:p>
        </w:tc>
        <w:tc>
          <w:tcPr>
            <w:tcW w:w="10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10</w:t>
            </w:r>
          </w:p>
        </w:tc>
      </w:tr>
      <w:tr>
        <w:trPr>
          <w:trHeight w:val="216"/>
        </w:trPr>
        <w:tc>
          <w:tcPr>
            <w:tcW w:w="8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w:t>
            </w:r>
          </w:p>
        </w:tc>
      </w:tr>
      <w:tr>
        <w:trPr>
          <w:trHeight w:val="216"/>
        </w:trPr>
        <w:tc>
          <w:tcPr>
            <w:tcW w:w="8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Vehicles, dozers, and other light operating equipment and systems</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28"/>
        </w:trPr>
        <w:tc>
          <w:tcPr>
            <w:tcW w:w="8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Heavy operating equipment (dredges and barges)</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10-30</w:t>
            </w:r>
          </w:p>
        </w:tc>
      </w:tr>
    </w:tbl>
    <w:p>
      <w:pPr>
        <w:spacing w:after="0" w:line="15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Leasehold improvements are amortized over the shorter of their remaining useful lives or the remaining terms of the leases.</w:t>
      </w:r>
    </w:p>
    <w:p>
      <w:pPr>
        <w:spacing w:after="0" w:line="169" w:lineRule="exact"/>
        <w:rPr>
          <w:sz w:val="20"/>
          <w:szCs w:val="20"/>
          <w:color w:val="auto"/>
        </w:rPr>
      </w:pPr>
    </w:p>
    <w:p>
      <w:pPr>
        <w:ind w:firstLine="456"/>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Goodwill and Other Intangible Assets </w:t>
      </w:r>
      <w:r>
        <w:rPr>
          <w:rFonts w:ascii="Times New Roman" w:cs="Times New Roman" w:eastAsia="Times New Roman" w:hAnsi="Times New Roman"/>
          <w:sz w:val="18"/>
          <w:szCs w:val="18"/>
          <w:color w:val="auto"/>
        </w:rPr>
        <w:t>— Goodwill represents the excess of acquisition cost over fair value of the net assets acquired. Other identifiable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intangible assets mainly represent developed technology and databases, customer relationships, and customer contracts acquired in business combinations and are being amortized over a one to five-year period. Goodwill is tested annually for impairment in the third quarter of each year, or more frequently should circumstances dictate. GAAP requires that goodwill of a reporting unit be tested for impairment between annual tests if an event occurs or circumstances change that would more likely than not reduce the fair value of a reporting unit below its carrying amount.</w:t>
      </w:r>
    </w:p>
    <w:p>
      <w:pPr>
        <w:spacing w:after="0" w:line="1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68</w:t>
      </w:r>
    </w:p>
    <w:p>
      <w:pPr>
        <w:sectPr>
          <w:pgSz w:w="11900" w:h="16838" w:orient="portrait"/>
          <w:cols w:equalWidth="0" w:num="1">
            <w:col w:w="11380"/>
          </w:cols>
          <w:pgMar w:left="240" w:top="455" w:right="279" w:bottom="1440" w:gutter="0" w:footer="0" w:header="0"/>
        </w:sectPr>
      </w:pPr>
    </w:p>
    <w:bookmarkStart w:id="70" w:name="page71"/>
    <w:bookmarkEnd w:id="7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180" w:firstLine="456"/>
        <w:spacing w:after="0" w:line="255" w:lineRule="auto"/>
        <w:rPr>
          <w:sz w:val="20"/>
          <w:szCs w:val="20"/>
          <w:color w:val="auto"/>
        </w:rPr>
      </w:pPr>
      <w:r>
        <w:rPr>
          <w:rFonts w:ascii="Times New Roman" w:cs="Times New Roman" w:eastAsia="Times New Roman" w:hAnsi="Times New Roman"/>
          <w:sz w:val="18"/>
          <w:szCs w:val="18"/>
          <w:color w:val="auto"/>
        </w:rPr>
        <w:t>The Company assesses the fair values of its reporting units using both a market-based approach and an income-based approach. Under the income approach, the fair value of the reporting unit is based on the present value of estimated future cash flows. The income approach is dependent on a number of factors, including estimates of future market growth trends, forecasted revenues and expenses, appropriate discount rates and other variables. The estimates are based on assumptions that the Company believes to be reasonable, but such assumptions are subject to unpredictability and uncertainty. Changes in these estimates and assumptions could materially affect the determination of fair value, and may result in the impairment of goodwill in the event that actual results differ from those estimates.</w:t>
      </w:r>
    </w:p>
    <w:p>
      <w:pPr>
        <w:spacing w:after="0" w:line="139" w:lineRule="exact"/>
        <w:rPr>
          <w:sz w:val="20"/>
          <w:szCs w:val="20"/>
          <w:color w:val="auto"/>
        </w:rPr>
      </w:pPr>
    </w:p>
    <w:p>
      <w:pPr>
        <w:ind w:right="40" w:firstLine="456"/>
        <w:spacing w:after="0" w:line="258" w:lineRule="auto"/>
        <w:rPr>
          <w:sz w:val="20"/>
          <w:szCs w:val="20"/>
          <w:color w:val="auto"/>
        </w:rPr>
      </w:pPr>
      <w:r>
        <w:rPr>
          <w:rFonts w:ascii="Times New Roman" w:cs="Times New Roman" w:eastAsia="Times New Roman" w:hAnsi="Times New Roman"/>
          <w:sz w:val="18"/>
          <w:szCs w:val="18"/>
          <w:color w:val="auto"/>
        </w:rPr>
        <w:t>The market approach measures the value of a reporting unit through comparison to comparable companies. Under the market approach, the Company uses the guideline public company method by applying estimated market-based enterprise value multiples to the reporting unit’s estimated revenue and Adjusted EBITDA. The Company analyzed companies that performed similar services or are considered peers. Due to the fact that there are no public companies that are direct competitors, the Company weighed the results of this approach less than the income approach.</w:t>
      </w:r>
    </w:p>
    <w:p>
      <w:pPr>
        <w:spacing w:after="0" w:line="136" w:lineRule="exact"/>
        <w:rPr>
          <w:sz w:val="20"/>
          <w:szCs w:val="20"/>
          <w:color w:val="auto"/>
        </w:rPr>
      </w:pPr>
    </w:p>
    <w:p>
      <w:pPr>
        <w:ind w:firstLine="456"/>
        <w:spacing w:after="0" w:line="253" w:lineRule="auto"/>
        <w:rPr>
          <w:sz w:val="20"/>
          <w:szCs w:val="20"/>
          <w:color w:val="auto"/>
        </w:rPr>
      </w:pPr>
      <w:r>
        <w:rPr>
          <w:rFonts w:ascii="Times New Roman" w:cs="Times New Roman" w:eastAsia="Times New Roman" w:hAnsi="Times New Roman"/>
          <w:sz w:val="18"/>
          <w:szCs w:val="18"/>
          <w:color w:val="auto"/>
        </w:rPr>
        <w:t>At year end the Company operates in four operating segments that, through aggregation, comprise two reportable segments: dredging and demolition. Four operating segments were aggregated into two reportable segments as the segments have similarity in economic margins, services, production processes, customer types, distribution methods and regulatory environment. The Company has determined that the operating segments are the Company’s four reporting units. Prior to the re-evaluation of segments at year end, the Company had two reportable segments that were the operating segments and the reporting units. The Company performed its most recent annual test of impairment as of July 1, 2012 for the goodwill in both the dredging and demolition segments with no indication of goodwill impairment as of the test date. As of the test date, the fair value of both the dredging segment and the demolition segment were in excess of their carrying values by at least 35%. No test was performed in the fourth quarter as based on the segments’ current forecasts no triggering events which would require an interim test were deemed to have occurred. The Company will perform its next scheduled annual test of goodwill in the third quarter of 2013 should no triggering events occur which would require a test prior to the next annual test.</w:t>
      </w:r>
    </w:p>
    <w:p>
      <w:pPr>
        <w:spacing w:after="0" w:line="141" w:lineRule="exact"/>
        <w:rPr>
          <w:sz w:val="20"/>
          <w:szCs w:val="20"/>
          <w:color w:val="auto"/>
        </w:rPr>
      </w:pPr>
    </w:p>
    <w:p>
      <w:pPr>
        <w:ind w:right="60" w:firstLine="456"/>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Long-Lived Assets </w:t>
      </w:r>
      <w:r>
        <w:rPr>
          <w:rFonts w:ascii="Times New Roman" w:cs="Times New Roman" w:eastAsia="Times New Roman" w:hAnsi="Times New Roman"/>
          <w:sz w:val="18"/>
          <w:szCs w:val="18"/>
          <w:color w:val="auto"/>
        </w:rPr>
        <w:t>— Long-lived assets are comprised of property and equipment and intangible assets subject to amortization. Long-lived assets to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held and used are reviewed for possible impairment whenever events indicate that the carrying amount of such assets may not be recoverable by comparing the undiscounted cash flows associated with the assets to their carrying amounts. If such a review indicates an impairment, the carrying amount would be reduced to fair value. If long-lived assets are to be disposed, depreciation is discontinued, if applicable, and the assets are reclassified as held for sale at the lower of their carrying amounts or fair values less estimated costs to sell. No triggering events were identified in 2012 or 2011.</w:t>
      </w:r>
    </w:p>
    <w:p>
      <w:pPr>
        <w:spacing w:after="0" w:line="136" w:lineRule="exact"/>
        <w:rPr>
          <w:sz w:val="20"/>
          <w:szCs w:val="20"/>
          <w:color w:val="auto"/>
        </w:rPr>
      </w:pPr>
    </w:p>
    <w:p>
      <w:pPr>
        <w:ind w:right="640" w:firstLine="456"/>
        <w:spacing w:after="0" w:line="275" w:lineRule="auto"/>
        <w:rPr>
          <w:sz w:val="20"/>
          <w:szCs w:val="20"/>
          <w:color w:val="auto"/>
        </w:rPr>
      </w:pPr>
      <w:r>
        <w:rPr>
          <w:rFonts w:ascii="Times New Roman" w:cs="Times New Roman" w:eastAsia="Times New Roman" w:hAnsi="Times New Roman"/>
          <w:sz w:val="18"/>
          <w:szCs w:val="18"/>
          <w:color w:val="auto"/>
        </w:rPr>
        <w:t>The Company capitalizes construction in progress and records a corresponding long-term liability for build-to-suit lease agreements where we are considered the owner during the construction period for accounting purposes.</w:t>
      </w:r>
    </w:p>
    <w:p>
      <w:pPr>
        <w:spacing w:after="0" w:line="118" w:lineRule="exact"/>
        <w:rPr>
          <w:sz w:val="20"/>
          <w:szCs w:val="20"/>
          <w:color w:val="auto"/>
        </w:rPr>
      </w:pPr>
    </w:p>
    <w:p>
      <w:pPr>
        <w:ind w:right="60" w:firstLine="456"/>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Self-insurance Reserves </w:t>
      </w:r>
      <w:r>
        <w:rPr>
          <w:rFonts w:ascii="Times New Roman" w:cs="Times New Roman" w:eastAsia="Times New Roman" w:hAnsi="Times New Roman"/>
          <w:sz w:val="18"/>
          <w:szCs w:val="18"/>
          <w:color w:val="auto"/>
        </w:rPr>
        <w:t>— The Company self-insures costs associated with its seagoing employees covered by the provisions of Jones Act, workers’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compensation claims, hull and equipment liability, and general business liabilities up to certain limits. Insurance reserves are established for estimates of the loss that the Company may ultimately incur on reported claims, as well as estimates of claims that have been incurred but not yet reported. In determining its estimates, the Company considers historical loss experience and judgments about the present and expected levels of cost per claim. Trends in actual experience are a significant factor in the determination of such reserves.</w:t>
      </w:r>
    </w:p>
    <w:p>
      <w:pPr>
        <w:spacing w:after="0" w:line="136" w:lineRule="exact"/>
        <w:rPr>
          <w:sz w:val="20"/>
          <w:szCs w:val="20"/>
          <w:color w:val="auto"/>
        </w:rPr>
      </w:pPr>
    </w:p>
    <w:p>
      <w:pPr>
        <w:jc w:val="both"/>
        <w:ind w:right="200" w:firstLine="456"/>
        <w:spacing w:after="0" w:line="262" w:lineRule="auto"/>
        <w:rPr>
          <w:sz w:val="20"/>
          <w:szCs w:val="20"/>
          <w:color w:val="auto"/>
        </w:rPr>
      </w:pPr>
      <w:r>
        <w:rPr>
          <w:rFonts w:ascii="Times New Roman" w:cs="Times New Roman" w:eastAsia="Times New Roman" w:hAnsi="Times New Roman"/>
          <w:sz w:val="18"/>
          <w:szCs w:val="18"/>
          <w:color w:val="auto"/>
        </w:rPr>
        <w:t>The Company was previously a member of an insurance association that provided personal injury coverage for its maritime workforce in excess of self-insurance retention limits. Under the prior plan the Company was subject to retroactive premium adjustments based on the association’s claims experience and investment</w:t>
      </w:r>
    </w:p>
    <w:p>
      <w:pPr>
        <w:spacing w:after="0" w:line="11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69</w:t>
      </w:r>
    </w:p>
    <w:p>
      <w:pPr>
        <w:sectPr>
          <w:pgSz w:w="11900" w:h="16838" w:orient="portrait"/>
          <w:cols w:equalWidth="0" w:num="1">
            <w:col w:w="11360"/>
          </w:cols>
          <w:pgMar w:left="240" w:top="455" w:right="299" w:bottom="1440" w:gutter="0" w:footer="0" w:header="0"/>
        </w:sectPr>
      </w:pPr>
    </w:p>
    <w:bookmarkStart w:id="71" w:name="page72"/>
    <w:bookmarkEnd w:id="7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8"/>
          <w:szCs w:val="18"/>
          <w:color w:val="auto"/>
        </w:rPr>
        <w:t>performance. The Company accrued for retroactive premium adjustments when assessed by the insurance association. As the Company is no longer a member of the insurance association, there were no assessments accrued for the year ended December 31, 2012 and 2011.</w:t>
      </w:r>
    </w:p>
    <w:p>
      <w:pPr>
        <w:spacing w:after="0" w:line="118" w:lineRule="exact"/>
        <w:rPr>
          <w:sz w:val="20"/>
          <w:szCs w:val="20"/>
          <w:color w:val="auto"/>
        </w:rPr>
      </w:pPr>
    </w:p>
    <w:p>
      <w:pPr>
        <w:ind w:right="80" w:firstLine="456"/>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Income Taxes </w:t>
      </w:r>
      <w:r>
        <w:rPr>
          <w:rFonts w:ascii="Times New Roman" w:cs="Times New Roman" w:eastAsia="Times New Roman" w:hAnsi="Times New Roman"/>
          <w:sz w:val="18"/>
          <w:szCs w:val="18"/>
          <w:color w:val="auto"/>
        </w:rPr>
        <w:t>— The provision for income taxes includes federal, foreign, and state income taxes currently payable and those deferred because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temporary differences between the financial statement and tax basis of assets and liabilities. Recorded deferred income tax assets and liabilities are based on the estimated future tax effects of differences between the financial and tax basis of assets and liabilities, given the effect of currently enacted tax laws. The Company’s current policy is to repatriate all earnings from foreign subsidiaries’ operations as generated and at this time no amounts are considered to be permanently reinvested in those operations.</w:t>
      </w:r>
    </w:p>
    <w:p>
      <w:pPr>
        <w:spacing w:after="0" w:line="134" w:lineRule="exact"/>
        <w:rPr>
          <w:sz w:val="20"/>
          <w:szCs w:val="20"/>
          <w:color w:val="auto"/>
        </w:rPr>
      </w:pPr>
    </w:p>
    <w:p>
      <w:pPr>
        <w:ind w:right="140" w:firstLine="456"/>
        <w:spacing w:after="0" w:line="312" w:lineRule="auto"/>
        <w:rPr>
          <w:sz w:val="20"/>
          <w:szCs w:val="20"/>
          <w:color w:val="auto"/>
        </w:rPr>
      </w:pPr>
      <w:r>
        <w:rPr>
          <w:rFonts w:ascii="Times New Roman" w:cs="Times New Roman" w:eastAsia="Times New Roman" w:hAnsi="Times New Roman"/>
          <w:sz w:val="16"/>
          <w:szCs w:val="16"/>
          <w:b w:val="1"/>
          <w:bCs w:val="1"/>
          <w:color w:val="auto"/>
        </w:rPr>
        <w:t xml:space="preserve">Hedging Instruments </w:t>
      </w:r>
      <w:r>
        <w:rPr>
          <w:rFonts w:ascii="Times New Roman" w:cs="Times New Roman" w:eastAsia="Times New Roman" w:hAnsi="Times New Roman"/>
          <w:sz w:val="16"/>
          <w:szCs w:val="16"/>
          <w:color w:val="auto"/>
        </w:rPr>
        <w:t>— The Company designates certain derivative contracts as a cash flow hedge as defined by GAAP. Accordingly, the Company</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formally documents, at the inception of each hedge, all relationships between hedging instruments and hedged items, as well as our risk-management objective and strategy for undertaking hedge transactions. This process includes linking all derivatives to highly-probable forecasted transactions.</w:t>
      </w:r>
    </w:p>
    <w:p>
      <w:pPr>
        <w:spacing w:after="0" w:line="95" w:lineRule="exact"/>
        <w:rPr>
          <w:sz w:val="20"/>
          <w:szCs w:val="20"/>
          <w:color w:val="auto"/>
        </w:rPr>
      </w:pPr>
    </w:p>
    <w:p>
      <w:pPr>
        <w:ind w:right="20" w:firstLine="456"/>
        <w:spacing w:after="0" w:line="255" w:lineRule="auto"/>
        <w:rPr>
          <w:sz w:val="20"/>
          <w:szCs w:val="20"/>
          <w:color w:val="auto"/>
        </w:rPr>
      </w:pPr>
      <w:r>
        <w:rPr>
          <w:rFonts w:ascii="Times New Roman" w:cs="Times New Roman" w:eastAsia="Times New Roman" w:hAnsi="Times New Roman"/>
          <w:sz w:val="18"/>
          <w:szCs w:val="18"/>
          <w:color w:val="auto"/>
        </w:rPr>
        <w:t>The Company formally assesses, at inception and on an ongoing basis, the effectiveness of hedges in offsetting changes in the cash flows of hedged items. Hedge accounting treatment is discontinued when (1) it is determined that the derivative is no longer highly effective in offsetting changes in the cash flows of a hedged item (including hedged items for forecasted future transactions), (2) the derivative expires or is sold, terminated or exercised, (3) it is no longer probable that the forecasted transaction will occur or (4) management determines that designating the derivative as a hedging instrument is no longer appropriate. If management elects to stop hedge accounting, it would be on a prospective basis and any hedges in place would be recognized in accumulated other comprehensive income (loss) until all the related forecasted transactions are completed or are probable of not occurring.</w:t>
      </w:r>
    </w:p>
    <w:p>
      <w:pPr>
        <w:spacing w:after="0" w:line="137" w:lineRule="exact"/>
        <w:rPr>
          <w:sz w:val="20"/>
          <w:szCs w:val="20"/>
          <w:color w:val="auto"/>
        </w:rPr>
      </w:pPr>
    </w:p>
    <w:p>
      <w:pPr>
        <w:jc w:val="both"/>
        <w:ind w:firstLine="456"/>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Foreign Currency Translation </w:t>
      </w:r>
      <w:r>
        <w:rPr>
          <w:rFonts w:ascii="Times New Roman" w:cs="Times New Roman" w:eastAsia="Times New Roman" w:hAnsi="Times New Roman"/>
          <w:sz w:val="18"/>
          <w:szCs w:val="18"/>
          <w:color w:val="auto"/>
        </w:rPr>
        <w:t>— The financial statements of the Company’s foreign subsidiaries where the operations are primarily denominated 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foreign currency are translated into U.S. dollars for reporting. Balance sheet accounts are translated at the current foreign exchange rate at the end of each period and income statement accounts are translated at the average foreign exchange rate for each period. Gains and losses on foreign currency translations are reflected as a currency translation adjustment, net of tax, in accumulated other comprehensive income (loss). Foreign currency transaction gains and losses are included in loss on foreign currency transactions, net.</w:t>
      </w:r>
    </w:p>
    <w:p>
      <w:pPr>
        <w:spacing w:after="0" w:line="134" w:lineRule="exact"/>
        <w:rPr>
          <w:sz w:val="20"/>
          <w:szCs w:val="20"/>
          <w:color w:val="auto"/>
        </w:rPr>
      </w:pPr>
    </w:p>
    <w:p>
      <w:pPr>
        <w:ind w:right="40" w:firstLine="456"/>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Noncontrolling Interest </w:t>
      </w:r>
      <w:r>
        <w:rPr>
          <w:rFonts w:ascii="Times New Roman" w:cs="Times New Roman" w:eastAsia="Times New Roman" w:hAnsi="Times New Roman"/>
          <w:sz w:val="18"/>
          <w:szCs w:val="18"/>
          <w:color w:val="auto"/>
        </w:rPr>
        <w:t>— The Company previously owned 65% of the profits interests of NASDI, LLC (“NASDI”), a demolition service provider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located in the Boston, Massachusetts area. Effective January 1, 2011 the Company reacquired Mr. Christopher Berardi’s 35% membership interest in NASDI for no cost per the terms of NASDI’s limited liability company agreement. This resulted in the elimination of noncontrolling interest of $1,973 in 2011. The Company now owns 100% of NASDI.</w:t>
      </w:r>
    </w:p>
    <w:p>
      <w:pPr>
        <w:spacing w:after="0" w:line="135" w:lineRule="exact"/>
        <w:rPr>
          <w:sz w:val="20"/>
          <w:szCs w:val="20"/>
          <w:color w:val="auto"/>
        </w:rPr>
      </w:pPr>
    </w:p>
    <w:p>
      <w:pPr>
        <w:ind w:right="80" w:firstLine="456"/>
        <w:spacing w:after="0" w:line="262" w:lineRule="auto"/>
        <w:rPr>
          <w:sz w:val="20"/>
          <w:szCs w:val="20"/>
          <w:color w:val="auto"/>
        </w:rPr>
      </w:pPr>
      <w:r>
        <w:rPr>
          <w:rFonts w:ascii="Times New Roman" w:cs="Times New Roman" w:eastAsia="Times New Roman" w:hAnsi="Times New Roman"/>
          <w:sz w:val="18"/>
          <w:szCs w:val="18"/>
          <w:color w:val="auto"/>
        </w:rPr>
        <w:t>In March 2011, Mr. Berardi resigned his employment with the Company’s demolition segment effective April 29, 2011. Mr. Berardi’s resignation and the repurchase of his NASDI membership interest also resulted in the reversal of a $1,933 accrual in 2011 established in conjunction with a prior restructuring of ownership interest in NASDI. This reversal was recorded directly to equity as part of the reacquisition of the noncontrolling interest.</w:t>
      </w:r>
    </w:p>
    <w:p>
      <w:pPr>
        <w:spacing w:after="0" w:line="132" w:lineRule="exact"/>
        <w:rPr>
          <w:sz w:val="20"/>
          <w:szCs w:val="20"/>
          <w:color w:val="auto"/>
        </w:rPr>
      </w:pPr>
    </w:p>
    <w:p>
      <w:pPr>
        <w:ind w:right="160" w:firstLine="456"/>
        <w:spacing w:after="0" w:line="275" w:lineRule="auto"/>
        <w:rPr>
          <w:sz w:val="20"/>
          <w:szCs w:val="20"/>
          <w:color w:val="auto"/>
        </w:rPr>
      </w:pPr>
      <w:r>
        <w:rPr>
          <w:rFonts w:ascii="Times New Roman" w:cs="Times New Roman" w:eastAsia="Times New Roman" w:hAnsi="Times New Roman"/>
          <w:sz w:val="18"/>
          <w:szCs w:val="18"/>
          <w:color w:val="auto"/>
        </w:rPr>
        <w:t>On January 1, 2009 the Company acquired a 65% interest in Yankee Environmental Services, LLC (“Yankee”). Noncontrolling interest at December 31, 2012 is related to the membership interest the Company does not own in Yankee.</w:t>
      </w:r>
    </w:p>
    <w:p>
      <w:pPr>
        <w:spacing w:after="0" w:line="118" w:lineRule="exact"/>
        <w:rPr>
          <w:sz w:val="20"/>
          <w:szCs w:val="20"/>
          <w:color w:val="auto"/>
        </w:rPr>
      </w:pPr>
    </w:p>
    <w:p>
      <w:pPr>
        <w:jc w:val="both"/>
        <w:ind w:right="420" w:firstLine="456"/>
        <w:spacing w:after="0" w:line="264" w:lineRule="auto"/>
        <w:rPr>
          <w:sz w:val="20"/>
          <w:szCs w:val="20"/>
          <w:color w:val="auto"/>
        </w:rPr>
      </w:pPr>
      <w:r>
        <w:rPr>
          <w:rFonts w:ascii="Times New Roman" w:cs="Times New Roman" w:eastAsia="Times New Roman" w:hAnsi="Times New Roman"/>
          <w:sz w:val="18"/>
          <w:szCs w:val="18"/>
          <w:b w:val="1"/>
          <w:bCs w:val="1"/>
          <w:color w:val="auto"/>
        </w:rPr>
        <w:t xml:space="preserve">Earnings Per Share </w:t>
      </w:r>
      <w:r>
        <w:rPr>
          <w:rFonts w:ascii="Times New Roman" w:cs="Times New Roman" w:eastAsia="Times New Roman" w:hAnsi="Times New Roman"/>
          <w:sz w:val="18"/>
          <w:szCs w:val="18"/>
          <w:color w:val="auto"/>
        </w:rPr>
        <w:t>— Basic earnings per share is computed by dividing net income attributable to common stockholders by the weighted-average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number of common shares outstanding during the reporting period. Diluted earnings per share is computed similar to basic earnings per share except that it reflects the</w:t>
      </w:r>
    </w:p>
    <w:p>
      <w:pPr>
        <w:spacing w:after="0" w:line="11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70</w:t>
      </w:r>
    </w:p>
    <w:p>
      <w:pPr>
        <w:sectPr>
          <w:pgSz w:w="11900" w:h="16838" w:orient="portrait"/>
          <w:cols w:equalWidth="0" w:num="1">
            <w:col w:w="11320"/>
          </w:cols>
          <w:pgMar w:left="240" w:top="455" w:right="339" w:bottom="1440" w:gutter="0" w:footer="0" w:header="0"/>
        </w:sectPr>
      </w:pPr>
    </w:p>
    <w:bookmarkStart w:id="72" w:name="page73"/>
    <w:bookmarkEnd w:id="7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potential dilution that could occur if dilutive securities or other obligations to issue common stock were exercised or converted into common stock. For the year ended December 31, 2012, 478 shares of potentially dilutive stock options to purchase shares of common stock (“NQSO”) and restricted stock units (“RSU”) were excluded from the diluted weighted-average common shares outstanding, as the Company incurred a loss during this period. For the years ended 2011 and 2010, 299 and zero NQSOs, respectively, were excluded from the calculation of diluted earnings per share. The options were excluded based on the application of the treasury stock method, as such options were determined to be anti-dilutive.</w:t>
      </w:r>
    </w:p>
    <w:p>
      <w:pPr>
        <w:spacing w:after="0" w:line="13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computations for basic and diluted earnings per share for the years ended December 31, 2012, 2011 and 2010 are as follows: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79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b w:val="1"/>
                <w:bCs w:val="1"/>
                <w:color w:val="auto"/>
              </w:rPr>
              <w:t>(shares in thousands)</w:t>
            </w:r>
          </w:p>
        </w:tc>
        <w:tc>
          <w:tcPr>
            <w:tcW w:w="8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rPr>
              <w:t>2012</w:t>
            </w:r>
          </w:p>
        </w:tc>
        <w:tc>
          <w:tcPr>
            <w:tcW w:w="26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4"/>
                <w:szCs w:val="14"/>
                <w:b w:val="1"/>
                <w:bCs w:val="1"/>
                <w:color w:val="auto"/>
              </w:rPr>
              <w:t>2011</w:t>
            </w:r>
          </w:p>
        </w:tc>
        <w:tc>
          <w:tcPr>
            <w:tcW w:w="18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rPr>
              <w:t>2010</w:t>
            </w:r>
          </w:p>
        </w:tc>
        <w:tc>
          <w:tcPr>
            <w:tcW w:w="60" w:type="dxa"/>
            <w:vAlign w:val="bottom"/>
            <w:tcBorders>
              <w:bottom w:val="single" w:sz="8" w:color="CCEEFF"/>
            </w:tcBorders>
          </w:tcPr>
          <w:p>
            <w:pPr>
              <w:spacing w:after="0"/>
              <w:rPr>
                <w:sz w:val="14"/>
                <w:szCs w:val="14"/>
                <w:color w:val="auto"/>
              </w:rPr>
            </w:pPr>
          </w:p>
        </w:tc>
      </w:tr>
      <w:tr>
        <w:trPr>
          <w:trHeight w:val="210"/>
        </w:trPr>
        <w:tc>
          <w:tcPr>
            <w:tcW w:w="7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 attributable to common shareholders of Great Lakes Dredge &amp; Dock Corporation</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7"/>
              </w:rPr>
              <w:t>(2,695)</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16,528</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34,609</w:t>
            </w:r>
          </w:p>
        </w:tc>
        <w:tc>
          <w:tcPr>
            <w:tcW w:w="60" w:type="dxa"/>
            <w:vAlign w:val="bottom"/>
            <w:shd w:val="clear" w:color="auto" w:fill="CCEEFF"/>
          </w:tcPr>
          <w:p>
            <w:pPr>
              <w:spacing w:after="0"/>
              <w:rPr>
                <w:sz w:val="18"/>
                <w:szCs w:val="18"/>
                <w:color w:val="auto"/>
              </w:rPr>
            </w:pPr>
          </w:p>
        </w:tc>
      </w:tr>
      <w:tr>
        <w:trPr>
          <w:trHeight w:val="216"/>
        </w:trPr>
        <w:tc>
          <w:tcPr>
            <w:tcW w:w="790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common shares outstanding — basic</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w w:val="92"/>
              </w:rPr>
              <w:t>59,195</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w w:val="96"/>
              </w:rPr>
              <w:t>58,891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2"/>
              </w:rPr>
              <w:t>58,647</w:t>
            </w:r>
          </w:p>
        </w:tc>
      </w:tr>
      <w:tr>
        <w:trPr>
          <w:trHeight w:val="216"/>
        </w:trPr>
        <w:tc>
          <w:tcPr>
            <w:tcW w:w="7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stock options and restricted stock units</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339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224</w:t>
            </w:r>
          </w:p>
        </w:tc>
      </w:tr>
      <w:tr>
        <w:trPr>
          <w:trHeight w:val="223"/>
        </w:trPr>
        <w:tc>
          <w:tcPr>
            <w:tcW w:w="790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common shares outstanding — diluted</w:t>
            </w:r>
          </w:p>
        </w:tc>
        <w:tc>
          <w:tcPr>
            <w:tcW w:w="8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2"/>
              </w:rPr>
              <w:t>59,195</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59,230</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2"/>
              </w:rPr>
              <w:t>58,871</w:t>
            </w:r>
          </w:p>
        </w:tc>
        <w:tc>
          <w:tcPr>
            <w:tcW w:w="60" w:type="dxa"/>
            <w:vAlign w:val="bottom"/>
          </w:tcPr>
          <w:p>
            <w:pPr>
              <w:spacing w:after="0"/>
              <w:rPr>
                <w:sz w:val="19"/>
                <w:szCs w:val="19"/>
                <w:color w:val="auto"/>
              </w:rPr>
            </w:pPr>
          </w:p>
        </w:tc>
      </w:tr>
      <w:tr>
        <w:trPr>
          <w:trHeight w:val="20"/>
        </w:trPr>
        <w:tc>
          <w:tcPr>
            <w:tcW w:w="79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1"/>
        </w:trPr>
        <w:tc>
          <w:tcPr>
            <w:tcW w:w="7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Earnings (loss) per share — basic</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(0.05)</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0.28</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0.59</w:t>
            </w:r>
          </w:p>
        </w:tc>
      </w:tr>
      <w:tr>
        <w:trPr>
          <w:trHeight w:val="228"/>
        </w:trPr>
        <w:tc>
          <w:tcPr>
            <w:tcW w:w="7900" w:type="dxa"/>
            <w:vAlign w:val="bottom"/>
          </w:tcPr>
          <w:p>
            <w:pPr>
              <w:spacing w:after="0"/>
              <w:rPr>
                <w:sz w:val="20"/>
                <w:szCs w:val="20"/>
                <w:color w:val="auto"/>
              </w:rPr>
            </w:pPr>
            <w:r>
              <w:rPr>
                <w:rFonts w:ascii="Times New Roman" w:cs="Times New Roman" w:eastAsia="Times New Roman" w:hAnsi="Times New Roman"/>
                <w:sz w:val="18"/>
                <w:szCs w:val="18"/>
                <w:color w:val="auto"/>
              </w:rPr>
              <w:t>Earnings (loss) per share — diluted</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(0.05)</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0.28</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0.59</w:t>
            </w:r>
          </w:p>
        </w:tc>
      </w:tr>
    </w:tbl>
    <w:p>
      <w:pPr>
        <w:spacing w:after="0" w:line="255" w:lineRule="exact"/>
        <w:rPr>
          <w:sz w:val="20"/>
          <w:szCs w:val="20"/>
          <w:color w:val="auto"/>
        </w:rPr>
      </w:pPr>
    </w:p>
    <w:p>
      <w:pPr>
        <w:ind w:left="900" w:hanging="446"/>
        <w:spacing w:after="0"/>
        <w:tabs>
          <w:tab w:leader="none" w:pos="900" w:val="left"/>
        </w:tabs>
        <w:numPr>
          <w:ilvl w:val="0"/>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RESTRICTED AND ESCROWED CASH</w:t>
      </w:r>
    </w:p>
    <w:p>
      <w:pPr>
        <w:spacing w:after="0" w:line="92" w:lineRule="exact"/>
        <w:rPr>
          <w:sz w:val="20"/>
          <w:szCs w:val="20"/>
          <w:color w:val="auto"/>
        </w:rPr>
      </w:pPr>
    </w:p>
    <w:p>
      <w:pPr>
        <w:ind w:right="80" w:firstLine="456"/>
        <w:spacing w:after="0" w:line="275" w:lineRule="auto"/>
        <w:rPr>
          <w:sz w:val="20"/>
          <w:szCs w:val="20"/>
          <w:color w:val="auto"/>
        </w:rPr>
      </w:pPr>
      <w:r>
        <w:rPr>
          <w:rFonts w:ascii="Times New Roman" w:cs="Times New Roman" w:eastAsia="Times New Roman" w:hAnsi="Times New Roman"/>
          <w:sz w:val="18"/>
          <w:szCs w:val="18"/>
          <w:color w:val="auto"/>
        </w:rPr>
        <w:t>At December 31, 2012 and 2011, other noncurrent assets include $1,500 of cash held in escrow as security for the Company’s lease rental obligation under a long-term equipment operating lease.</w:t>
      </w:r>
    </w:p>
    <w:p>
      <w:pPr>
        <w:spacing w:after="0" w:line="12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At December 31, 2012, other current assets include $450 of cash held in escrow related to an outstanding lawsuit.</w:t>
      </w:r>
    </w:p>
    <w:p>
      <w:pPr>
        <w:spacing w:after="0" w:line="171" w:lineRule="exact"/>
        <w:rPr>
          <w:sz w:val="20"/>
          <w:szCs w:val="20"/>
          <w:color w:val="auto"/>
        </w:rPr>
      </w:pPr>
    </w:p>
    <w:p>
      <w:pPr>
        <w:jc w:val="both"/>
        <w:ind w:right="200" w:firstLine="456"/>
        <w:spacing w:after="0" w:line="262" w:lineRule="auto"/>
        <w:rPr>
          <w:sz w:val="20"/>
          <w:szCs w:val="20"/>
          <w:color w:val="auto"/>
        </w:rPr>
      </w:pPr>
      <w:r>
        <w:rPr>
          <w:rFonts w:ascii="Times New Roman" w:cs="Times New Roman" w:eastAsia="Times New Roman" w:hAnsi="Times New Roman"/>
          <w:sz w:val="18"/>
          <w:szCs w:val="18"/>
          <w:color w:val="auto"/>
        </w:rPr>
        <w:t>At December 31, 2011 the Company held cash and cash equivalents of $6,489 in an escrow account related to its sale of real estate in Channelview, TX. The escrow was used to transfer the proceeds from the sale to the purchase of a like-kind property, and due to the availability of the funds to the Company were not deemed to be restricted.</w:t>
      </w:r>
    </w:p>
    <w:p>
      <w:pPr>
        <w:spacing w:after="0" w:line="252" w:lineRule="exact"/>
        <w:rPr>
          <w:sz w:val="20"/>
          <w:szCs w:val="20"/>
          <w:color w:val="auto"/>
        </w:rPr>
      </w:pPr>
    </w:p>
    <w:p>
      <w:pPr>
        <w:ind w:right="5560" w:firstLine="454"/>
        <w:spacing w:after="0" w:line="448" w:lineRule="auto"/>
        <w:tabs>
          <w:tab w:leader="none" w:pos="891" w:val="left"/>
        </w:tabs>
        <w:numPr>
          <w:ilvl w:val="0"/>
          <w:numId w:val="31"/>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 xml:space="preserve">ACCOUNTS RECEIVABLE AND CONTRACTS IN PROGRESS </w:t>
      </w:r>
      <w:r>
        <w:rPr>
          <w:rFonts w:ascii="Times New Roman" w:cs="Times New Roman" w:eastAsia="Times New Roman" w:hAnsi="Times New Roman"/>
          <w:sz w:val="16"/>
          <w:szCs w:val="16"/>
          <w:color w:val="auto"/>
        </w:rPr>
        <w:t>Accounts receivable at December 31, 2012 and 2011 are as follows:</w:t>
      </w:r>
    </w:p>
    <w:p>
      <w:pPr>
        <w:spacing w:after="0" w:line="28" w:lineRule="exact"/>
        <w:rPr>
          <w:sz w:val="20"/>
          <w:szCs w:val="20"/>
          <w:color w:val="auto"/>
        </w:rPr>
      </w:pPr>
    </w:p>
    <w:tbl>
      <w:tblPr>
        <w:tblLayout w:type="fixed"/>
        <w:tblInd w:w="46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4160" w:type="dxa"/>
            <w:vAlign w:val="bottom"/>
            <w:tcBorders>
              <w:bottom w:val="single" w:sz="8" w:color="CCEEFF"/>
            </w:tcBorders>
          </w:tcPr>
          <w:p>
            <w:pPr>
              <w:spacing w:after="0"/>
              <w:rPr>
                <w:sz w:val="14"/>
                <w:szCs w:val="14"/>
                <w:color w:val="auto"/>
              </w:rPr>
            </w:pPr>
          </w:p>
        </w:tc>
        <w:tc>
          <w:tcPr>
            <w:tcW w:w="43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2012</w:t>
            </w:r>
          </w:p>
        </w:tc>
        <w:tc>
          <w:tcPr>
            <w:tcW w:w="28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2011</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Completed contracts</w:t>
            </w:r>
          </w:p>
        </w:tc>
        <w:tc>
          <w:tcPr>
            <w:tcW w:w="43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43,898</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38,317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Contracts in progress</w:t>
            </w:r>
          </w:p>
        </w:tc>
        <w:tc>
          <w:tcPr>
            <w:tcW w:w="4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91,459</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69,469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Retainage</w:t>
            </w:r>
          </w:p>
        </w:tc>
        <w:tc>
          <w:tcPr>
            <w:tcW w:w="4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24,419</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20,692</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160" w:type="dxa"/>
            <w:vAlign w:val="bottom"/>
          </w:tcPr>
          <w:p>
            <w:pPr>
              <w:spacing w:after="0"/>
              <w:rPr>
                <w:sz w:val="19"/>
                <w:szCs w:val="19"/>
                <w:color w:val="auto"/>
              </w:rPr>
            </w:pPr>
          </w:p>
        </w:tc>
        <w:tc>
          <w:tcPr>
            <w:tcW w:w="43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159,776</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128,478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Allowance for doubtful accounts</w:t>
            </w:r>
          </w:p>
        </w:tc>
        <w:tc>
          <w:tcPr>
            <w:tcW w:w="4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(2,050)</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(1,839)</w:t>
            </w:r>
          </w:p>
        </w:tc>
        <w:tc>
          <w:tcPr>
            <w:tcW w:w="0" w:type="dxa"/>
            <w:vAlign w:val="bottom"/>
          </w:tcPr>
          <w:p>
            <w:pPr>
              <w:spacing w:after="0"/>
              <w:rPr>
                <w:sz w:val="1"/>
                <w:szCs w:val="1"/>
                <w:color w:val="auto"/>
              </w:rPr>
            </w:pPr>
          </w:p>
        </w:tc>
      </w:tr>
      <w:tr>
        <w:trPr>
          <w:trHeight w:val="223"/>
        </w:trPr>
        <w:tc>
          <w:tcPr>
            <w:tcW w:w="4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accounts receivable — net</w:t>
            </w:r>
          </w:p>
        </w:tc>
        <w:tc>
          <w:tcPr>
            <w:tcW w:w="43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u w:val="single" w:color="auto"/>
                <w:color w:val="auto"/>
                <w:w w:val="74"/>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157,726</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u w:val="single" w:color="auto"/>
                <w:color w:val="auto"/>
                <w:w w:val="74"/>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126,639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portion of accounts receivable — net</w:t>
            </w:r>
          </w:p>
        </w:tc>
        <w:tc>
          <w:tcPr>
            <w:tcW w:w="4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w w:val="95"/>
              </w:rPr>
              <w:t>149,142</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5"/>
              </w:rPr>
              <w:t>120,268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Long-term accounts receivable and retainage</w:t>
            </w:r>
          </w:p>
        </w:tc>
        <w:tc>
          <w:tcPr>
            <w:tcW w:w="43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8,584</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6,371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accounts receivable — net</w:t>
            </w:r>
          </w:p>
        </w:tc>
        <w:tc>
          <w:tcPr>
            <w:tcW w:w="4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8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w w:val="95"/>
              </w:rPr>
              <w:t>157,726</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5"/>
              </w:rPr>
              <w:t>126,639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4340" w:type="dxa"/>
            <w:vAlign w:val="bottom"/>
            <w:vMerge w:val="restart"/>
          </w:tcPr>
          <w:p>
            <w:pPr>
              <w:jc w:val="right"/>
              <w:ind w:right="3092"/>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43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5" w:right="239" w:bottom="1440" w:gutter="0" w:footer="0" w:header="0"/>
        </w:sectPr>
      </w:pPr>
    </w:p>
    <w:bookmarkStart w:id="73" w:name="page74"/>
    <w:bookmarkEnd w:id="7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contracts in progress at December 31, 2012 and 2011 are as follows: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0" w:type="dxa"/>
            <w:vAlign w:val="bottom"/>
            <w:tcBorders>
              <w:bottom w:val="single" w:sz="8" w:color="CCEEFF"/>
            </w:tcBorders>
          </w:tcPr>
          <w:p>
            <w:pPr>
              <w:spacing w:after="0"/>
              <w:rPr>
                <w:sz w:val="14"/>
                <w:szCs w:val="14"/>
                <w:color w:val="auto"/>
              </w:rPr>
            </w:pPr>
          </w:p>
        </w:tc>
        <w:tc>
          <w:tcPr>
            <w:tcW w:w="4700" w:type="dxa"/>
            <w:vAlign w:val="bottom"/>
            <w:tcBorders>
              <w:bottom w:val="single" w:sz="8" w:color="CCEEFF"/>
            </w:tcBorders>
          </w:tcPr>
          <w:p>
            <w:pPr>
              <w:spacing w:after="0"/>
              <w:rPr>
                <w:sz w:val="14"/>
                <w:szCs w:val="14"/>
                <w:color w:val="auto"/>
              </w:rPr>
            </w:pPr>
          </w:p>
        </w:tc>
        <w:tc>
          <w:tcPr>
            <w:tcW w:w="1180" w:type="dxa"/>
            <w:vAlign w:val="bottom"/>
            <w:tcBorders>
              <w:bottom w:val="single" w:sz="8" w:color="CCEEFF"/>
            </w:tcBorders>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720" w:type="dxa"/>
            <w:vAlign w:val="bottom"/>
            <w:tcBorders>
              <w:bottom w:val="single" w:sz="8" w:color="CCEEFF"/>
            </w:tcBorders>
          </w:tcPr>
          <w:p>
            <w:pPr>
              <w:spacing w:after="0"/>
              <w:rPr>
                <w:sz w:val="14"/>
                <w:szCs w:val="14"/>
                <w:color w:val="auto"/>
              </w:rPr>
            </w:pPr>
          </w:p>
        </w:tc>
        <w:tc>
          <w:tcPr>
            <w:tcW w:w="86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4"/>
                <w:szCs w:val="14"/>
                <w:b w:val="1"/>
                <w:bCs w:val="1"/>
                <w:color w:val="auto"/>
              </w:rPr>
              <w:t>2012</w:t>
            </w:r>
          </w:p>
        </w:tc>
        <w:tc>
          <w:tcPr>
            <w:tcW w:w="60" w:type="dxa"/>
            <w:vAlign w:val="bottom"/>
            <w:tcBorders>
              <w:bottom w:val="single" w:sz="8" w:color="auto"/>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2011</w:t>
            </w:r>
          </w:p>
        </w:tc>
        <w:tc>
          <w:tcPr>
            <w:tcW w:w="200" w:type="dxa"/>
            <w:vAlign w:val="bottom"/>
            <w:tcBorders>
              <w:bottom w:val="single" w:sz="8" w:color="auto"/>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100" w:type="dxa"/>
            <w:vAlign w:val="bottom"/>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Costs and earnings in excess of billings:</w:t>
            </w:r>
          </w:p>
        </w:tc>
        <w:tc>
          <w:tcPr>
            <w:tcW w:w="11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Costs and earnings for contracts in progress</w:t>
            </w:r>
          </w:p>
        </w:tc>
        <w:tc>
          <w:tcPr>
            <w:tcW w:w="1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140" w:type="dxa"/>
            <w:vAlign w:val="bottom"/>
            <w:gridSpan w:val="6"/>
          </w:tcPr>
          <w:p>
            <w:pPr>
              <w:jc w:val="right"/>
              <w:ind w:right="200"/>
              <w:spacing w:after="0"/>
              <w:rPr>
                <w:sz w:val="20"/>
                <w:szCs w:val="20"/>
                <w:color w:val="auto"/>
              </w:rPr>
            </w:pPr>
            <w:r>
              <w:rPr>
                <w:rFonts w:ascii="Times New Roman" w:cs="Times New Roman" w:eastAsia="Times New Roman" w:hAnsi="Times New Roman"/>
                <w:sz w:val="18"/>
                <w:szCs w:val="18"/>
                <w:color w:val="auto"/>
              </w:rPr>
              <w:t>$ 458,750</w:t>
            </w:r>
          </w:p>
        </w:tc>
        <w:tc>
          <w:tcPr>
            <w:tcW w:w="20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173,187</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7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Amounts billed</w:t>
            </w:r>
          </w:p>
        </w:tc>
        <w:tc>
          <w:tcPr>
            <w:tcW w:w="1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96"/>
              </w:rPr>
              <w:t>(392,860)</w:t>
            </w:r>
          </w:p>
        </w:tc>
        <w:tc>
          <w:tcPr>
            <w:tcW w:w="20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(152,045)</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54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Costs and earnings in excess of billings for contracts in progress</w:t>
            </w:r>
          </w:p>
        </w:tc>
        <w:tc>
          <w:tcPr>
            <w:tcW w:w="1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65,890</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21,142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Costs and earnings in excess of billings for completed contracts</w:t>
            </w:r>
          </w:p>
        </w:tc>
        <w:tc>
          <w:tcPr>
            <w:tcW w:w="1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3,684</w:t>
            </w:r>
          </w:p>
        </w:tc>
        <w:tc>
          <w:tcPr>
            <w:tcW w:w="20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7,459</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4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Total contract revenues in excess of billings</w:t>
            </w:r>
          </w:p>
        </w:tc>
        <w:tc>
          <w:tcPr>
            <w:tcW w:w="1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69,574</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28,601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portion of contract revenues in excess of billings</w:t>
            </w:r>
          </w:p>
        </w:tc>
        <w:tc>
          <w:tcPr>
            <w:tcW w:w="1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0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69,574</w:t>
            </w:r>
          </w:p>
        </w:tc>
        <w:tc>
          <w:tcPr>
            <w:tcW w:w="20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26,412</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Portion included in other noncurrent assets</w:t>
            </w:r>
          </w:p>
        </w:tc>
        <w:tc>
          <w:tcPr>
            <w:tcW w:w="1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2,189</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contract revenues in excess of billings</w:t>
            </w:r>
          </w:p>
        </w:tc>
        <w:tc>
          <w:tcPr>
            <w:tcW w:w="1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0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69,574</w:t>
            </w:r>
          </w:p>
        </w:tc>
        <w:tc>
          <w:tcPr>
            <w:tcW w:w="20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28,601</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40" w:type="dxa"/>
            <w:vAlign w:val="bottom"/>
            <w:gridSpan w:val="3"/>
            <w:vMerge w:val="restart"/>
          </w:tcPr>
          <w:p>
            <w:pPr>
              <w:ind w:left="440"/>
              <w:spacing w:after="0"/>
              <w:rPr>
                <w:sz w:val="20"/>
                <w:szCs w:val="20"/>
                <w:color w:val="auto"/>
              </w:rPr>
            </w:pPr>
            <w:r>
              <w:rPr>
                <w:rFonts w:ascii="Times New Roman" w:cs="Times New Roman" w:eastAsia="Times New Roman" w:hAnsi="Times New Roman"/>
                <w:sz w:val="18"/>
                <w:szCs w:val="18"/>
                <w:color w:val="auto"/>
              </w:rPr>
              <w:t>Billings in excess of costs and earnings:</w:t>
            </w:r>
          </w:p>
        </w:tc>
        <w:tc>
          <w:tcPr>
            <w:tcW w:w="1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540" w:type="dxa"/>
            <w:vAlign w:val="bottom"/>
            <w:gridSpan w:val="3"/>
            <w:vMerge w:val="continue"/>
          </w:tcPr>
          <w:p>
            <w:pPr>
              <w:spacing w:after="0"/>
              <w:rPr>
                <w:sz w:val="18"/>
                <w:szCs w:val="18"/>
                <w:color w:val="auto"/>
              </w:rPr>
            </w:pPr>
          </w:p>
        </w:tc>
        <w:tc>
          <w:tcPr>
            <w:tcW w:w="1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7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Amounts billed</w:t>
            </w:r>
          </w:p>
        </w:tc>
        <w:tc>
          <w:tcPr>
            <w:tcW w:w="1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140" w:type="dxa"/>
            <w:vAlign w:val="bottom"/>
            <w:gridSpan w:val="6"/>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$(338,741)</w:t>
            </w:r>
          </w:p>
        </w:tc>
        <w:tc>
          <w:tcPr>
            <w:tcW w:w="200" w:type="dxa"/>
            <w:vAlign w:val="bottom"/>
            <w:shd w:val="clear" w:color="auto" w:fill="CCEEFF"/>
          </w:tcPr>
          <w:p>
            <w:pPr>
              <w:spacing w:after="0"/>
              <w:rPr>
                <w:sz w:val="18"/>
                <w:szCs w:val="18"/>
                <w:color w:val="auto"/>
              </w:rPr>
            </w:pPr>
          </w:p>
        </w:tc>
        <w:tc>
          <w:tcPr>
            <w:tcW w:w="1000" w:type="dxa"/>
            <w:vAlign w:val="bottom"/>
            <w:gridSpan w:val="6"/>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(427,797)</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Costs and earnings for contracts in progress</w:t>
            </w:r>
          </w:p>
        </w:tc>
        <w:tc>
          <w:tcPr>
            <w:tcW w:w="1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327,461</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414,170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40" w:type="dxa"/>
            <w:vAlign w:val="bottom"/>
            <w:vMerge w:val="restart"/>
          </w:tcPr>
          <w:p>
            <w:pPr>
              <w:spacing w:after="0"/>
              <w:rPr>
                <w:sz w:val="2"/>
                <w:szCs w:val="2"/>
                <w:color w:val="auto"/>
              </w:rPr>
            </w:pPr>
          </w:p>
        </w:tc>
        <w:tc>
          <w:tcPr>
            <w:tcW w:w="400" w:type="dxa"/>
            <w:vAlign w:val="bottom"/>
          </w:tcPr>
          <w:p>
            <w:pPr>
              <w:spacing w:after="0"/>
              <w:rPr>
                <w:sz w:val="2"/>
                <w:szCs w:val="2"/>
                <w:color w:val="auto"/>
              </w:rPr>
            </w:pPr>
          </w:p>
        </w:tc>
        <w:tc>
          <w:tcPr>
            <w:tcW w:w="47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0" w:type="dxa"/>
            <w:vAlign w:val="bottom"/>
            <w:vMerge w:val="continue"/>
          </w:tcPr>
          <w:p>
            <w:pPr>
              <w:spacing w:after="0"/>
              <w:rPr>
                <w:sz w:val="18"/>
                <w:szCs w:val="18"/>
                <w:color w:val="auto"/>
              </w:rPr>
            </w:pPr>
          </w:p>
        </w:tc>
        <w:tc>
          <w:tcPr>
            <w:tcW w:w="5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billings in excess of contract revenues</w:t>
            </w:r>
          </w:p>
        </w:tc>
        <w:tc>
          <w:tcPr>
            <w:tcW w:w="1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(11,280)</w:t>
            </w:r>
          </w:p>
        </w:tc>
        <w:tc>
          <w:tcPr>
            <w:tcW w:w="20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(13,627)</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60" w:type="dxa"/>
            <w:vAlign w:val="bottom"/>
            <w:gridSpan w:val="3"/>
            <w:vMerge w:val="restart"/>
          </w:tcPr>
          <w:p>
            <w:pPr>
              <w:ind w:left="460"/>
              <w:spacing w:after="0"/>
              <w:rPr>
                <w:sz w:val="20"/>
                <w:szCs w:val="20"/>
                <w:color w:val="auto"/>
              </w:rPr>
            </w:pPr>
            <w:r>
              <w:rPr>
                <w:rFonts w:ascii="Times New Roman" w:cs="Times New Roman" w:eastAsia="Times New Roman" w:hAnsi="Times New Roman"/>
                <w:sz w:val="18"/>
                <w:szCs w:val="18"/>
                <w:b w:val="1"/>
                <w:bCs w:val="1"/>
                <w:color w:val="auto"/>
              </w:rPr>
              <w:t>4.</w:t>
            </w:r>
          </w:p>
        </w:tc>
        <w:tc>
          <w:tcPr>
            <w:tcW w:w="4700" w:type="dxa"/>
            <w:vAlign w:val="bottom"/>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PROPERTY AND EQUIPMENT</w:t>
            </w:r>
          </w:p>
        </w:tc>
        <w:tc>
          <w:tcPr>
            <w:tcW w:w="1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2"/>
        </w:trPr>
        <w:tc>
          <w:tcPr>
            <w:tcW w:w="860" w:type="dxa"/>
            <w:vAlign w:val="bottom"/>
            <w:gridSpan w:val="3"/>
            <w:vMerge w:val="continue"/>
          </w:tcPr>
          <w:p>
            <w:pPr>
              <w:spacing w:after="0"/>
              <w:rPr>
                <w:sz w:val="24"/>
                <w:szCs w:val="24"/>
                <w:color w:val="auto"/>
              </w:rPr>
            </w:pPr>
          </w:p>
        </w:tc>
        <w:tc>
          <w:tcPr>
            <w:tcW w:w="4700" w:type="dxa"/>
            <w:vAlign w:val="bottom"/>
            <w:vMerge w:val="continue"/>
          </w:tcPr>
          <w:p>
            <w:pPr>
              <w:spacing w:after="0"/>
              <w:rPr>
                <w:sz w:val="24"/>
                <w:szCs w:val="24"/>
                <w:color w:val="auto"/>
              </w:rPr>
            </w:pPr>
          </w:p>
        </w:tc>
        <w:tc>
          <w:tcPr>
            <w:tcW w:w="1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554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w w:val="98"/>
              </w:rPr>
              <w:t>Property and equipment at December 31, 2012 and 2011 are as follows:</w:t>
            </w:r>
          </w:p>
        </w:tc>
        <w:tc>
          <w:tcPr>
            <w:tcW w:w="1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0" w:type="dxa"/>
            <w:vAlign w:val="bottom"/>
            <w:tcBorders>
              <w:bottom w:val="single" w:sz="8" w:color="CCEEFF"/>
            </w:tcBorders>
          </w:tcPr>
          <w:p>
            <w:pPr>
              <w:spacing w:after="0"/>
              <w:rPr>
                <w:sz w:val="24"/>
                <w:szCs w:val="24"/>
                <w:color w:val="auto"/>
              </w:rPr>
            </w:pPr>
          </w:p>
        </w:tc>
        <w:tc>
          <w:tcPr>
            <w:tcW w:w="4700" w:type="dxa"/>
            <w:vAlign w:val="bottom"/>
            <w:tcBorders>
              <w:bottom w:val="single" w:sz="8" w:color="CCEEFF"/>
            </w:tcBorders>
          </w:tcPr>
          <w:p>
            <w:pPr>
              <w:spacing w:after="0"/>
              <w:rPr>
                <w:sz w:val="24"/>
                <w:szCs w:val="24"/>
                <w:color w:val="auto"/>
              </w:rPr>
            </w:pPr>
          </w:p>
        </w:tc>
        <w:tc>
          <w:tcPr>
            <w:tcW w:w="1180" w:type="dxa"/>
            <w:vAlign w:val="bottom"/>
            <w:tcBorders>
              <w:bottom w:val="single" w:sz="8" w:color="CCEEFF"/>
            </w:tcBorders>
          </w:tcPr>
          <w:p>
            <w:pPr>
              <w:spacing w:after="0"/>
              <w:rPr>
                <w:sz w:val="24"/>
                <w:szCs w:val="24"/>
                <w:color w:val="auto"/>
              </w:rPr>
            </w:pPr>
          </w:p>
        </w:tc>
        <w:tc>
          <w:tcPr>
            <w:tcW w:w="300" w:type="dxa"/>
            <w:vAlign w:val="bottom"/>
            <w:tcBorders>
              <w:bottom w:val="single" w:sz="8" w:color="CCEEFF"/>
            </w:tcBorders>
          </w:tcPr>
          <w:p>
            <w:pPr>
              <w:spacing w:after="0"/>
              <w:rPr>
                <w:sz w:val="24"/>
                <w:szCs w:val="24"/>
                <w:color w:val="auto"/>
              </w:rPr>
            </w:pPr>
          </w:p>
        </w:tc>
        <w:tc>
          <w:tcPr>
            <w:tcW w:w="720" w:type="dxa"/>
            <w:vAlign w:val="bottom"/>
            <w:tcBorders>
              <w:bottom w:val="single" w:sz="8" w:color="CCEEFF"/>
            </w:tcBorders>
          </w:tcPr>
          <w:p>
            <w:pPr>
              <w:spacing w:after="0"/>
              <w:rPr>
                <w:sz w:val="24"/>
                <w:szCs w:val="24"/>
                <w:color w:val="auto"/>
              </w:rPr>
            </w:pPr>
          </w:p>
        </w:tc>
        <w:tc>
          <w:tcPr>
            <w:tcW w:w="86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2012</w:t>
            </w:r>
          </w:p>
        </w:tc>
        <w:tc>
          <w:tcPr>
            <w:tcW w:w="6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2011</w:t>
            </w:r>
          </w:p>
        </w:tc>
        <w:tc>
          <w:tcPr>
            <w:tcW w:w="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Land</w:t>
            </w:r>
          </w:p>
        </w:tc>
        <w:tc>
          <w:tcPr>
            <w:tcW w:w="47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9,205</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2,764</w:t>
            </w:r>
          </w:p>
        </w:tc>
        <w:tc>
          <w:tcPr>
            <w:tcW w:w="100" w:type="dxa"/>
            <w:vAlign w:val="bottom"/>
            <w:shd w:val="clear" w:color="auto" w:fill="CCEEFF"/>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Buildings and improvements</w:t>
            </w:r>
          </w:p>
        </w:tc>
        <w:tc>
          <w:tcPr>
            <w:tcW w:w="1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5,184</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4"/>
          </w:tcPr>
          <w:p>
            <w:pPr>
              <w:jc w:val="right"/>
              <w:ind w:right="18"/>
              <w:spacing w:after="0"/>
              <w:rPr>
                <w:sz w:val="20"/>
                <w:szCs w:val="20"/>
                <w:color w:val="auto"/>
              </w:rPr>
            </w:pPr>
            <w:r>
              <w:rPr>
                <w:rFonts w:ascii="Times New Roman" w:cs="Times New Roman" w:eastAsia="Times New Roman" w:hAnsi="Times New Roman"/>
                <w:sz w:val="18"/>
                <w:szCs w:val="18"/>
                <w:color w:val="auto"/>
              </w:rPr>
              <w:t>5,184</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1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4,585</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4"/>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3,636</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equipment</w:t>
            </w:r>
          </w:p>
        </w:tc>
        <w:tc>
          <w:tcPr>
            <w:tcW w:w="1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573,516</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519,008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7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property and equipment</w:t>
            </w:r>
          </w:p>
        </w:tc>
        <w:tc>
          <w:tcPr>
            <w:tcW w:w="1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592,490</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4"/>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530,592</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54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Accumulated depreciation</w:t>
            </w:r>
          </w:p>
        </w:tc>
        <w:tc>
          <w:tcPr>
            <w:tcW w:w="1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(245,950</w:t>
            </w:r>
          </w:p>
        </w:tc>
        <w:tc>
          <w:tcPr>
            <w:tcW w:w="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w w:val="96"/>
              </w:rPr>
              <w:t>(220,072</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 net</w:t>
            </w:r>
          </w:p>
        </w:tc>
        <w:tc>
          <w:tcPr>
            <w:tcW w:w="1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$ 346,540</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6"/>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$ 310,520</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20" w:type="dxa"/>
            <w:vAlign w:val="bottom"/>
            <w:gridSpan w:val="4"/>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720" w:type="dxa"/>
            <w:vAlign w:val="bottom"/>
            <w:tcBorders>
              <w:top w:val="single" w:sz="8" w:color="auto"/>
              <w:bottom w:val="single" w:sz="8" w:color="auto"/>
            </w:tcBorders>
            <w:gridSpan w:val="3"/>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0"/>
        </w:trPr>
        <w:tc>
          <w:tcPr>
            <w:tcW w:w="20" w:type="dxa"/>
            <w:vAlign w:val="bottom"/>
          </w:tcPr>
          <w:p>
            <w:pPr>
              <w:spacing w:after="0"/>
              <w:rPr>
                <w:sz w:val="24"/>
                <w:szCs w:val="24"/>
                <w:color w:val="auto"/>
              </w:rPr>
            </w:pPr>
          </w:p>
        </w:tc>
        <w:tc>
          <w:tcPr>
            <w:tcW w:w="9940" w:type="dxa"/>
            <w:vAlign w:val="bottom"/>
            <w:gridSpan w:val="14"/>
          </w:tcPr>
          <w:p>
            <w:pPr>
              <w:ind w:left="440"/>
              <w:spacing w:after="0"/>
              <w:rPr>
                <w:sz w:val="20"/>
                <w:szCs w:val="20"/>
                <w:color w:val="auto"/>
              </w:rPr>
            </w:pPr>
            <w:r>
              <w:rPr>
                <w:rFonts w:ascii="Times New Roman" w:cs="Times New Roman" w:eastAsia="Times New Roman" w:hAnsi="Times New Roman"/>
                <w:sz w:val="18"/>
                <w:szCs w:val="18"/>
                <w:color w:val="auto"/>
              </w:rPr>
              <w:t>Depreciation expense was $39,781, $38,372 and $33,874, for the years ended December 31, 2012, 2011 and 2010, respectively.</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860" w:type="dxa"/>
            <w:vAlign w:val="bottom"/>
            <w:gridSpan w:val="3"/>
          </w:tcPr>
          <w:p>
            <w:pPr>
              <w:ind w:left="460"/>
              <w:spacing w:after="0"/>
              <w:rPr>
                <w:sz w:val="20"/>
                <w:szCs w:val="20"/>
                <w:color w:val="auto"/>
              </w:rPr>
            </w:pPr>
            <w:r>
              <w:rPr>
                <w:rFonts w:ascii="Times New Roman" w:cs="Times New Roman" w:eastAsia="Times New Roman" w:hAnsi="Times New Roman"/>
                <w:sz w:val="18"/>
                <w:szCs w:val="18"/>
                <w:b w:val="1"/>
                <w:bCs w:val="1"/>
                <w:color w:val="auto"/>
              </w:rPr>
              <w:t>5.</w:t>
            </w:r>
          </w:p>
        </w:tc>
        <w:tc>
          <w:tcPr>
            <w:tcW w:w="47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GOODWILL AND OTHER INTANGIBLE ASSETS</w:t>
            </w:r>
          </w:p>
        </w:tc>
        <w:tc>
          <w:tcPr>
            <w:tcW w:w="1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8600" w:type="dxa"/>
            <w:vAlign w:val="bottom"/>
            <w:gridSpan w:val="7"/>
          </w:tcPr>
          <w:p>
            <w:pPr>
              <w:ind w:left="440"/>
              <w:spacing w:after="0"/>
              <w:rPr>
                <w:sz w:val="20"/>
                <w:szCs w:val="20"/>
                <w:color w:val="auto"/>
              </w:rPr>
            </w:pPr>
            <w:r>
              <w:rPr>
                <w:rFonts w:ascii="Times New Roman" w:cs="Times New Roman" w:eastAsia="Times New Roman" w:hAnsi="Times New Roman"/>
                <w:sz w:val="18"/>
                <w:szCs w:val="18"/>
                <w:color w:val="auto"/>
                <w:w w:val="98"/>
              </w:rPr>
              <w:t>The change in the carrying amount of goodwill during the years ended December 31, 2012 and 2011 is as follows:</w:t>
            </w: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7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88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Dredging Segment</w:t>
            </w:r>
          </w:p>
        </w:tc>
        <w:tc>
          <w:tcPr>
            <w:tcW w:w="1340" w:type="dxa"/>
            <w:vAlign w:val="bottom"/>
            <w:gridSpan w:val="7"/>
          </w:tcPr>
          <w:p>
            <w:pPr>
              <w:ind w:left="20"/>
              <w:spacing w:after="0"/>
              <w:rPr>
                <w:sz w:val="20"/>
                <w:szCs w:val="20"/>
                <w:color w:val="auto"/>
              </w:rPr>
            </w:pPr>
            <w:r>
              <w:rPr>
                <w:rFonts w:ascii="Times New Roman" w:cs="Times New Roman" w:eastAsia="Times New Roman" w:hAnsi="Times New Roman"/>
                <w:sz w:val="14"/>
                <w:szCs w:val="14"/>
                <w:color w:val="auto"/>
              </w:rPr>
              <w:t>Demolition Segment</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gridSpan w:val="5"/>
          </w:tcPr>
          <w:p>
            <w:pPr>
              <w:jc w:val="right"/>
              <w:ind w:right="300"/>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40" w:type="dxa"/>
            <w:vAlign w:val="bottom"/>
            <w:tcBorders>
              <w:top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 January 1, 2011</w:t>
            </w:r>
          </w:p>
        </w:tc>
        <w:tc>
          <w:tcPr>
            <w:tcW w:w="11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76,575</w:t>
            </w:r>
          </w:p>
        </w:tc>
        <w:tc>
          <w:tcPr>
            <w:tcW w:w="8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21,474</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right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$ 98,049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7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 December 31, 2011</w:t>
            </w:r>
          </w:p>
        </w:tc>
        <w:tc>
          <w:tcPr>
            <w:tcW w:w="1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76,575</w:t>
            </w: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21,474</w:t>
            </w:r>
          </w:p>
        </w:tc>
        <w:tc>
          <w:tcPr>
            <w:tcW w:w="20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6"/>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98,049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4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rPr>
              <w:t>Acquisition of Terra Contracting</w:t>
            </w:r>
          </w:p>
        </w:tc>
        <w:tc>
          <w:tcPr>
            <w:tcW w:w="11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2,750</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2,750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 December 31, 2012</w:t>
            </w:r>
          </w:p>
        </w:tc>
        <w:tc>
          <w:tcPr>
            <w:tcW w:w="1480" w:type="dxa"/>
            <w:vAlign w:val="bottom"/>
            <w:gridSpan w:val="2"/>
            <w:shd w:val="clear" w:color="auto" w:fill="CCEEFF"/>
          </w:tcPr>
          <w:p>
            <w:pPr>
              <w:ind w:left="118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76,575</w:t>
            </w: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24,224</w:t>
            </w:r>
          </w:p>
        </w:tc>
        <w:tc>
          <w:tcPr>
            <w:tcW w:w="20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6"/>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100,799</w:t>
            </w:r>
          </w:p>
        </w:tc>
        <w:tc>
          <w:tcPr>
            <w:tcW w:w="0" w:type="dxa"/>
            <w:vAlign w:val="bottom"/>
          </w:tcPr>
          <w:p>
            <w:pPr>
              <w:spacing w:after="0"/>
              <w:rPr>
                <w:sz w:val="1"/>
                <w:szCs w:val="1"/>
                <w:color w:val="auto"/>
              </w:rPr>
            </w:pPr>
          </w:p>
        </w:tc>
      </w:tr>
      <w:tr>
        <w:trPr>
          <w:trHeight w:val="20"/>
        </w:trPr>
        <w:tc>
          <w:tcPr>
            <w:tcW w:w="86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Goodwill</w:t>
            </w:r>
          </w:p>
        </w:tc>
        <w:tc>
          <w:tcPr>
            <w:tcW w:w="47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60" w:type="dxa"/>
            <w:vAlign w:val="bottom"/>
            <w:gridSpan w:val="3"/>
            <w:vMerge w:val="continue"/>
          </w:tcPr>
          <w:p>
            <w:pPr>
              <w:spacing w:after="0"/>
              <w:rPr>
                <w:sz w:val="18"/>
                <w:szCs w:val="18"/>
                <w:color w:val="auto"/>
              </w:rPr>
            </w:pPr>
          </w:p>
        </w:tc>
        <w:tc>
          <w:tcPr>
            <w:tcW w:w="47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76,575</w:t>
            </w:r>
          </w:p>
        </w:tc>
        <w:tc>
          <w:tcPr>
            <w:tcW w:w="86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29,040</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w w:val="97"/>
              </w:rPr>
              <w:t>$105,615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5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Impairment Loss</w:t>
            </w:r>
          </w:p>
        </w:tc>
        <w:tc>
          <w:tcPr>
            <w:tcW w:w="1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9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(4,816)</w:t>
            </w:r>
          </w:p>
        </w:tc>
        <w:tc>
          <w:tcPr>
            <w:tcW w:w="1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6"/>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(4,816)</w:t>
            </w:r>
          </w:p>
        </w:tc>
        <w:tc>
          <w:tcPr>
            <w:tcW w:w="0" w:type="dxa"/>
            <w:vAlign w:val="bottom"/>
          </w:tcPr>
          <w:p>
            <w:pPr>
              <w:spacing w:after="0"/>
              <w:rPr>
                <w:sz w:val="1"/>
                <w:szCs w:val="1"/>
                <w:color w:val="auto"/>
              </w:rPr>
            </w:pPr>
          </w:p>
        </w:tc>
      </w:tr>
      <w:tr>
        <w:trPr>
          <w:trHeight w:val="222"/>
        </w:trPr>
        <w:tc>
          <w:tcPr>
            <w:tcW w:w="55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Balance — December 31, 2012</w:t>
            </w:r>
          </w:p>
        </w:tc>
        <w:tc>
          <w:tcPr>
            <w:tcW w:w="118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76,575</w:t>
            </w:r>
          </w:p>
        </w:tc>
        <w:tc>
          <w:tcPr>
            <w:tcW w:w="86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top w:val="single" w:sz="8" w:color="auto"/>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24,224</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80" w:type="dxa"/>
            <w:vAlign w:val="bottom"/>
            <w:tcBorders>
              <w:top w:val="single" w:sz="8" w:color="auto"/>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100,799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1180" w:type="dxa"/>
            <w:vAlign w:val="bottom"/>
            <w:vMerge w:val="restart"/>
          </w:tcPr>
          <w:p>
            <w:pPr>
              <w:jc w:val="right"/>
              <w:ind w:right="852"/>
              <w:spacing w:after="0"/>
              <w:rPr>
                <w:sz w:val="20"/>
                <w:szCs w:val="20"/>
                <w:color w:val="auto"/>
              </w:rPr>
            </w:pPr>
            <w:r>
              <w:rPr>
                <w:rFonts w:ascii="Times New Roman" w:cs="Times New Roman" w:eastAsia="Times New Roman" w:hAnsi="Times New Roman"/>
                <w:sz w:val="18"/>
                <w:szCs w:val="18"/>
                <w:color w:val="auto"/>
              </w:rPr>
              <w:t>72</w:t>
            </w:r>
          </w:p>
        </w:tc>
        <w:tc>
          <w:tcPr>
            <w:tcW w:w="3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700" w:type="dxa"/>
            <w:vAlign w:val="bottom"/>
          </w:tcPr>
          <w:p>
            <w:pPr>
              <w:spacing w:after="0"/>
              <w:rPr>
                <w:sz w:val="24"/>
                <w:szCs w:val="24"/>
                <w:color w:val="auto"/>
              </w:rPr>
            </w:pPr>
          </w:p>
        </w:tc>
        <w:tc>
          <w:tcPr>
            <w:tcW w:w="118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5" w:right="239" w:bottom="1440" w:gutter="0" w:footer="0" w:header="0"/>
        </w:sectPr>
      </w:pPr>
    </w:p>
    <w:bookmarkStart w:id="74" w:name="page75"/>
    <w:bookmarkEnd w:id="7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At December 31, 2012 and 2011, the net book value of identifiable intangible assets was as follows:</w:t>
      </w:r>
    </w:p>
    <w:p>
      <w:pPr>
        <w:spacing w:after="0" w:line="201"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14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As of December 31, 2012</w:t>
            </w:r>
          </w:p>
        </w:tc>
        <w:tc>
          <w:tcPr>
            <w:tcW w:w="5080" w:type="dxa"/>
            <w:vAlign w:val="bottom"/>
            <w:vMerge w:val="restart"/>
          </w:tcPr>
          <w:p>
            <w:pPr>
              <w:spacing w:after="0"/>
              <w:rPr>
                <w:sz w:val="13"/>
                <w:szCs w:val="13"/>
                <w:color w:val="auto"/>
              </w:rPr>
            </w:pPr>
          </w:p>
        </w:tc>
        <w:tc>
          <w:tcPr>
            <w:tcW w:w="5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6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Accumulated</w:t>
            </w: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1480" w:type="dxa"/>
            <w:vAlign w:val="bottom"/>
            <w:tcBorders>
              <w:bottom w:val="single" w:sz="8" w:color="auto"/>
            </w:tcBorders>
            <w:vMerge w:val="continue"/>
          </w:tcPr>
          <w:p>
            <w:pPr>
              <w:spacing w:after="0"/>
              <w:rPr>
                <w:sz w:val="14"/>
                <w:szCs w:val="14"/>
                <w:color w:val="auto"/>
              </w:rPr>
            </w:pPr>
          </w:p>
        </w:tc>
        <w:tc>
          <w:tcPr>
            <w:tcW w:w="5080" w:type="dxa"/>
            <w:vAlign w:val="bottom"/>
            <w:vMerge w:val="continue"/>
          </w:tcPr>
          <w:p>
            <w:pPr>
              <w:spacing w:after="0"/>
              <w:rPr>
                <w:sz w:val="14"/>
                <w:szCs w:val="14"/>
                <w:color w:val="auto"/>
              </w:rPr>
            </w:pPr>
          </w:p>
        </w:tc>
        <w:tc>
          <w:tcPr>
            <w:tcW w:w="500" w:type="dxa"/>
            <w:vAlign w:val="bottom"/>
          </w:tcPr>
          <w:p>
            <w:pPr>
              <w:jc w:val="right"/>
              <w:ind w:right="34"/>
              <w:spacing w:after="0" w:line="148" w:lineRule="exact"/>
              <w:rPr>
                <w:sz w:val="20"/>
                <w:szCs w:val="20"/>
                <w:color w:val="auto"/>
              </w:rPr>
            </w:pPr>
            <w:r>
              <w:rPr>
                <w:rFonts w:ascii="Times New Roman" w:cs="Times New Roman" w:eastAsia="Times New Roman" w:hAnsi="Times New Roman"/>
                <w:sz w:val="14"/>
                <w:szCs w:val="14"/>
                <w:color w:val="auto"/>
              </w:rPr>
              <w:t>Cost</w:t>
            </w:r>
          </w:p>
        </w:tc>
        <w:tc>
          <w:tcPr>
            <w:tcW w:w="600" w:type="dxa"/>
            <w:vAlign w:val="bottom"/>
          </w:tcPr>
          <w:p>
            <w:pPr>
              <w:spacing w:after="0"/>
              <w:rPr>
                <w:sz w:val="14"/>
                <w:szCs w:val="14"/>
                <w:color w:val="auto"/>
              </w:rPr>
            </w:pPr>
          </w:p>
        </w:tc>
        <w:tc>
          <w:tcPr>
            <w:tcW w:w="1060" w:type="dxa"/>
            <w:vAlign w:val="bottom"/>
            <w:gridSpan w:val="3"/>
          </w:tcPr>
          <w:p>
            <w:pPr>
              <w:spacing w:after="0" w:line="148" w:lineRule="exact"/>
              <w:rPr>
                <w:sz w:val="20"/>
                <w:szCs w:val="20"/>
                <w:color w:val="auto"/>
              </w:rPr>
            </w:pPr>
            <w:r>
              <w:rPr>
                <w:rFonts w:ascii="Times New Roman" w:cs="Times New Roman" w:eastAsia="Times New Roman" w:hAnsi="Times New Roman"/>
                <w:sz w:val="14"/>
                <w:szCs w:val="14"/>
                <w:color w:val="auto"/>
              </w:rPr>
              <w:t>Amortization</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gridSpan w:val="2"/>
          </w:tcPr>
          <w:p>
            <w:pPr>
              <w:jc w:val="right"/>
              <w:ind w:right="200"/>
              <w:spacing w:after="0" w:line="148" w:lineRule="exact"/>
              <w:rPr>
                <w:sz w:val="20"/>
                <w:szCs w:val="20"/>
                <w:color w:val="auto"/>
              </w:rPr>
            </w:pPr>
            <w:r>
              <w:rPr>
                <w:rFonts w:ascii="Times New Roman" w:cs="Times New Roman" w:eastAsia="Times New Roman" w:hAnsi="Times New Roman"/>
                <w:sz w:val="14"/>
                <w:szCs w:val="14"/>
                <w:color w:val="auto"/>
              </w:rPr>
              <w:t>Net</w:t>
            </w:r>
          </w:p>
        </w:tc>
        <w:tc>
          <w:tcPr>
            <w:tcW w:w="0" w:type="dxa"/>
            <w:vAlign w:val="bottom"/>
          </w:tcPr>
          <w:p>
            <w:pPr>
              <w:spacing w:after="0"/>
              <w:rPr>
                <w:sz w:val="1"/>
                <w:szCs w:val="1"/>
                <w:color w:val="auto"/>
              </w:rPr>
            </w:pPr>
          </w:p>
        </w:tc>
      </w:tr>
      <w:tr>
        <w:trPr>
          <w:trHeight w:val="203"/>
        </w:trPr>
        <w:tc>
          <w:tcPr>
            <w:tcW w:w="656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Non-compete agreement</w:t>
            </w:r>
          </w:p>
        </w:tc>
        <w:tc>
          <w:tcPr>
            <w:tcW w:w="5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96"/>
              </w:rPr>
              <w:t>$1,852</w:t>
            </w:r>
          </w:p>
        </w:tc>
        <w:tc>
          <w:tcPr>
            <w:tcW w:w="6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421</w:t>
            </w:r>
          </w:p>
        </w:tc>
        <w:tc>
          <w:tcPr>
            <w:tcW w:w="3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93"/>
              </w:rPr>
              <w:t>1,431</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1,481</w:t>
            </w: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1,335</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146</w:t>
            </w:r>
          </w:p>
        </w:tc>
        <w:tc>
          <w:tcPr>
            <w:tcW w:w="0" w:type="dxa"/>
            <w:vAlign w:val="bottom"/>
          </w:tcPr>
          <w:p>
            <w:pPr>
              <w:spacing w:after="0"/>
              <w:rPr>
                <w:sz w:val="1"/>
                <w:szCs w:val="1"/>
                <w:color w:val="auto"/>
              </w:rPr>
            </w:pPr>
          </w:p>
        </w:tc>
      </w:tr>
      <w:tr>
        <w:trPr>
          <w:trHeight w:val="216"/>
        </w:trPr>
        <w:tc>
          <w:tcPr>
            <w:tcW w:w="6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Software and databases</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1,209</w:t>
            </w: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1,136</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r>
        <w:trPr>
          <w:trHeight w:val="216"/>
        </w:trPr>
        <w:tc>
          <w:tcPr>
            <w:tcW w:w="6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Backlog</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627</w:t>
            </w: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627</w:t>
            </w:r>
          </w:p>
        </w:tc>
        <w:tc>
          <w:tcPr>
            <w:tcW w:w="0" w:type="dxa"/>
            <w:vAlign w:val="bottom"/>
          </w:tcPr>
          <w:p>
            <w:pPr>
              <w:spacing w:after="0"/>
              <w:rPr>
                <w:sz w:val="1"/>
                <w:szCs w:val="1"/>
                <w:color w:val="auto"/>
              </w:rPr>
            </w:pPr>
          </w:p>
        </w:tc>
      </w:tr>
      <w:tr>
        <w:trPr>
          <w:trHeight w:val="216"/>
        </w:trPr>
        <w:tc>
          <w:tcPr>
            <w:tcW w:w="6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names</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w:t>
            </w: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70</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429</w:t>
            </w:r>
          </w:p>
        </w:tc>
        <w:tc>
          <w:tcPr>
            <w:tcW w:w="0" w:type="dxa"/>
            <w:vAlign w:val="bottom"/>
          </w:tcPr>
          <w:p>
            <w:pPr>
              <w:spacing w:after="0"/>
              <w:rPr>
                <w:sz w:val="1"/>
                <w:szCs w:val="1"/>
                <w:color w:val="auto"/>
              </w:rPr>
            </w:pPr>
          </w:p>
        </w:tc>
      </w:tr>
      <w:tr>
        <w:trPr>
          <w:trHeight w:val="216"/>
        </w:trPr>
        <w:tc>
          <w:tcPr>
            <w:tcW w:w="6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526</w:t>
            </w: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526</w:t>
            </w:r>
          </w:p>
        </w:tc>
        <w:tc>
          <w:tcPr>
            <w:tcW w:w="0" w:type="dxa"/>
            <w:vAlign w:val="bottom"/>
          </w:tcPr>
          <w:p>
            <w:pPr>
              <w:spacing w:after="0"/>
              <w:rPr>
                <w:sz w:val="1"/>
                <w:szCs w:val="1"/>
                <w:color w:val="auto"/>
              </w:rPr>
            </w:pPr>
          </w:p>
        </w:tc>
      </w:tr>
      <w:tr>
        <w:trPr>
          <w:trHeight w:val="27"/>
        </w:trPr>
        <w:tc>
          <w:tcPr>
            <w:tcW w:w="1480" w:type="dxa"/>
            <w:vAlign w:val="bottom"/>
          </w:tcPr>
          <w:p>
            <w:pPr>
              <w:spacing w:after="0"/>
              <w:rPr>
                <w:sz w:val="2"/>
                <w:szCs w:val="2"/>
                <w:color w:val="auto"/>
              </w:rPr>
            </w:pPr>
          </w:p>
        </w:tc>
        <w:tc>
          <w:tcPr>
            <w:tcW w:w="50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480" w:type="dxa"/>
            <w:vAlign w:val="bottom"/>
            <w:shd w:val="clear" w:color="auto" w:fill="CCEEFF"/>
          </w:tcPr>
          <w:p>
            <w:pPr>
              <w:spacing w:after="0"/>
              <w:rPr>
                <w:sz w:val="18"/>
                <w:szCs w:val="18"/>
                <w:color w:val="auto"/>
              </w:rPr>
            </w:pPr>
          </w:p>
        </w:tc>
        <w:tc>
          <w:tcPr>
            <w:tcW w:w="50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6,194</w:t>
            </w: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2,962</w:t>
            </w: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4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3"/>
              </w:rPr>
              <w:t>3,232</w:t>
            </w:r>
          </w:p>
        </w:tc>
        <w:tc>
          <w:tcPr>
            <w:tcW w:w="0" w:type="dxa"/>
            <w:vAlign w:val="bottom"/>
          </w:tcPr>
          <w:p>
            <w:pPr>
              <w:spacing w:after="0"/>
              <w:rPr>
                <w:sz w:val="1"/>
                <w:szCs w:val="1"/>
                <w:color w:val="auto"/>
              </w:rPr>
            </w:pPr>
          </w:p>
        </w:tc>
      </w:tr>
      <w:tr>
        <w:trPr>
          <w:trHeight w:val="20"/>
        </w:trPr>
        <w:tc>
          <w:tcPr>
            <w:tcW w:w="14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As of December 31, 2011</w:t>
            </w:r>
          </w:p>
        </w:tc>
        <w:tc>
          <w:tcPr>
            <w:tcW w:w="5080" w:type="dxa"/>
            <w:vAlign w:val="bottom"/>
            <w:vMerge w:val="restart"/>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4"/>
        </w:trPr>
        <w:tc>
          <w:tcPr>
            <w:tcW w:w="1480" w:type="dxa"/>
            <w:vAlign w:val="bottom"/>
            <w:tcBorders>
              <w:bottom w:val="single" w:sz="8" w:color="auto"/>
            </w:tcBorders>
            <w:vMerge w:val="continue"/>
          </w:tcPr>
          <w:p>
            <w:pPr>
              <w:spacing w:after="0"/>
              <w:rPr>
                <w:sz w:val="24"/>
                <w:szCs w:val="24"/>
                <w:color w:val="auto"/>
              </w:rPr>
            </w:pPr>
          </w:p>
        </w:tc>
        <w:tc>
          <w:tcPr>
            <w:tcW w:w="5080" w:type="dxa"/>
            <w:vAlign w:val="bottom"/>
            <w:vMerge w:val="continue"/>
          </w:tcPr>
          <w:p>
            <w:pPr>
              <w:spacing w:after="0"/>
              <w:rPr>
                <w:sz w:val="24"/>
                <w:szCs w:val="24"/>
                <w:color w:val="auto"/>
              </w:rPr>
            </w:pPr>
          </w:p>
        </w:tc>
        <w:tc>
          <w:tcPr>
            <w:tcW w:w="5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6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$1,481</w:t>
            </w:r>
          </w:p>
        </w:tc>
        <w:tc>
          <w:tcPr>
            <w:tcW w:w="82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1,279</w:t>
            </w: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202</w:t>
            </w:r>
          </w:p>
        </w:tc>
        <w:tc>
          <w:tcPr>
            <w:tcW w:w="0" w:type="dxa"/>
            <w:vAlign w:val="bottom"/>
          </w:tcPr>
          <w:p>
            <w:pPr>
              <w:spacing w:after="0"/>
              <w:rPr>
                <w:sz w:val="1"/>
                <w:szCs w:val="1"/>
                <w:color w:val="auto"/>
              </w:rPr>
            </w:pPr>
          </w:p>
        </w:tc>
      </w:tr>
      <w:tr>
        <w:trPr>
          <w:trHeight w:val="216"/>
        </w:trPr>
        <w:tc>
          <w:tcPr>
            <w:tcW w:w="6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Software and databases</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1,209</w:t>
            </w: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1,063</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146</w:t>
            </w:r>
          </w:p>
        </w:tc>
        <w:tc>
          <w:tcPr>
            <w:tcW w:w="0" w:type="dxa"/>
            <w:vAlign w:val="bottom"/>
          </w:tcPr>
          <w:p>
            <w:pPr>
              <w:spacing w:after="0"/>
              <w:rPr>
                <w:sz w:val="1"/>
                <w:szCs w:val="1"/>
                <w:color w:val="auto"/>
              </w:rPr>
            </w:pPr>
          </w:p>
        </w:tc>
      </w:tr>
      <w:tr>
        <w:trPr>
          <w:trHeight w:val="216"/>
        </w:trPr>
        <w:tc>
          <w:tcPr>
            <w:tcW w:w="6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Non-compete agreement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744</w:t>
            </w: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313</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431</w:t>
            </w:r>
          </w:p>
        </w:tc>
        <w:tc>
          <w:tcPr>
            <w:tcW w:w="0" w:type="dxa"/>
            <w:vAlign w:val="bottom"/>
          </w:tcPr>
          <w:p>
            <w:pPr>
              <w:spacing w:after="0"/>
              <w:rPr>
                <w:sz w:val="1"/>
                <w:szCs w:val="1"/>
                <w:color w:val="auto"/>
              </w:rPr>
            </w:pPr>
          </w:p>
        </w:tc>
      </w:tr>
      <w:tr>
        <w:trPr>
          <w:trHeight w:val="216"/>
        </w:trPr>
        <w:tc>
          <w:tcPr>
            <w:tcW w:w="6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Trade names</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7"/>
        </w:trPr>
        <w:tc>
          <w:tcPr>
            <w:tcW w:w="1480" w:type="dxa"/>
            <w:vAlign w:val="bottom"/>
          </w:tcPr>
          <w:p>
            <w:pPr>
              <w:spacing w:after="0"/>
              <w:rPr>
                <w:sz w:val="2"/>
                <w:szCs w:val="2"/>
                <w:color w:val="auto"/>
              </w:rPr>
            </w:pPr>
          </w:p>
        </w:tc>
        <w:tc>
          <w:tcPr>
            <w:tcW w:w="50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480" w:type="dxa"/>
            <w:vAlign w:val="bottom"/>
            <w:shd w:val="clear" w:color="auto" w:fill="CCEEFF"/>
          </w:tcPr>
          <w:p>
            <w:pPr>
              <w:spacing w:after="0"/>
              <w:rPr>
                <w:sz w:val="18"/>
                <w:szCs w:val="18"/>
                <w:color w:val="auto"/>
              </w:rPr>
            </w:pPr>
          </w:p>
        </w:tc>
        <w:tc>
          <w:tcPr>
            <w:tcW w:w="50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3,522</w:t>
            </w: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2,708</w:t>
            </w: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814</w:t>
            </w:r>
          </w:p>
        </w:tc>
        <w:tc>
          <w:tcPr>
            <w:tcW w:w="0" w:type="dxa"/>
            <w:vAlign w:val="bottom"/>
          </w:tcPr>
          <w:p>
            <w:pPr>
              <w:spacing w:after="0"/>
              <w:rPr>
                <w:sz w:val="1"/>
                <w:szCs w:val="1"/>
                <w:color w:val="auto"/>
              </w:rPr>
            </w:pPr>
          </w:p>
        </w:tc>
      </w:tr>
      <w:tr>
        <w:trPr>
          <w:trHeight w:val="20"/>
        </w:trPr>
        <w:tc>
          <w:tcPr>
            <w:tcW w:w="148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right="220" w:firstLine="456"/>
        <w:spacing w:after="0" w:line="275" w:lineRule="auto"/>
        <w:rPr>
          <w:sz w:val="20"/>
          <w:szCs w:val="20"/>
          <w:color w:val="auto"/>
        </w:rPr>
      </w:pPr>
      <w:r>
        <w:rPr>
          <w:rFonts w:ascii="Times New Roman" w:cs="Times New Roman" w:eastAsia="Times New Roman" w:hAnsi="Times New Roman"/>
          <w:sz w:val="18"/>
          <w:szCs w:val="18"/>
          <w:color w:val="auto"/>
        </w:rPr>
        <w:t>On December 31, 2012 the Company acquired the assets of Terra Contracting, LLC. (“Terra”) resulting in the recognition of additional intangible assets and goodwill. The weighted average amortization period for intangible assets acquired in 2012 is 4.0 years.</w:t>
      </w:r>
    </w:p>
    <w:p>
      <w:pPr>
        <w:spacing w:after="0" w:line="120" w:lineRule="exact"/>
        <w:rPr>
          <w:sz w:val="20"/>
          <w:szCs w:val="20"/>
          <w:color w:val="auto"/>
        </w:rPr>
      </w:pPr>
    </w:p>
    <w:p>
      <w:pPr>
        <w:ind w:right="240" w:firstLine="456"/>
        <w:spacing w:after="0" w:line="262" w:lineRule="auto"/>
        <w:rPr>
          <w:sz w:val="20"/>
          <w:szCs w:val="20"/>
          <w:color w:val="auto"/>
        </w:rPr>
      </w:pPr>
      <w:r>
        <w:rPr>
          <w:rFonts w:ascii="Times New Roman" w:cs="Times New Roman" w:eastAsia="Times New Roman" w:hAnsi="Times New Roman"/>
          <w:sz w:val="18"/>
          <w:szCs w:val="18"/>
          <w:color w:val="auto"/>
        </w:rPr>
        <w:t>On December 31, 2010 the Company acquired the assets of L.W. Matteson, Inc. (“Matteson”) resulting in the recognition of additional intangible assets (See Note 14). The weighted average amortization period for intangible assets acquired in 2010 is 1.8 years. Intangible assets that were fully amortized at December 31, 2011, including backlog and other intangible assets, have been removed from the balance sheet.</w:t>
      </w:r>
    </w:p>
    <w:p>
      <w:pPr>
        <w:spacing w:after="0" w:line="132" w:lineRule="exact"/>
        <w:rPr>
          <w:sz w:val="20"/>
          <w:szCs w:val="20"/>
          <w:color w:val="auto"/>
        </w:rPr>
      </w:pPr>
    </w:p>
    <w:p>
      <w:pPr>
        <w:ind w:firstLine="456"/>
        <w:spacing w:after="0" w:line="262" w:lineRule="auto"/>
        <w:rPr>
          <w:sz w:val="20"/>
          <w:szCs w:val="20"/>
          <w:color w:val="auto"/>
        </w:rPr>
      </w:pPr>
      <w:r>
        <w:rPr>
          <w:rFonts w:ascii="Times New Roman" w:cs="Times New Roman" w:eastAsia="Times New Roman" w:hAnsi="Times New Roman"/>
          <w:sz w:val="18"/>
          <w:szCs w:val="18"/>
          <w:color w:val="auto"/>
        </w:rPr>
        <w:t>Amortization expense was $254, $2,466 and $427, for the years ended December 31, 2012, 2011 and 2010, respectively, and is included as a component of general and administrative expenses. Amortization expense related to intangible assets is estimated to be $1,289 in 2013, $572 in 2014, $552 in 2015, $409 in 2016 and $409 in 2017.</w:t>
      </w:r>
    </w:p>
    <w:p>
      <w:pPr>
        <w:spacing w:after="0" w:line="252" w:lineRule="exact"/>
        <w:rPr>
          <w:sz w:val="20"/>
          <w:szCs w:val="20"/>
          <w:color w:val="auto"/>
        </w:rPr>
      </w:pPr>
    </w:p>
    <w:p>
      <w:pPr>
        <w:ind w:left="900" w:hanging="446"/>
        <w:spacing w:after="0"/>
        <w:tabs>
          <w:tab w:leader="none" w:pos="900" w:val="left"/>
        </w:tabs>
        <w:numPr>
          <w:ilvl w:val="0"/>
          <w:numId w:val="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ACCRUED EXPENSES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Accrued expenses at December 31, 2012 and 2011 are as follows:</w:t>
      </w:r>
    </w:p>
    <w:p>
      <w:pPr>
        <w:spacing w:after="0" w:line="209" w:lineRule="exact"/>
        <w:rPr>
          <w:sz w:val="20"/>
          <w:szCs w:val="20"/>
          <w:color w:val="auto"/>
        </w:rPr>
      </w:pPr>
    </w:p>
    <w:tbl>
      <w:tblPr>
        <w:tblLayout w:type="fixed"/>
        <w:tblInd w:w="1380" w:type="dxa"/>
        <w:tblCellMar>
          <w:top w:w="0" w:type="dxa"/>
          <w:left w:w="0" w:type="dxa"/>
          <w:bottom w:w="0" w:type="dxa"/>
          <w:right w:w="0" w:type="dxa"/>
        </w:tblCellMar>
      </w:tblPr>
      <w:tr>
        <w:trPr>
          <w:trHeight w:val="165"/>
        </w:trPr>
        <w:tc>
          <w:tcPr>
            <w:tcW w:w="342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jc w:val="right"/>
              <w:ind w:right="74"/>
              <w:spacing w:after="0"/>
              <w:rPr>
                <w:sz w:val="20"/>
                <w:szCs w:val="20"/>
                <w:color w:val="auto"/>
              </w:rPr>
            </w:pPr>
            <w:r>
              <w:rPr>
                <w:rFonts w:ascii="Times New Roman" w:cs="Times New Roman" w:eastAsia="Times New Roman" w:hAnsi="Times New Roman"/>
                <w:sz w:val="14"/>
                <w:szCs w:val="14"/>
                <w:b w:val="1"/>
                <w:bCs w:val="1"/>
                <w:color w:val="auto"/>
              </w:rPr>
              <w:t>2012</w:t>
            </w:r>
          </w:p>
        </w:tc>
        <w:tc>
          <w:tcPr>
            <w:tcW w:w="1140" w:type="dxa"/>
            <w:vAlign w:val="bottom"/>
            <w:gridSpan w:val="2"/>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2011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4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Payroll and employee benefits</w:t>
            </w:r>
          </w:p>
        </w:tc>
        <w:tc>
          <w:tcPr>
            <w:tcW w:w="34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9,906</w:t>
            </w:r>
          </w:p>
        </w:tc>
        <w:tc>
          <w:tcPr>
            <w:tcW w:w="5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$10,763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Insurance</w:t>
            </w:r>
          </w:p>
        </w:tc>
        <w:tc>
          <w:tcPr>
            <w:tcW w:w="3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9,070</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8,285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w:t>
            </w:r>
          </w:p>
        </w:tc>
        <w:tc>
          <w:tcPr>
            <w:tcW w:w="3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7,837</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7,759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Construction liabilities</w:t>
            </w:r>
          </w:p>
        </w:tc>
        <w:tc>
          <w:tcPr>
            <w:tcW w:w="3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6,426</w:t>
            </w:r>
          </w:p>
        </w:tc>
        <w:tc>
          <w:tcPr>
            <w:tcW w:w="560" w:type="dxa"/>
            <w:vAlign w:val="bottom"/>
          </w:tcPr>
          <w:p>
            <w:pPr>
              <w:spacing w:after="0"/>
              <w:rPr>
                <w:sz w:val="18"/>
                <w:szCs w:val="18"/>
                <w:color w:val="auto"/>
              </w:rPr>
            </w:pPr>
          </w:p>
        </w:tc>
        <w:tc>
          <w:tcPr>
            <w:tcW w:w="68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and other taxes</w:t>
            </w:r>
          </w:p>
        </w:tc>
        <w:tc>
          <w:tcPr>
            <w:tcW w:w="3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1,699</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Percentage of completion adjustment</w:t>
            </w:r>
          </w:p>
        </w:tc>
        <w:tc>
          <w:tcPr>
            <w:tcW w:w="3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1,552</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1,855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3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Total accrued expenses</w:t>
            </w:r>
          </w:p>
        </w:tc>
        <w:tc>
          <w:tcPr>
            <w:tcW w:w="344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u w:val="single" w:color="auto"/>
                <w:color w:val="auto"/>
                <w:w w:val="74"/>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2"/>
              </w:rPr>
              <w:t>38,490</w:t>
            </w:r>
          </w:p>
        </w:tc>
        <w:tc>
          <w:tcPr>
            <w:tcW w:w="56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5"/>
              </w:rPr>
              <w:t>$</w:t>
            </w:r>
            <w:r>
              <w:rPr>
                <w:rFonts w:ascii="Times New Roman" w:cs="Times New Roman" w:eastAsia="Times New Roman" w:hAnsi="Times New Roman"/>
                <w:sz w:val="18"/>
                <w:szCs w:val="18"/>
                <w:color w:val="auto"/>
                <w:w w:val="95"/>
              </w:rPr>
              <w:t>31,121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20" w:type="dxa"/>
            <w:vAlign w:val="bottom"/>
          </w:tcPr>
          <w:p>
            <w:pPr>
              <w:spacing w:after="0" w:line="20" w:lineRule="exact"/>
              <w:rPr>
                <w:sz w:val="1"/>
                <w:szCs w:val="1"/>
                <w:color w:val="auto"/>
              </w:rPr>
            </w:pPr>
          </w:p>
        </w:tc>
        <w:tc>
          <w:tcPr>
            <w:tcW w:w="3440" w:type="dxa"/>
            <w:vAlign w:val="bottom"/>
            <w:vMerge w:val="restart"/>
          </w:tcPr>
          <w:p>
            <w:pPr>
              <w:jc w:val="right"/>
              <w:ind w:right="2352"/>
              <w:spacing w:after="0"/>
              <w:rPr>
                <w:sz w:val="20"/>
                <w:szCs w:val="20"/>
                <w:color w:val="auto"/>
              </w:rPr>
            </w:pPr>
            <w:r>
              <w:rPr>
                <w:rFonts w:ascii="Times New Roman" w:cs="Times New Roman" w:eastAsia="Times New Roman" w:hAnsi="Times New Roman"/>
                <w:sz w:val="18"/>
                <w:szCs w:val="18"/>
                <w:color w:val="auto"/>
              </w:rPr>
              <w:t>73</w:t>
            </w: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3420" w:type="dxa"/>
            <w:vAlign w:val="bottom"/>
          </w:tcPr>
          <w:p>
            <w:pPr>
              <w:spacing w:after="0"/>
              <w:rPr>
                <w:sz w:val="24"/>
                <w:szCs w:val="24"/>
                <w:color w:val="auto"/>
              </w:rPr>
            </w:pPr>
          </w:p>
        </w:tc>
        <w:tc>
          <w:tcPr>
            <w:tcW w:w="344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60"/>
          </w:cols>
          <w:pgMar w:left="240" w:top="455" w:right="299" w:bottom="1440" w:gutter="0" w:footer="0" w:header="0"/>
        </w:sectPr>
      </w:pPr>
    </w:p>
    <w:bookmarkStart w:id="75" w:name="page76"/>
    <w:bookmarkEnd w:id="7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900" w:hanging="446"/>
        <w:spacing w:after="0"/>
        <w:tabs>
          <w:tab w:leader="none" w:pos="900" w:val="left"/>
        </w:tabs>
        <w:numPr>
          <w:ilvl w:val="0"/>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LONG-TERM DEBT</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Long-term debt at December 31, 2012 and 2011 is as follows:</w:t>
      </w:r>
    </w:p>
    <w:p>
      <w:pPr>
        <w:spacing w:after="0" w:line="209" w:lineRule="exact"/>
        <w:rPr>
          <w:sz w:val="20"/>
          <w:szCs w:val="20"/>
          <w:color w:val="auto"/>
        </w:rPr>
      </w:pPr>
    </w:p>
    <w:tbl>
      <w:tblPr>
        <w:tblLayout w:type="fixed"/>
        <w:tblInd w:w="138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4480" w:type="dxa"/>
            <w:vAlign w:val="bottom"/>
            <w:tcBorders>
              <w:bottom w:val="single" w:sz="8" w:color="CCEEFF"/>
            </w:tcBorders>
          </w:tcPr>
          <w:p>
            <w:pPr>
              <w:spacing w:after="0"/>
              <w:rPr>
                <w:sz w:val="14"/>
                <w:szCs w:val="14"/>
                <w:color w:val="auto"/>
              </w:rPr>
            </w:pPr>
          </w:p>
        </w:tc>
        <w:tc>
          <w:tcPr>
            <w:tcW w:w="2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2012</w:t>
            </w:r>
          </w:p>
        </w:tc>
        <w:tc>
          <w:tcPr>
            <w:tcW w:w="340" w:type="dxa"/>
            <w:vAlign w:val="bottom"/>
            <w:tcBorders>
              <w:bottom w:val="single" w:sz="8" w:color="CCEEFF"/>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2011</w:t>
            </w: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Equipment notes payable</w:t>
            </w:r>
          </w:p>
        </w:tc>
        <w:tc>
          <w:tcPr>
            <w:tcW w:w="2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Note payable</w:t>
            </w:r>
          </w:p>
        </w:tc>
        <w:tc>
          <w:tcPr>
            <w:tcW w:w="2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13,047</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7.375% senior notes</w:t>
            </w:r>
          </w:p>
        </w:tc>
        <w:tc>
          <w:tcPr>
            <w:tcW w:w="2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250,000</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250,000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Subtotal</w:t>
            </w:r>
          </w:p>
        </w:tc>
        <w:tc>
          <w:tcPr>
            <w:tcW w:w="2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263,098</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255,591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portion of note payable</w:t>
            </w:r>
          </w:p>
        </w:tc>
        <w:tc>
          <w:tcPr>
            <w:tcW w:w="2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(13,047)</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Current portion of equipment debt</w:t>
            </w:r>
          </w:p>
        </w:tc>
        <w:tc>
          <w:tcPr>
            <w:tcW w:w="2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(51)</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(533)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48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2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250,000</w:t>
            </w:r>
          </w:p>
        </w:tc>
        <w:tc>
          <w:tcPr>
            <w:tcW w:w="3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252,558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Credit agreement</w:t>
      </w:r>
    </w:p>
    <w:p>
      <w:pPr>
        <w:spacing w:after="0" w:line="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On June 4, 2012, the Company entered into a senior revolving credit agreement (the “Credit Agreement”) with certain financial institutions from time to</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time party thereto as lenders, Wells Fargo Bank, National Association, as Administrative Agent, Swingline Lender and an Issuing Lender, Bank of America, N.A.,</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as Syndication Agent and PNC Bank, National Association, BMO Harris Bank N.A. and Fifth Third Bank, as Co-Documentation Agents. The Credit Agreement,</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which replaced the Company’s former revolving credit agreement, provides for a senior revolving credit facility in an aggregate principal amount of up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$175,000, subfacilities for the issuance of standby letters of credit up to a $125,000 sublimit, multicurrency borrowings up to a $50,000 sublimit and swingline</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loans up to a $10,000 sublimit. The Credit Agreement also includes an incremental loans feature that will allow the Company to increase the senior revolving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credit facility by an aggregate principal amount of up to $50,000. This is subject to lenders providing incremental commitments for such increase, provided that</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no default or event of default exists, and the Company will be in pro forma compliance with the existing financial covenants both before and after giving effect to</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increase, and subject to other standard conditions. The prior credit agreement with Bank of America N.A. was terminated.</w:t>
      </w:r>
    </w:p>
    <w:p>
      <w:pPr>
        <w:spacing w:after="0" w:line="159" w:lineRule="exact"/>
        <w:rPr>
          <w:sz w:val="20"/>
          <w:szCs w:val="20"/>
          <w:color w:val="auto"/>
        </w:rPr>
      </w:pPr>
    </w:p>
    <w:p>
      <w:pPr>
        <w:ind w:right="20" w:firstLine="456"/>
        <w:spacing w:after="0" w:line="262" w:lineRule="auto"/>
        <w:rPr>
          <w:sz w:val="20"/>
          <w:szCs w:val="20"/>
          <w:color w:val="auto"/>
        </w:rPr>
      </w:pPr>
      <w:r>
        <w:rPr>
          <w:rFonts w:ascii="Times New Roman" w:cs="Times New Roman" w:eastAsia="Times New Roman" w:hAnsi="Times New Roman"/>
          <w:sz w:val="18"/>
          <w:szCs w:val="18"/>
          <w:color w:val="auto"/>
        </w:rPr>
        <w:t>Depending on the Company’s consolidated leverage ratio (as defined in the Credit Agreement), borrowings under the new revolving credit facility will bear interest at the option of the Company at either a LIBOR rate plus a margin of between 1.50% to 2.50% per annum or a base rate plus a margin of between 0.50% to 1.50% per annum.</w:t>
      </w:r>
    </w:p>
    <w:p>
      <w:pPr>
        <w:spacing w:after="0" w:line="132" w:lineRule="exact"/>
        <w:rPr>
          <w:sz w:val="20"/>
          <w:szCs w:val="20"/>
          <w:color w:val="auto"/>
        </w:rPr>
      </w:pPr>
    </w:p>
    <w:p>
      <w:pPr>
        <w:ind w:right="160" w:firstLine="456"/>
        <w:spacing w:after="0" w:line="256" w:lineRule="auto"/>
        <w:rPr>
          <w:sz w:val="20"/>
          <w:szCs w:val="20"/>
          <w:color w:val="auto"/>
        </w:rPr>
      </w:pPr>
      <w:r>
        <w:rPr>
          <w:rFonts w:ascii="Times New Roman" w:cs="Times New Roman" w:eastAsia="Times New Roman" w:hAnsi="Times New Roman"/>
          <w:sz w:val="18"/>
          <w:szCs w:val="18"/>
          <w:color w:val="auto"/>
        </w:rPr>
        <w:t>The new credit facility contains affirmative, negative and financial covenants customary for financings of this type. The Credit Agreement also contains customary events of default (including non-payment of principal or interest on any material debt and breaches of covenants) as well as events of default relating to certain actions by the Company’s surety bonding provider. The Credit Agreement requires the Company to maintain a net leverage ratio less than or equal to 4.50 to 1.00 as of the end of each fiscal quarter and a minimum fixed charge coverage ratio of 1.25 to 1.00. At December 31, 2012, the Company’s fixed charge coverage ratio was 1.12x, resulting in an event of default under the Credit Agreement.</w:t>
      </w:r>
    </w:p>
    <w:p>
      <w:pPr>
        <w:spacing w:after="0" w:line="139" w:lineRule="exact"/>
        <w:rPr>
          <w:sz w:val="20"/>
          <w:szCs w:val="20"/>
          <w:color w:val="auto"/>
        </w:rPr>
      </w:pPr>
    </w:p>
    <w:p>
      <w:pPr>
        <w:ind w:right="100" w:firstLine="456"/>
        <w:spacing w:after="0" w:line="262" w:lineRule="auto"/>
        <w:rPr>
          <w:sz w:val="20"/>
          <w:szCs w:val="20"/>
          <w:color w:val="auto"/>
        </w:rPr>
      </w:pPr>
      <w:r>
        <w:rPr>
          <w:rFonts w:ascii="Times New Roman" w:cs="Times New Roman" w:eastAsia="Times New Roman" w:hAnsi="Times New Roman"/>
          <w:sz w:val="18"/>
          <w:szCs w:val="18"/>
          <w:color w:val="auto"/>
        </w:rPr>
        <w:t>On March 15, 2013, the Company executed a Waiver and Amendment No. 2 to the Credit Agreement (the “Credit Agreement Waiver and Amendment”) pursuant to which the counterparties thereto agreed, among other things, to waive any default, event of default, or possible event of default, as applicable, related to the Company’s failure to meet the above-described financial covenant in the Credit Agreement.</w:t>
      </w:r>
    </w:p>
    <w:p>
      <w:pPr>
        <w:spacing w:after="0" w:line="132"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Separately, the Company determined that a perfection trigger event had occurred under the Credit Agreement. As a result, the outstanding obligations under the Credit Agreement, which were previously unsecured, are now secured by liens on certain of the Company’s vessels and all of its domestic accounts receivable, subject to the liens and interests of certain other parties holding first priority perfected liens. Under the original terms of the Credit Agreement, the obligations thereunder that became secured under these circumstances could again become unsecured provided that (i) no event of default has occurred and is continuing and (ii) the Company has maintained for two consecutive quarters, and is projected to maintain for the next two consecutive quarters, a total leverage ratio less than or equal to 3.75 to 1.0. Pursuant to the Credit Agreement Waiver and Amendment, this provision has been amended to add the</w:t>
      </w:r>
    </w:p>
    <w:p>
      <w:pPr>
        <w:spacing w:after="0" w:line="1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74</w:t>
      </w:r>
    </w:p>
    <w:p>
      <w:pPr>
        <w:sectPr>
          <w:pgSz w:w="11900" w:h="16838" w:orient="portrait"/>
          <w:cols w:equalWidth="0" w:num="1">
            <w:col w:w="11420"/>
          </w:cols>
          <w:pgMar w:left="240" w:top="455" w:right="239" w:bottom="1440" w:gutter="0" w:footer="0" w:header="0"/>
        </w:sectPr>
      </w:pPr>
    </w:p>
    <w:bookmarkStart w:id="76" w:name="page77"/>
    <w:bookmarkEnd w:id="7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120"/>
        <w:spacing w:after="0" w:line="275" w:lineRule="auto"/>
        <w:rPr>
          <w:sz w:val="20"/>
          <w:szCs w:val="20"/>
          <w:color w:val="auto"/>
        </w:rPr>
      </w:pPr>
      <w:r>
        <w:rPr>
          <w:rFonts w:ascii="Times New Roman" w:cs="Times New Roman" w:eastAsia="Times New Roman" w:hAnsi="Times New Roman"/>
          <w:sz w:val="18"/>
          <w:szCs w:val="18"/>
          <w:color w:val="auto"/>
        </w:rPr>
        <w:t>additional condition that no release of the liens securing the obligations under the Credit Agreement can occur until the Company has delivered to the lenders its audited financial statements with respect to its fiscal year ending December 31, 2013.</w:t>
      </w:r>
    </w:p>
    <w:p>
      <w:pPr>
        <w:spacing w:after="0" w:line="120" w:lineRule="exact"/>
        <w:rPr>
          <w:sz w:val="20"/>
          <w:szCs w:val="20"/>
          <w:color w:val="auto"/>
        </w:rPr>
      </w:pPr>
    </w:p>
    <w:p>
      <w:pPr>
        <w:ind w:right="60" w:firstLine="456"/>
        <w:spacing w:after="0" w:line="296" w:lineRule="auto"/>
        <w:rPr>
          <w:sz w:val="20"/>
          <w:szCs w:val="20"/>
          <w:color w:val="auto"/>
        </w:rPr>
      </w:pPr>
      <w:r>
        <w:rPr>
          <w:rFonts w:ascii="Times New Roman" w:cs="Times New Roman" w:eastAsia="Times New Roman" w:hAnsi="Times New Roman"/>
          <w:sz w:val="16"/>
          <w:szCs w:val="16"/>
          <w:color w:val="auto"/>
        </w:rPr>
        <w:t>The obligations of Great Lakes under the Credit Agreement are unconditionally guaranteed, on a joint and several basis, by each existing and subsequently acquired or formed material direct and indirect domestic subsidiary of the Company. As of December 31, 2012, the Company had no borrowings and $35,663 of letters of credit outstanding, resulting in $139,337 of availability under the Credit Agreement. On March 13, 2013, Zurich American Insurance Company informed the Company that it intends to seek, pursuant to the existing surety arrangements among the Company, Zurich and the administrative agent under the Credit Agreement, second mortgages on the same vessels securing the Company’s obligations under the Credit Agreement.</w:t>
      </w:r>
    </w:p>
    <w:p>
      <w:pPr>
        <w:spacing w:after="0" w:line="18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Senior notes</w:t>
      </w:r>
    </w:p>
    <w:p>
      <w:pPr>
        <w:spacing w:after="0" w:line="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In January 2011, the Company issued $250,000 of 7.375% senior notes due February 1, 2019. The senior notes were issued at 100% of face value resulting</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net proceeds of $244,171. Also in January 2011, the Company redeemed all of its $175,000 of 7.75% senior subordinated notes due December 2013 for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$180,014, which included a redemption premium and accrued and unpaid interest. The net proceeds of the issuance of the senior notes were used to redeem the</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senior subordinated notes. The remaining net proceeds from the issuance of the senior notes were used to augment working capital and could be used in the future</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acquisitions.</w:t>
      </w:r>
    </w:p>
    <w:p>
      <w:pPr>
        <w:spacing w:after="0" w:line="23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Other</w:t>
      </w:r>
    </w:p>
    <w:p>
      <w:pPr>
        <w:spacing w:after="0" w:line="92" w:lineRule="exact"/>
        <w:rPr>
          <w:sz w:val="20"/>
          <w:szCs w:val="20"/>
          <w:color w:val="auto"/>
        </w:rPr>
      </w:pPr>
    </w:p>
    <w:p>
      <w:pPr>
        <w:ind w:right="80" w:firstLine="456"/>
        <w:spacing w:after="0" w:line="253" w:lineRule="auto"/>
        <w:rPr>
          <w:sz w:val="20"/>
          <w:szCs w:val="20"/>
          <w:color w:val="auto"/>
        </w:rPr>
      </w:pPr>
      <w:r>
        <w:rPr>
          <w:rFonts w:ascii="Times New Roman" w:cs="Times New Roman" w:eastAsia="Times New Roman" w:hAnsi="Times New Roman"/>
          <w:sz w:val="18"/>
          <w:szCs w:val="18"/>
          <w:color w:val="auto"/>
        </w:rPr>
        <w:t>Great Lakes has a $24,000 International Letter of Credit Facility with Wells Fargo Bank, National Association, as successor by merger to Wells Fargo HSBC Trade Bank. This facility is used for performance and advance payment guarantees on foreign contracts, including our long-term land reclamation project in Bahrain. The Company’s obligations under the agreement are guaranteed by the Company’s foreign accounts receivable. In addition, the Export-Import Bank of the United States (“Ex-Im Bank”) has issued a guarantee under the Ex-Im Bank’s Working Capital Guarantee Program, which covers 90% of the obligations owing under the facility. At December 31, 2012, there were no letters of credit outstanding under this facility. At December 31, 2012, the Company also failed to the meet the International Letter of Credit Facility’s requirement of maintaining a minimum fixed charge coverage ratio of 1.25 to 1.0. On March 15, 2013, the Company executed a Waiver to the International Letter of Credit Facility (the “LC Waiver”) pursuant to which the counterparties thereto agreed, among other things, to waive any default, event of default, or possible event of default, as applicable, related to the Company’s failure to meet the above-described financial covenant in the Credit Agreement and the International Letter of Credit Facility.</w:t>
      </w:r>
    </w:p>
    <w:p>
      <w:pPr>
        <w:spacing w:after="0" w:line="143" w:lineRule="exact"/>
        <w:rPr>
          <w:sz w:val="20"/>
          <w:szCs w:val="20"/>
          <w:color w:val="auto"/>
        </w:rPr>
      </w:pPr>
    </w:p>
    <w:p>
      <w:pPr>
        <w:ind w:right="140" w:firstLine="456"/>
        <w:spacing w:after="0" w:line="275" w:lineRule="auto"/>
        <w:rPr>
          <w:sz w:val="20"/>
          <w:szCs w:val="20"/>
          <w:color w:val="auto"/>
        </w:rPr>
      </w:pPr>
      <w:r>
        <w:rPr>
          <w:rFonts w:ascii="Times New Roman" w:cs="Times New Roman" w:eastAsia="Times New Roman" w:hAnsi="Times New Roman"/>
          <w:sz w:val="18"/>
          <w:szCs w:val="18"/>
          <w:color w:val="auto"/>
        </w:rPr>
        <w:t>In accordance with the purchase of Matteson (See Note 14), the Company issued a secured promissory note in the amount of $7,500 to the former owners of Matteson. The remaining principal payment of $2,500 is due on December 31, 2013. Interest payments at the annual rate of 6% are due quarterly.</w:t>
      </w:r>
    </w:p>
    <w:p>
      <w:pPr>
        <w:spacing w:after="0" w:line="120" w:lineRule="exact"/>
        <w:rPr>
          <w:sz w:val="20"/>
          <w:szCs w:val="20"/>
          <w:color w:val="auto"/>
        </w:rPr>
      </w:pPr>
    </w:p>
    <w:p>
      <w:pPr>
        <w:ind w:right="240" w:firstLine="456"/>
        <w:spacing w:after="0" w:line="275" w:lineRule="auto"/>
        <w:rPr>
          <w:sz w:val="20"/>
          <w:szCs w:val="20"/>
          <w:color w:val="auto"/>
        </w:rPr>
      </w:pPr>
      <w:r>
        <w:rPr>
          <w:rFonts w:ascii="Times New Roman" w:cs="Times New Roman" w:eastAsia="Times New Roman" w:hAnsi="Times New Roman"/>
          <w:sz w:val="18"/>
          <w:szCs w:val="18"/>
          <w:color w:val="auto"/>
        </w:rPr>
        <w:t>In accordance with the purchase of certain assets of Terra (See Note 14), the Company issued a secured promissory note in the amount of $10,547 to the former owner of Terra. The balance of the note of $10,547 was paid in January 2013.</w:t>
      </w:r>
    </w:p>
    <w:p>
      <w:pPr>
        <w:spacing w:after="0" w:line="120" w:lineRule="exact"/>
        <w:rPr>
          <w:sz w:val="20"/>
          <w:szCs w:val="20"/>
          <w:color w:val="auto"/>
        </w:rPr>
      </w:pPr>
    </w:p>
    <w:p>
      <w:pPr>
        <w:ind w:right="220" w:firstLine="456"/>
        <w:spacing w:after="0" w:line="275" w:lineRule="auto"/>
        <w:rPr>
          <w:sz w:val="20"/>
          <w:szCs w:val="20"/>
          <w:color w:val="auto"/>
        </w:rPr>
      </w:pPr>
      <w:r>
        <w:rPr>
          <w:rFonts w:ascii="Times New Roman" w:cs="Times New Roman" w:eastAsia="Times New Roman" w:hAnsi="Times New Roman"/>
          <w:sz w:val="18"/>
          <w:szCs w:val="18"/>
          <w:color w:val="auto"/>
        </w:rPr>
        <w:t>The scheduled principal payments through the maturity date of the Company’s long-term debt, excluding equipment notes, at December 31, 2012, are as follows:</w:t>
      </w:r>
    </w:p>
    <w:p>
      <w:pPr>
        <w:spacing w:after="0" w:line="158" w:lineRule="exact"/>
        <w:rPr>
          <w:sz w:val="20"/>
          <w:szCs w:val="20"/>
          <w:color w:val="auto"/>
        </w:rPr>
      </w:pPr>
    </w:p>
    <w:tbl>
      <w:tblPr>
        <w:tblLayout w:type="fixed"/>
        <w:tblInd w:w="1840" w:type="dxa"/>
        <w:tblCellMar>
          <w:top w:w="0" w:type="dxa"/>
          <w:left w:w="0" w:type="dxa"/>
          <w:bottom w:w="0" w:type="dxa"/>
          <w:right w:w="0" w:type="dxa"/>
        </w:tblCellMar>
      </w:tblPr>
      <w:tr>
        <w:trPr>
          <w:trHeight w:val="165"/>
        </w:trPr>
        <w:tc>
          <w:tcPr>
            <w:tcW w:w="26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Years Ending December 31</w:t>
            </w:r>
          </w:p>
        </w:tc>
        <w:tc>
          <w:tcPr>
            <w:tcW w:w="4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2013</w:t>
            </w:r>
          </w:p>
        </w:tc>
        <w:tc>
          <w:tcPr>
            <w:tcW w:w="44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13,047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60" w:type="dxa"/>
            <w:vAlign w:val="bottom"/>
          </w:tcPr>
          <w:p>
            <w:pPr>
              <w:spacing w:after="0"/>
              <w:rPr>
                <w:sz w:val="20"/>
                <w:szCs w:val="20"/>
                <w:color w:val="auto"/>
              </w:rPr>
            </w:pPr>
            <w:r>
              <w:rPr>
                <w:rFonts w:ascii="Times New Roman" w:cs="Times New Roman" w:eastAsia="Times New Roman" w:hAnsi="Times New Roman"/>
                <w:sz w:val="18"/>
                <w:szCs w:val="18"/>
                <w:color w:val="auto"/>
              </w:rPr>
              <w:t>2014</w:t>
            </w:r>
          </w:p>
        </w:tc>
        <w:tc>
          <w:tcPr>
            <w:tcW w:w="4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2015</w:t>
            </w:r>
          </w:p>
        </w:tc>
        <w:tc>
          <w:tcPr>
            <w:tcW w:w="4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60" w:type="dxa"/>
            <w:vAlign w:val="bottom"/>
          </w:tcPr>
          <w:p>
            <w:pPr>
              <w:spacing w:after="0"/>
              <w:rPr>
                <w:sz w:val="20"/>
                <w:szCs w:val="20"/>
                <w:color w:val="auto"/>
              </w:rPr>
            </w:pPr>
            <w:r>
              <w:rPr>
                <w:rFonts w:ascii="Times New Roman" w:cs="Times New Roman" w:eastAsia="Times New Roman" w:hAnsi="Times New Roman"/>
                <w:sz w:val="18"/>
                <w:szCs w:val="18"/>
                <w:color w:val="auto"/>
              </w:rPr>
              <w:t>2016</w:t>
            </w:r>
          </w:p>
        </w:tc>
        <w:tc>
          <w:tcPr>
            <w:tcW w:w="4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2017</w:t>
            </w:r>
          </w:p>
        </w:tc>
        <w:tc>
          <w:tcPr>
            <w:tcW w:w="4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66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43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250,000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44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u w:val="single" w:color="auto"/>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263,047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4300" w:type="dxa"/>
            <w:vAlign w:val="bottom"/>
            <w:vMerge w:val="restart"/>
          </w:tcPr>
          <w:p>
            <w:pPr>
              <w:jc w:val="right"/>
              <w:ind w:right="2932"/>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430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455" w:right="259" w:bottom="1440" w:gutter="0" w:footer="0" w:header="0"/>
        </w:sectPr>
      </w:pPr>
    </w:p>
    <w:bookmarkStart w:id="77" w:name="page78"/>
    <w:bookmarkEnd w:id="7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960" w:firstLine="456"/>
        <w:spacing w:after="0" w:line="275" w:lineRule="auto"/>
        <w:rPr>
          <w:sz w:val="20"/>
          <w:szCs w:val="20"/>
          <w:color w:val="auto"/>
        </w:rPr>
      </w:pPr>
      <w:r>
        <w:rPr>
          <w:rFonts w:ascii="Times New Roman" w:cs="Times New Roman" w:eastAsia="Times New Roman" w:hAnsi="Times New Roman"/>
          <w:sz w:val="18"/>
          <w:szCs w:val="18"/>
          <w:color w:val="auto"/>
        </w:rPr>
        <w:t>The Company incurred amortization of deferred financing fees for its long term debt of $1,245, $1,515 and $1,607 for each of the years ended December 31, 2012, 2011 and 2010. Such amortization is recorded as a component of interest expense.</w:t>
      </w:r>
    </w:p>
    <w:p>
      <w:pPr>
        <w:spacing w:after="0" w:line="120" w:lineRule="exact"/>
        <w:rPr>
          <w:sz w:val="20"/>
          <w:szCs w:val="20"/>
          <w:color w:val="auto"/>
        </w:rPr>
      </w:pPr>
    </w:p>
    <w:p>
      <w:pPr>
        <w:ind w:right="200" w:firstLine="456"/>
        <w:spacing w:after="0" w:line="255" w:lineRule="auto"/>
        <w:rPr>
          <w:sz w:val="20"/>
          <w:szCs w:val="20"/>
          <w:color w:val="auto"/>
        </w:rPr>
      </w:pPr>
      <w:r>
        <w:rPr>
          <w:rFonts w:ascii="Times New Roman" w:cs="Times New Roman" w:eastAsia="Times New Roman" w:hAnsi="Times New Roman"/>
          <w:sz w:val="18"/>
          <w:szCs w:val="18"/>
          <w:color w:val="auto"/>
        </w:rPr>
        <w:t>The Company sometimes enters into equipment note arrangements or capital leases to finance the acquisition of dozers, excavators and other operating equipment. In 2011, the Company entered into equipment notes totaling $2,127. There were no equipment note arrangements or capital leases entered into in 2012. The current portion of equipment notes payable is $51 and $533, at December 31, 2012 and 2011, respectively. The long-term portion of these equipment notes is included in other long-term liabilities and totaled $58 at December 31, 2011. There is no long-term portion of equipment notes at December 31, 2012. The terms of these equipment notes extend through 2013. The net book value of the related assets was $190 and $2,450 at December 31, 2012 and 2011, respectively. Payments on these equipment notes will be $51 in 2013.</w:t>
      </w:r>
    </w:p>
    <w:p>
      <w:pPr>
        <w:spacing w:after="0" w:line="259" w:lineRule="exact"/>
        <w:rPr>
          <w:sz w:val="20"/>
          <w:szCs w:val="20"/>
          <w:color w:val="auto"/>
        </w:rPr>
      </w:pPr>
    </w:p>
    <w:p>
      <w:pPr>
        <w:ind w:left="900" w:hanging="446"/>
        <w:spacing w:after="0"/>
        <w:tabs>
          <w:tab w:leader="none" w:pos="900" w:val="left"/>
        </w:tabs>
        <w:numPr>
          <w:ilvl w:val="0"/>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MEASUREMENTS</w:t>
      </w:r>
    </w:p>
    <w:p>
      <w:pPr>
        <w:spacing w:after="0" w:line="92" w:lineRule="exact"/>
        <w:rPr>
          <w:sz w:val="20"/>
          <w:szCs w:val="20"/>
          <w:color w:val="auto"/>
        </w:rPr>
      </w:pPr>
    </w:p>
    <w:p>
      <w:pPr>
        <w:ind w:right="260" w:firstLine="456"/>
        <w:spacing w:after="0" w:line="258" w:lineRule="auto"/>
        <w:rPr>
          <w:sz w:val="20"/>
          <w:szCs w:val="20"/>
          <w:color w:val="auto"/>
        </w:rPr>
      </w:pPr>
      <w:r>
        <w:rPr>
          <w:rFonts w:ascii="Times New Roman" w:cs="Times New Roman" w:eastAsia="Times New Roman" w:hAnsi="Times New Roman"/>
          <w:sz w:val="18"/>
          <w:szCs w:val="18"/>
          <w:color w:val="auto"/>
        </w:rPr>
        <w:t>Fair value is defined as the exchange price that would be received for an asset or paid to transfer a liability (an exit price) in the principal or most advantageous market for the asset or liability in an orderly transaction between market participants on the measurement date. A fair value hierarchy has been established by GAAP that requires an entity to maximize the use of observable inputs and minimize the use of unobservable inputs when measuring fair value. The accounting guidance describes three levels of inputs that may be used to measure fair value:</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 1 — Quoted prices in active markets for identical assets or liabilities.</w:t>
      </w:r>
    </w:p>
    <w:p>
      <w:pPr>
        <w:spacing w:after="0" w:line="171" w:lineRule="exact"/>
        <w:rPr>
          <w:sz w:val="20"/>
          <w:szCs w:val="20"/>
          <w:color w:val="auto"/>
        </w:rPr>
      </w:pPr>
    </w:p>
    <w:p>
      <w:pPr>
        <w:jc w:val="both"/>
        <w:ind w:right="140"/>
        <w:spacing w:after="0" w:line="275" w:lineRule="auto"/>
        <w:rPr>
          <w:sz w:val="20"/>
          <w:szCs w:val="20"/>
          <w:color w:val="auto"/>
        </w:rPr>
      </w:pPr>
      <w:r>
        <w:rPr>
          <w:rFonts w:ascii="Times New Roman" w:cs="Times New Roman" w:eastAsia="Times New Roman" w:hAnsi="Times New Roman"/>
          <w:sz w:val="18"/>
          <w:szCs w:val="18"/>
          <w:color w:val="auto"/>
        </w:rPr>
        <w:t>Level 2 — Observable inputs other than Level 1 prices such as quoted prices for similar assets or liabilities; quoted prices in markets that are not active; or other inputs that are observable or can be corroborated by observable market data for substantially the full term of the assets or liabilities.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 3 — Unobservable inputs that are supported by little or no market activity and that are significant to the fair value of the assets or liabilities.</w:t>
      </w:r>
    </w:p>
    <w:p>
      <w:pPr>
        <w:spacing w:after="0" w:line="171" w:lineRule="exact"/>
        <w:rPr>
          <w:sz w:val="20"/>
          <w:szCs w:val="20"/>
          <w:color w:val="auto"/>
        </w:rPr>
      </w:pPr>
    </w:p>
    <w:p>
      <w:pPr>
        <w:jc w:val="both"/>
        <w:ind w:right="140" w:firstLine="456"/>
        <w:spacing w:after="0" w:line="258" w:lineRule="auto"/>
        <w:rPr>
          <w:sz w:val="20"/>
          <w:szCs w:val="20"/>
          <w:color w:val="auto"/>
        </w:rPr>
      </w:pPr>
      <w:r>
        <w:rPr>
          <w:rFonts w:ascii="Times New Roman" w:cs="Times New Roman" w:eastAsia="Times New Roman" w:hAnsi="Times New Roman"/>
          <w:sz w:val="18"/>
          <w:szCs w:val="18"/>
          <w:color w:val="auto"/>
        </w:rPr>
        <w:t>The Company utilizes the market approach to measure fair value for its financial assets and liabilities. The market approach uses prices and other relevant information generated by market transactions involving identical or comparable assets or liabilities. At December 31, 2012 and 2011, the Company held certain derivative contracts that it uses to manage foreign currency risk, commodity price risk and interest rate risk. The Company does not hold or issue derivatives for speculative or trading purposes. The fair values of these financial instruments are summarized as follows: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72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3060" w:type="dxa"/>
            <w:vAlign w:val="bottom"/>
            <w:tcBorders>
              <w:bottom w:val="single" w:sz="8" w:color="auto"/>
            </w:tcBorders>
            <w:gridSpan w:val="5"/>
          </w:tcPr>
          <w:p>
            <w:pPr>
              <w:ind w:left="40"/>
              <w:spacing w:after="0"/>
              <w:rPr>
                <w:sz w:val="20"/>
                <w:szCs w:val="20"/>
                <w:color w:val="auto"/>
              </w:rPr>
            </w:pPr>
            <w:r>
              <w:rPr>
                <w:rFonts w:ascii="Times New Roman" w:cs="Times New Roman" w:eastAsia="Times New Roman" w:hAnsi="Times New Roman"/>
                <w:sz w:val="14"/>
                <w:szCs w:val="14"/>
                <w:b w:val="1"/>
                <w:bCs w:val="1"/>
                <w:color w:val="auto"/>
                <w:w w:val="98"/>
              </w:rPr>
              <w:t>Fair Value Measurements at Reporting Date Using</w:t>
            </w:r>
          </w:p>
        </w:tc>
        <w:tc>
          <w:tcPr>
            <w:tcW w:w="10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720" w:type="dxa"/>
            <w:vAlign w:val="bottom"/>
          </w:tcPr>
          <w:p>
            <w:pPr>
              <w:spacing w:after="0"/>
              <w:rPr>
                <w:sz w:val="10"/>
                <w:szCs w:val="10"/>
                <w:color w:val="auto"/>
              </w:rPr>
            </w:pPr>
          </w:p>
        </w:tc>
        <w:tc>
          <w:tcPr>
            <w:tcW w:w="26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100" w:type="dxa"/>
            <w:vAlign w:val="bottom"/>
            <w:gridSpan w:val="2"/>
          </w:tcPr>
          <w:p>
            <w:pPr>
              <w:jc w:val="center"/>
              <w:spacing w:after="0" w:line="125" w:lineRule="exact"/>
              <w:rPr>
                <w:sz w:val="20"/>
                <w:szCs w:val="20"/>
                <w:color w:val="auto"/>
              </w:rPr>
            </w:pPr>
            <w:r>
              <w:rPr>
                <w:rFonts w:ascii="Times New Roman" w:cs="Times New Roman" w:eastAsia="Times New Roman" w:hAnsi="Times New Roman"/>
                <w:sz w:val="14"/>
                <w:szCs w:val="14"/>
                <w:b w:val="1"/>
                <w:bCs w:val="1"/>
                <w:color w:val="auto"/>
                <w:w w:val="96"/>
              </w:rPr>
              <w:t>Quoted Prices in</w:t>
            </w:r>
          </w:p>
        </w:tc>
        <w:tc>
          <w:tcPr>
            <w:tcW w:w="960" w:type="dxa"/>
            <w:vAlign w:val="bottom"/>
          </w:tcPr>
          <w:p>
            <w:pPr>
              <w:spacing w:after="0"/>
              <w:rPr>
                <w:sz w:val="10"/>
                <w:szCs w:val="10"/>
                <w:color w:val="auto"/>
              </w:rPr>
            </w:pPr>
          </w:p>
        </w:tc>
        <w:tc>
          <w:tcPr>
            <w:tcW w:w="1900" w:type="dxa"/>
            <w:vAlign w:val="bottom"/>
            <w:gridSpan w:val="3"/>
          </w:tcPr>
          <w:p>
            <w:pPr>
              <w:jc w:val="center"/>
              <w:ind w:right="900"/>
              <w:spacing w:after="0" w:line="125" w:lineRule="exact"/>
              <w:rPr>
                <w:sz w:val="20"/>
                <w:szCs w:val="20"/>
                <w:color w:val="auto"/>
              </w:rPr>
            </w:pPr>
            <w:r>
              <w:rPr>
                <w:rFonts w:ascii="Times New Roman" w:cs="Times New Roman" w:eastAsia="Times New Roman" w:hAnsi="Times New Roman"/>
                <w:sz w:val="14"/>
                <w:szCs w:val="14"/>
                <w:b w:val="1"/>
                <w:bCs w:val="1"/>
                <w:color w:val="auto"/>
                <w:w w:val="96"/>
              </w:rPr>
              <w:t>Significant Other</w:t>
            </w:r>
          </w:p>
        </w:tc>
        <w:tc>
          <w:tcPr>
            <w:tcW w:w="2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72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10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6"/>
              </w:rPr>
              <w:t>Active Markets for</w:t>
            </w: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80" w:type="dxa"/>
            <w:vAlign w:val="bottom"/>
            <w:gridSpan w:val="2"/>
          </w:tcPr>
          <w:p>
            <w:pPr>
              <w:jc w:val="center"/>
              <w:ind w:right="1040"/>
              <w:spacing w:after="0" w:line="149" w:lineRule="exact"/>
              <w:rPr>
                <w:sz w:val="20"/>
                <w:szCs w:val="20"/>
                <w:color w:val="auto"/>
              </w:rPr>
            </w:pPr>
            <w:r>
              <w:rPr>
                <w:rFonts w:ascii="Times New Roman" w:cs="Times New Roman" w:eastAsia="Times New Roman" w:hAnsi="Times New Roman"/>
                <w:sz w:val="14"/>
                <w:szCs w:val="14"/>
                <w:b w:val="1"/>
                <w:bCs w:val="1"/>
                <w:color w:val="auto"/>
                <w:w w:val="96"/>
              </w:rPr>
              <w:t>Observable</w:t>
            </w:r>
          </w:p>
        </w:tc>
        <w:tc>
          <w:tcPr>
            <w:tcW w:w="200" w:type="dxa"/>
            <w:vAlign w:val="bottom"/>
          </w:tcPr>
          <w:p>
            <w:pPr>
              <w:spacing w:after="0"/>
              <w:rPr>
                <w:sz w:val="12"/>
                <w:szCs w:val="12"/>
                <w:color w:val="auto"/>
              </w:rPr>
            </w:pPr>
          </w:p>
        </w:tc>
        <w:tc>
          <w:tcPr>
            <w:tcW w:w="112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w w:val="95"/>
              </w:rPr>
              <w:t>Significant</w:t>
            </w:r>
          </w:p>
        </w:tc>
        <w:tc>
          <w:tcPr>
            <w:tcW w:w="0" w:type="dxa"/>
            <w:vAlign w:val="bottom"/>
          </w:tcPr>
          <w:p>
            <w:pPr>
              <w:spacing w:after="0"/>
              <w:rPr>
                <w:sz w:val="1"/>
                <w:szCs w:val="1"/>
                <w:color w:val="auto"/>
              </w:rPr>
            </w:pPr>
          </w:p>
        </w:tc>
      </w:tr>
      <w:tr>
        <w:trPr>
          <w:trHeight w:val="149"/>
        </w:trPr>
        <w:tc>
          <w:tcPr>
            <w:tcW w:w="7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2620" w:type="dxa"/>
            <w:vAlign w:val="bottom"/>
            <w:vMerge w:val="restart"/>
          </w:tcPr>
          <w:p>
            <w:pPr>
              <w:spacing w:after="0"/>
              <w:rPr>
                <w:sz w:val="12"/>
                <w:szCs w:val="12"/>
                <w:color w:val="auto"/>
              </w:rPr>
            </w:pPr>
          </w:p>
        </w:tc>
        <w:tc>
          <w:tcPr>
            <w:tcW w:w="940" w:type="dxa"/>
            <w:vAlign w:val="bottom"/>
          </w:tcPr>
          <w:p>
            <w:pPr>
              <w:spacing w:after="0"/>
              <w:rPr>
                <w:sz w:val="12"/>
                <w:szCs w:val="12"/>
                <w:color w:val="auto"/>
              </w:rPr>
            </w:pPr>
          </w:p>
        </w:tc>
        <w:tc>
          <w:tcPr>
            <w:tcW w:w="96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b w:val="1"/>
                <w:bCs w:val="1"/>
                <w:color w:val="auto"/>
                <w:w w:val="94"/>
              </w:rPr>
              <w:t>At December 31,</w:t>
            </w: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jc w:val="center"/>
              <w:ind w:right="21"/>
              <w:spacing w:after="0" w:line="149" w:lineRule="exact"/>
              <w:rPr>
                <w:sz w:val="20"/>
                <w:szCs w:val="20"/>
                <w:color w:val="auto"/>
              </w:rPr>
            </w:pPr>
            <w:r>
              <w:rPr>
                <w:rFonts w:ascii="Times New Roman" w:cs="Times New Roman" w:eastAsia="Times New Roman" w:hAnsi="Times New Roman"/>
                <w:sz w:val="14"/>
                <w:szCs w:val="14"/>
                <w:b w:val="1"/>
                <w:bCs w:val="1"/>
                <w:color w:val="auto"/>
                <w:w w:val="95"/>
              </w:rPr>
              <w:t>Identical Assets</w:t>
            </w: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80" w:type="dxa"/>
            <w:vAlign w:val="bottom"/>
            <w:gridSpan w:val="2"/>
          </w:tcPr>
          <w:p>
            <w:pPr>
              <w:jc w:val="center"/>
              <w:ind w:right="1020"/>
              <w:spacing w:after="0" w:line="149" w:lineRule="exact"/>
              <w:rPr>
                <w:sz w:val="20"/>
                <w:szCs w:val="20"/>
                <w:color w:val="auto"/>
              </w:rPr>
            </w:pPr>
            <w:r>
              <w:rPr>
                <w:rFonts w:ascii="Times New Roman" w:cs="Times New Roman" w:eastAsia="Times New Roman" w:hAnsi="Times New Roman"/>
                <w:sz w:val="14"/>
                <w:szCs w:val="14"/>
                <w:b w:val="1"/>
                <w:bCs w:val="1"/>
                <w:color w:val="auto"/>
                <w:w w:val="92"/>
              </w:rPr>
              <w:t>Inputs</w:t>
            </w:r>
          </w:p>
        </w:tc>
        <w:tc>
          <w:tcPr>
            <w:tcW w:w="132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 Inputs</w:t>
            </w:r>
          </w:p>
        </w:tc>
        <w:tc>
          <w:tcPr>
            <w:tcW w:w="0" w:type="dxa"/>
            <w:vAlign w:val="bottom"/>
          </w:tcPr>
          <w:p>
            <w:pPr>
              <w:spacing w:after="0"/>
              <w:rPr>
                <w:sz w:val="1"/>
                <w:szCs w:val="1"/>
                <w:color w:val="auto"/>
              </w:rPr>
            </w:pPr>
          </w:p>
        </w:tc>
      </w:tr>
      <w:tr>
        <w:trPr>
          <w:trHeight w:val="172"/>
        </w:trPr>
        <w:tc>
          <w:tcPr>
            <w:tcW w:w="720" w:type="dxa"/>
            <w:vAlign w:val="bottom"/>
            <w:tcBorders>
              <w:bottom w:val="single" w:sz="8" w:color="auto"/>
            </w:tcBorders>
            <w:vMerge w:val="continue"/>
          </w:tcPr>
          <w:p>
            <w:pPr>
              <w:spacing w:after="0"/>
              <w:rPr>
                <w:sz w:val="14"/>
                <w:szCs w:val="14"/>
                <w:color w:val="auto"/>
              </w:rPr>
            </w:pPr>
          </w:p>
        </w:tc>
        <w:tc>
          <w:tcPr>
            <w:tcW w:w="2620" w:type="dxa"/>
            <w:vAlign w:val="bottom"/>
            <w:vMerge w:val="continue"/>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jc w:val="right"/>
              <w:ind w:right="258"/>
              <w:spacing w:after="0" w:line="152" w:lineRule="exact"/>
              <w:rPr>
                <w:sz w:val="20"/>
                <w:szCs w:val="20"/>
                <w:color w:val="auto"/>
              </w:rPr>
            </w:pPr>
            <w:r>
              <w:rPr>
                <w:rFonts w:ascii="Times New Roman" w:cs="Times New Roman" w:eastAsia="Times New Roman" w:hAnsi="Times New Roman"/>
                <w:sz w:val="14"/>
                <w:szCs w:val="14"/>
                <w:b w:val="1"/>
                <w:bCs w:val="1"/>
                <w:color w:val="auto"/>
              </w:rPr>
              <w:t>2012</w:t>
            </w: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jc w:val="center"/>
              <w:ind w:right="21"/>
              <w:spacing w:after="0" w:line="152" w:lineRule="exact"/>
              <w:rPr>
                <w:sz w:val="20"/>
                <w:szCs w:val="20"/>
                <w:color w:val="auto"/>
              </w:rPr>
            </w:pPr>
            <w:r>
              <w:rPr>
                <w:rFonts w:ascii="Times New Roman" w:cs="Times New Roman" w:eastAsia="Times New Roman" w:hAnsi="Times New Roman"/>
                <w:sz w:val="14"/>
                <w:szCs w:val="14"/>
                <w:b w:val="1"/>
                <w:bCs w:val="1"/>
                <w:color w:val="auto"/>
                <w:w w:val="95"/>
              </w:rPr>
              <w:t>(Level 1)</w:t>
            </w: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80" w:type="dxa"/>
            <w:vAlign w:val="bottom"/>
            <w:gridSpan w:val="2"/>
          </w:tcPr>
          <w:p>
            <w:pPr>
              <w:jc w:val="center"/>
              <w:ind w:right="1020"/>
              <w:spacing w:after="0" w:line="152" w:lineRule="exact"/>
              <w:rPr>
                <w:sz w:val="20"/>
                <w:szCs w:val="20"/>
                <w:color w:val="auto"/>
              </w:rPr>
            </w:pPr>
            <w:r>
              <w:rPr>
                <w:rFonts w:ascii="Times New Roman" w:cs="Times New Roman" w:eastAsia="Times New Roman" w:hAnsi="Times New Roman"/>
                <w:sz w:val="14"/>
                <w:szCs w:val="14"/>
                <w:b w:val="1"/>
                <w:bCs w:val="1"/>
                <w:color w:val="auto"/>
                <w:w w:val="98"/>
              </w:rPr>
              <w:t>(Level 2)</w:t>
            </w:r>
          </w:p>
        </w:tc>
        <w:tc>
          <w:tcPr>
            <w:tcW w:w="200" w:type="dxa"/>
            <w:vAlign w:val="bottom"/>
          </w:tcPr>
          <w:p>
            <w:pPr>
              <w:spacing w:after="0"/>
              <w:rPr>
                <w:sz w:val="14"/>
                <w:szCs w:val="14"/>
                <w:color w:val="auto"/>
              </w:rPr>
            </w:pPr>
          </w:p>
        </w:tc>
        <w:tc>
          <w:tcPr>
            <w:tcW w:w="1120" w:type="dxa"/>
            <w:vAlign w:val="bottom"/>
            <w:gridSpan w:val="2"/>
          </w:tcPr>
          <w:p>
            <w:pPr>
              <w:jc w:val="center"/>
              <w:ind w:right="280"/>
              <w:spacing w:after="0" w:line="152" w:lineRule="exact"/>
              <w:rPr>
                <w:sz w:val="20"/>
                <w:szCs w:val="20"/>
                <w:color w:val="auto"/>
              </w:rPr>
            </w:pPr>
            <w:r>
              <w:rPr>
                <w:rFonts w:ascii="Times New Roman" w:cs="Times New Roman" w:eastAsia="Times New Roman" w:hAnsi="Times New Roman"/>
                <w:sz w:val="14"/>
                <w:szCs w:val="14"/>
                <w:b w:val="1"/>
                <w:bCs w:val="1"/>
                <w:color w:val="auto"/>
                <w:w w:val="98"/>
              </w:rPr>
              <w:t>(Level 3)</w:t>
            </w:r>
          </w:p>
        </w:tc>
        <w:tc>
          <w:tcPr>
            <w:tcW w:w="0" w:type="dxa"/>
            <w:vAlign w:val="bottom"/>
          </w:tcPr>
          <w:p>
            <w:pPr>
              <w:spacing w:after="0"/>
              <w:rPr>
                <w:sz w:val="1"/>
                <w:szCs w:val="1"/>
                <w:color w:val="auto"/>
              </w:rPr>
            </w:pPr>
          </w:p>
        </w:tc>
      </w:tr>
      <w:tr>
        <w:trPr>
          <w:trHeight w:val="190"/>
        </w:trPr>
        <w:tc>
          <w:tcPr>
            <w:tcW w:w="3340" w:type="dxa"/>
            <w:vAlign w:val="bottom"/>
            <w:tcBorders>
              <w:top w:val="single" w:sz="8" w:color="CCEEFF"/>
            </w:tcBorders>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Liabilities</w:t>
            </w:r>
          </w:p>
        </w:tc>
        <w:tc>
          <w:tcPr>
            <w:tcW w:w="94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Fuel hedge contracts</w:t>
            </w:r>
          </w:p>
        </w:tc>
        <w:tc>
          <w:tcPr>
            <w:tcW w:w="116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gridSpan w:val="2"/>
          </w:tcPr>
          <w:p>
            <w:pPr>
              <w:jc w:val="right"/>
              <w:ind w:right="900"/>
              <w:spacing w:after="0"/>
              <w:rPr>
                <w:sz w:val="20"/>
                <w:szCs w:val="20"/>
                <w:color w:val="auto"/>
              </w:rPr>
            </w:pPr>
            <w:r>
              <w:rPr>
                <w:rFonts w:ascii="Times New Roman" w:cs="Times New Roman" w:eastAsia="Times New Roman" w:hAnsi="Times New Roman"/>
                <w:sz w:val="18"/>
                <w:szCs w:val="18"/>
                <w:color w:val="auto"/>
              </w:rPr>
              <w:t>178</w:t>
            </w:r>
          </w:p>
        </w:tc>
        <w:tc>
          <w:tcPr>
            <w:tcW w:w="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72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gridSpan w:val="5"/>
          </w:tcPr>
          <w:p>
            <w:pPr>
              <w:ind w:left="40"/>
              <w:spacing w:after="0"/>
              <w:rPr>
                <w:sz w:val="20"/>
                <w:szCs w:val="20"/>
                <w:color w:val="auto"/>
              </w:rPr>
            </w:pPr>
            <w:r>
              <w:rPr>
                <w:rFonts w:ascii="Times New Roman" w:cs="Times New Roman" w:eastAsia="Times New Roman" w:hAnsi="Times New Roman"/>
                <w:sz w:val="14"/>
                <w:szCs w:val="14"/>
                <w:b w:val="1"/>
                <w:bCs w:val="1"/>
                <w:color w:val="auto"/>
                <w:w w:val="98"/>
              </w:rPr>
              <w:t>Fair Value Measurements at Reporting Date Using</w:t>
            </w:r>
          </w:p>
        </w:tc>
        <w:tc>
          <w:tcPr>
            <w:tcW w:w="10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5"/>
        </w:trPr>
        <w:tc>
          <w:tcPr>
            <w:tcW w:w="720" w:type="dxa"/>
            <w:vAlign w:val="bottom"/>
          </w:tcPr>
          <w:p>
            <w:pPr>
              <w:spacing w:after="0"/>
              <w:rPr>
                <w:sz w:val="10"/>
                <w:szCs w:val="10"/>
                <w:color w:val="auto"/>
              </w:rPr>
            </w:pPr>
          </w:p>
        </w:tc>
        <w:tc>
          <w:tcPr>
            <w:tcW w:w="26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100" w:type="dxa"/>
            <w:vAlign w:val="bottom"/>
            <w:gridSpan w:val="2"/>
          </w:tcPr>
          <w:p>
            <w:pPr>
              <w:jc w:val="center"/>
              <w:spacing w:after="0" w:line="125" w:lineRule="exact"/>
              <w:rPr>
                <w:sz w:val="20"/>
                <w:szCs w:val="20"/>
                <w:color w:val="auto"/>
              </w:rPr>
            </w:pPr>
            <w:r>
              <w:rPr>
                <w:rFonts w:ascii="Times New Roman" w:cs="Times New Roman" w:eastAsia="Times New Roman" w:hAnsi="Times New Roman"/>
                <w:sz w:val="14"/>
                <w:szCs w:val="14"/>
                <w:b w:val="1"/>
                <w:bCs w:val="1"/>
                <w:color w:val="auto"/>
                <w:w w:val="96"/>
              </w:rPr>
              <w:t>Quoted Prices in</w:t>
            </w:r>
          </w:p>
        </w:tc>
        <w:tc>
          <w:tcPr>
            <w:tcW w:w="960" w:type="dxa"/>
            <w:vAlign w:val="bottom"/>
          </w:tcPr>
          <w:p>
            <w:pPr>
              <w:spacing w:after="0"/>
              <w:rPr>
                <w:sz w:val="10"/>
                <w:szCs w:val="10"/>
                <w:color w:val="auto"/>
              </w:rPr>
            </w:pPr>
          </w:p>
        </w:tc>
        <w:tc>
          <w:tcPr>
            <w:tcW w:w="1900" w:type="dxa"/>
            <w:vAlign w:val="bottom"/>
            <w:gridSpan w:val="3"/>
          </w:tcPr>
          <w:p>
            <w:pPr>
              <w:jc w:val="center"/>
              <w:ind w:right="900"/>
              <w:spacing w:after="0" w:line="125" w:lineRule="exact"/>
              <w:rPr>
                <w:sz w:val="20"/>
                <w:szCs w:val="20"/>
                <w:color w:val="auto"/>
              </w:rPr>
            </w:pPr>
            <w:r>
              <w:rPr>
                <w:rFonts w:ascii="Times New Roman" w:cs="Times New Roman" w:eastAsia="Times New Roman" w:hAnsi="Times New Roman"/>
                <w:sz w:val="14"/>
                <w:szCs w:val="14"/>
                <w:b w:val="1"/>
                <w:bCs w:val="1"/>
                <w:color w:val="auto"/>
                <w:w w:val="96"/>
              </w:rPr>
              <w:t>Significant Other</w:t>
            </w:r>
          </w:p>
        </w:tc>
        <w:tc>
          <w:tcPr>
            <w:tcW w:w="2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72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10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6"/>
              </w:rPr>
              <w:t>Active Markets for</w:t>
            </w: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80" w:type="dxa"/>
            <w:vAlign w:val="bottom"/>
            <w:gridSpan w:val="2"/>
          </w:tcPr>
          <w:p>
            <w:pPr>
              <w:jc w:val="center"/>
              <w:ind w:right="1040"/>
              <w:spacing w:after="0" w:line="149" w:lineRule="exact"/>
              <w:rPr>
                <w:sz w:val="20"/>
                <w:szCs w:val="20"/>
                <w:color w:val="auto"/>
              </w:rPr>
            </w:pPr>
            <w:r>
              <w:rPr>
                <w:rFonts w:ascii="Times New Roman" w:cs="Times New Roman" w:eastAsia="Times New Roman" w:hAnsi="Times New Roman"/>
                <w:sz w:val="14"/>
                <w:szCs w:val="14"/>
                <w:b w:val="1"/>
                <w:bCs w:val="1"/>
                <w:color w:val="auto"/>
                <w:w w:val="96"/>
              </w:rPr>
              <w:t>Observable</w:t>
            </w:r>
          </w:p>
        </w:tc>
        <w:tc>
          <w:tcPr>
            <w:tcW w:w="200" w:type="dxa"/>
            <w:vAlign w:val="bottom"/>
          </w:tcPr>
          <w:p>
            <w:pPr>
              <w:spacing w:after="0"/>
              <w:rPr>
                <w:sz w:val="12"/>
                <w:szCs w:val="12"/>
                <w:color w:val="auto"/>
              </w:rPr>
            </w:pPr>
          </w:p>
        </w:tc>
        <w:tc>
          <w:tcPr>
            <w:tcW w:w="112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w w:val="95"/>
              </w:rPr>
              <w:t>Significant</w:t>
            </w:r>
          </w:p>
        </w:tc>
        <w:tc>
          <w:tcPr>
            <w:tcW w:w="0" w:type="dxa"/>
            <w:vAlign w:val="bottom"/>
          </w:tcPr>
          <w:p>
            <w:pPr>
              <w:spacing w:after="0"/>
              <w:rPr>
                <w:sz w:val="1"/>
                <w:szCs w:val="1"/>
                <w:color w:val="auto"/>
              </w:rPr>
            </w:pPr>
          </w:p>
        </w:tc>
      </w:tr>
      <w:tr>
        <w:trPr>
          <w:trHeight w:val="149"/>
        </w:trPr>
        <w:tc>
          <w:tcPr>
            <w:tcW w:w="7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2620" w:type="dxa"/>
            <w:vAlign w:val="bottom"/>
            <w:vMerge w:val="restart"/>
          </w:tcPr>
          <w:p>
            <w:pPr>
              <w:spacing w:after="0"/>
              <w:rPr>
                <w:sz w:val="12"/>
                <w:szCs w:val="12"/>
                <w:color w:val="auto"/>
              </w:rPr>
            </w:pPr>
          </w:p>
        </w:tc>
        <w:tc>
          <w:tcPr>
            <w:tcW w:w="940" w:type="dxa"/>
            <w:vAlign w:val="bottom"/>
          </w:tcPr>
          <w:p>
            <w:pPr>
              <w:spacing w:after="0"/>
              <w:rPr>
                <w:sz w:val="12"/>
                <w:szCs w:val="12"/>
                <w:color w:val="auto"/>
              </w:rPr>
            </w:pPr>
          </w:p>
        </w:tc>
        <w:tc>
          <w:tcPr>
            <w:tcW w:w="96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b w:val="1"/>
                <w:bCs w:val="1"/>
                <w:color w:val="auto"/>
                <w:w w:val="94"/>
              </w:rPr>
              <w:t>At December 31,</w:t>
            </w: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jc w:val="center"/>
              <w:ind w:right="21"/>
              <w:spacing w:after="0" w:line="149" w:lineRule="exact"/>
              <w:rPr>
                <w:sz w:val="20"/>
                <w:szCs w:val="20"/>
                <w:color w:val="auto"/>
              </w:rPr>
            </w:pPr>
            <w:r>
              <w:rPr>
                <w:rFonts w:ascii="Times New Roman" w:cs="Times New Roman" w:eastAsia="Times New Roman" w:hAnsi="Times New Roman"/>
                <w:sz w:val="14"/>
                <w:szCs w:val="14"/>
                <w:b w:val="1"/>
                <w:bCs w:val="1"/>
                <w:color w:val="auto"/>
                <w:w w:val="95"/>
              </w:rPr>
              <w:t>Identical Assets</w:t>
            </w: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80" w:type="dxa"/>
            <w:vAlign w:val="bottom"/>
            <w:gridSpan w:val="2"/>
          </w:tcPr>
          <w:p>
            <w:pPr>
              <w:jc w:val="center"/>
              <w:ind w:right="1020"/>
              <w:spacing w:after="0" w:line="149" w:lineRule="exact"/>
              <w:rPr>
                <w:sz w:val="20"/>
                <w:szCs w:val="20"/>
                <w:color w:val="auto"/>
              </w:rPr>
            </w:pPr>
            <w:r>
              <w:rPr>
                <w:rFonts w:ascii="Times New Roman" w:cs="Times New Roman" w:eastAsia="Times New Roman" w:hAnsi="Times New Roman"/>
                <w:sz w:val="14"/>
                <w:szCs w:val="14"/>
                <w:b w:val="1"/>
                <w:bCs w:val="1"/>
                <w:color w:val="auto"/>
                <w:w w:val="92"/>
              </w:rPr>
              <w:t>Inputs</w:t>
            </w:r>
          </w:p>
        </w:tc>
        <w:tc>
          <w:tcPr>
            <w:tcW w:w="132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 Inputs</w:t>
            </w:r>
          </w:p>
        </w:tc>
        <w:tc>
          <w:tcPr>
            <w:tcW w:w="0" w:type="dxa"/>
            <w:vAlign w:val="bottom"/>
          </w:tcPr>
          <w:p>
            <w:pPr>
              <w:spacing w:after="0"/>
              <w:rPr>
                <w:sz w:val="1"/>
                <w:szCs w:val="1"/>
                <w:color w:val="auto"/>
              </w:rPr>
            </w:pPr>
          </w:p>
        </w:tc>
      </w:tr>
      <w:tr>
        <w:trPr>
          <w:trHeight w:val="172"/>
        </w:trPr>
        <w:tc>
          <w:tcPr>
            <w:tcW w:w="720" w:type="dxa"/>
            <w:vAlign w:val="bottom"/>
            <w:tcBorders>
              <w:bottom w:val="single" w:sz="8" w:color="auto"/>
            </w:tcBorders>
            <w:vMerge w:val="continue"/>
          </w:tcPr>
          <w:p>
            <w:pPr>
              <w:spacing w:after="0"/>
              <w:rPr>
                <w:sz w:val="14"/>
                <w:szCs w:val="14"/>
                <w:color w:val="auto"/>
              </w:rPr>
            </w:pPr>
          </w:p>
        </w:tc>
        <w:tc>
          <w:tcPr>
            <w:tcW w:w="2620" w:type="dxa"/>
            <w:vAlign w:val="bottom"/>
            <w:vMerge w:val="continue"/>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jc w:val="right"/>
              <w:ind w:right="258"/>
              <w:spacing w:after="0" w:line="152" w:lineRule="exact"/>
              <w:rPr>
                <w:sz w:val="20"/>
                <w:szCs w:val="20"/>
                <w:color w:val="auto"/>
              </w:rPr>
            </w:pPr>
            <w:r>
              <w:rPr>
                <w:rFonts w:ascii="Times New Roman" w:cs="Times New Roman" w:eastAsia="Times New Roman" w:hAnsi="Times New Roman"/>
                <w:sz w:val="14"/>
                <w:szCs w:val="14"/>
                <w:b w:val="1"/>
                <w:bCs w:val="1"/>
                <w:color w:val="auto"/>
              </w:rPr>
              <w:t>2011</w:t>
            </w: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jc w:val="center"/>
              <w:ind w:right="21"/>
              <w:spacing w:after="0" w:line="152" w:lineRule="exact"/>
              <w:rPr>
                <w:sz w:val="20"/>
                <w:szCs w:val="20"/>
                <w:color w:val="auto"/>
              </w:rPr>
            </w:pPr>
            <w:r>
              <w:rPr>
                <w:rFonts w:ascii="Times New Roman" w:cs="Times New Roman" w:eastAsia="Times New Roman" w:hAnsi="Times New Roman"/>
                <w:sz w:val="14"/>
                <w:szCs w:val="14"/>
                <w:b w:val="1"/>
                <w:bCs w:val="1"/>
                <w:color w:val="auto"/>
                <w:w w:val="95"/>
              </w:rPr>
              <w:t>(Level 1)</w:t>
            </w: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80" w:type="dxa"/>
            <w:vAlign w:val="bottom"/>
            <w:gridSpan w:val="2"/>
          </w:tcPr>
          <w:p>
            <w:pPr>
              <w:jc w:val="center"/>
              <w:ind w:right="1020"/>
              <w:spacing w:after="0" w:line="152" w:lineRule="exact"/>
              <w:rPr>
                <w:sz w:val="20"/>
                <w:szCs w:val="20"/>
                <w:color w:val="auto"/>
              </w:rPr>
            </w:pPr>
            <w:r>
              <w:rPr>
                <w:rFonts w:ascii="Times New Roman" w:cs="Times New Roman" w:eastAsia="Times New Roman" w:hAnsi="Times New Roman"/>
                <w:sz w:val="14"/>
                <w:szCs w:val="14"/>
                <w:b w:val="1"/>
                <w:bCs w:val="1"/>
                <w:color w:val="auto"/>
                <w:w w:val="98"/>
              </w:rPr>
              <w:t>(Level 2)</w:t>
            </w:r>
          </w:p>
        </w:tc>
        <w:tc>
          <w:tcPr>
            <w:tcW w:w="200" w:type="dxa"/>
            <w:vAlign w:val="bottom"/>
          </w:tcPr>
          <w:p>
            <w:pPr>
              <w:spacing w:after="0"/>
              <w:rPr>
                <w:sz w:val="14"/>
                <w:szCs w:val="14"/>
                <w:color w:val="auto"/>
              </w:rPr>
            </w:pPr>
          </w:p>
        </w:tc>
        <w:tc>
          <w:tcPr>
            <w:tcW w:w="1120" w:type="dxa"/>
            <w:vAlign w:val="bottom"/>
            <w:gridSpan w:val="2"/>
          </w:tcPr>
          <w:p>
            <w:pPr>
              <w:jc w:val="center"/>
              <w:ind w:right="280"/>
              <w:spacing w:after="0" w:line="152" w:lineRule="exact"/>
              <w:rPr>
                <w:sz w:val="20"/>
                <w:szCs w:val="20"/>
                <w:color w:val="auto"/>
              </w:rPr>
            </w:pPr>
            <w:r>
              <w:rPr>
                <w:rFonts w:ascii="Times New Roman" w:cs="Times New Roman" w:eastAsia="Times New Roman" w:hAnsi="Times New Roman"/>
                <w:sz w:val="14"/>
                <w:szCs w:val="14"/>
                <w:b w:val="1"/>
                <w:bCs w:val="1"/>
                <w:color w:val="auto"/>
                <w:w w:val="98"/>
              </w:rPr>
              <w:t>(Level 3)</w:t>
            </w:r>
          </w:p>
        </w:tc>
        <w:tc>
          <w:tcPr>
            <w:tcW w:w="0" w:type="dxa"/>
            <w:vAlign w:val="bottom"/>
          </w:tcPr>
          <w:p>
            <w:pPr>
              <w:spacing w:after="0"/>
              <w:rPr>
                <w:sz w:val="1"/>
                <w:szCs w:val="1"/>
                <w:color w:val="auto"/>
              </w:rPr>
            </w:pPr>
          </w:p>
        </w:tc>
      </w:tr>
      <w:tr>
        <w:trPr>
          <w:trHeight w:val="203"/>
        </w:trPr>
        <w:tc>
          <w:tcPr>
            <w:tcW w:w="334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Fuel hedge contracts</w:t>
            </w:r>
          </w:p>
        </w:tc>
        <w:tc>
          <w:tcPr>
            <w:tcW w:w="9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449</w:t>
            </w:r>
          </w:p>
        </w:tc>
        <w:tc>
          <w:tcPr>
            <w:tcW w:w="9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top w:val="single" w:sz="8" w:color="auto"/>
            </w:tcBorders>
            <w:shd w:val="clear" w:color="auto" w:fill="CCEEFF"/>
          </w:tcPr>
          <w:p>
            <w:pPr>
              <w:ind w:left="740"/>
              <w:spacing w:after="0" w:line="203" w:lineRule="exact"/>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449</w:t>
            </w:r>
          </w:p>
        </w:tc>
        <w:tc>
          <w:tcPr>
            <w:tcW w:w="9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ind w:left="2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shd w:val="clear" w:color="auto" w:fill="CCEEFF"/>
          </w:tcPr>
          <w:p>
            <w:pPr>
              <w:ind w:left="76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rate swap contracts</w:t>
            </w: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755</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80" w:type="dxa"/>
            <w:vAlign w:val="bottom"/>
            <w:gridSpan w:val="2"/>
          </w:tcPr>
          <w:p>
            <w:pPr>
              <w:jc w:val="right"/>
              <w:ind w:right="900"/>
              <w:spacing w:after="0"/>
              <w:rPr>
                <w:sz w:val="20"/>
                <w:szCs w:val="20"/>
                <w:color w:val="auto"/>
              </w:rPr>
            </w:pPr>
            <w:r>
              <w:rPr>
                <w:rFonts w:ascii="Times New Roman" w:cs="Times New Roman" w:eastAsia="Times New Roman" w:hAnsi="Times New Roman"/>
                <w:sz w:val="18"/>
                <w:szCs w:val="18"/>
                <w:color w:val="auto"/>
              </w:rPr>
              <w:t>755</w:t>
            </w:r>
          </w:p>
        </w:tc>
        <w:tc>
          <w:tcPr>
            <w:tcW w:w="200" w:type="dxa"/>
            <w:vAlign w:val="bottom"/>
          </w:tcPr>
          <w:p>
            <w:pPr>
              <w:spacing w:after="0"/>
              <w:rPr>
                <w:sz w:val="18"/>
                <w:szCs w:val="18"/>
                <w:color w:val="auto"/>
              </w:rPr>
            </w:pPr>
          </w:p>
        </w:tc>
        <w:tc>
          <w:tcPr>
            <w:tcW w:w="112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exchange contracts</w:t>
            </w: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900"/>
              <w:spacing w:after="0"/>
              <w:rPr>
                <w:sz w:val="20"/>
                <w:szCs w:val="20"/>
                <w:color w:val="auto"/>
              </w:rPr>
            </w:pPr>
            <w:r>
              <w:rPr>
                <w:rFonts w:ascii="Times New Roman" w:cs="Times New Roman" w:eastAsia="Times New Roman" w:hAnsi="Times New Roman"/>
                <w:sz w:val="18"/>
                <w:szCs w:val="18"/>
                <w:color w:val="auto"/>
              </w:rPr>
              <w:t>155</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2"/>
        </w:trPr>
        <w:tc>
          <w:tcPr>
            <w:tcW w:w="3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assets measured at fair value</w:t>
            </w:r>
          </w:p>
        </w:tc>
        <w:tc>
          <w:tcPr>
            <w:tcW w:w="94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1,359</w:t>
            </w:r>
          </w:p>
        </w:tc>
        <w:tc>
          <w:tcPr>
            <w:tcW w:w="9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top w:val="single" w:sz="8" w:color="auto"/>
              <w:bottom w:val="single" w:sz="8" w:color="auto"/>
            </w:tcBorders>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1,359</w:t>
            </w:r>
          </w:p>
        </w:tc>
        <w:tc>
          <w:tcPr>
            <w:tcW w:w="900" w:type="dxa"/>
            <w:vAlign w:val="bottom"/>
          </w:tcPr>
          <w:p>
            <w:pPr>
              <w:spacing w:after="0"/>
              <w:rPr>
                <w:sz w:val="19"/>
                <w:szCs w:val="19"/>
                <w:color w:val="auto"/>
              </w:rPr>
            </w:pPr>
          </w:p>
        </w:tc>
        <w:tc>
          <w:tcPr>
            <w:tcW w:w="2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900" w:type="dxa"/>
            <w:vAlign w:val="bottom"/>
            <w:vMerge w:val="restart"/>
          </w:tcPr>
          <w:p>
            <w:pPr>
              <w:jc w:val="right"/>
              <w:ind w:right="252"/>
              <w:spacing w:after="0"/>
              <w:rPr>
                <w:sz w:val="20"/>
                <w:szCs w:val="20"/>
                <w:color w:val="auto"/>
              </w:rPr>
            </w:pPr>
            <w:r>
              <w:rPr>
                <w:rFonts w:ascii="Times New Roman" w:cs="Times New Roman" w:eastAsia="Times New Roman" w:hAnsi="Times New Roman"/>
                <w:sz w:val="18"/>
                <w:szCs w:val="18"/>
                <w:color w:val="auto"/>
              </w:rPr>
              <w:t>76</w:t>
            </w: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72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0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5" w:right="239" w:bottom="1440" w:gutter="0" w:footer="0" w:header="0"/>
        </w:sectPr>
      </w:pPr>
    </w:p>
    <w:bookmarkStart w:id="78" w:name="page79"/>
    <w:bookmarkEnd w:id="7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swap contracts</w:t>
      </w:r>
    </w:p>
    <w:p>
      <w:pPr>
        <w:spacing w:after="0" w:line="94" w:lineRule="exact"/>
        <w:rPr>
          <w:sz w:val="20"/>
          <w:szCs w:val="20"/>
          <w:color w:val="auto"/>
        </w:rPr>
      </w:pPr>
    </w:p>
    <w:p>
      <w:pPr>
        <w:ind w:right="60" w:firstLine="456"/>
        <w:spacing w:after="0" w:line="256" w:lineRule="auto"/>
        <w:rPr>
          <w:sz w:val="20"/>
          <w:szCs w:val="20"/>
          <w:color w:val="auto"/>
        </w:rPr>
      </w:pPr>
      <w:r>
        <w:rPr>
          <w:rFonts w:ascii="Times New Roman" w:cs="Times New Roman" w:eastAsia="Times New Roman" w:hAnsi="Times New Roman"/>
          <w:sz w:val="18"/>
          <w:szCs w:val="18"/>
          <w:color w:val="auto"/>
        </w:rPr>
        <w:t>In May 2009, the Company entered into two interest rate swap arrangements, which were effective through December 15, 2012, to swap a notional amount of $50 million from a fixed rate of 7.75% to a floating LIBOR-based rate in order to manage the interest rate paid with respect to the Company’s 7.75% senior subordinated notes. Although the senior subordinated notes were redeemed in January 2011, the swaps remained in place. The swaps were not accounted for as a hedge; therefore, the changes in fair value were recorded as adjustments to interest expense in each reporting period. The swaps expired and were settled in December 2012.</w:t>
      </w:r>
    </w:p>
    <w:p>
      <w:pPr>
        <w:spacing w:after="0" w:line="139" w:lineRule="exact"/>
        <w:rPr>
          <w:sz w:val="20"/>
          <w:szCs w:val="20"/>
          <w:color w:val="auto"/>
        </w:rPr>
      </w:pPr>
    </w:p>
    <w:p>
      <w:pPr>
        <w:ind w:right="80" w:firstLine="456"/>
        <w:spacing w:after="0" w:line="258" w:lineRule="auto"/>
        <w:rPr>
          <w:sz w:val="20"/>
          <w:szCs w:val="20"/>
          <w:color w:val="auto"/>
        </w:rPr>
      </w:pPr>
      <w:r>
        <w:rPr>
          <w:rFonts w:ascii="Times New Roman" w:cs="Times New Roman" w:eastAsia="Times New Roman" w:hAnsi="Times New Roman"/>
          <w:sz w:val="18"/>
          <w:szCs w:val="18"/>
          <w:color w:val="auto"/>
        </w:rPr>
        <w:t>The Company previously verified the fair value of the interest rate swap contracts using a quantitative model that contained both observable and unobservable inputs. The unobservable inputs related primarily to the implied LIBOR forward rate and the long-term nature of the contracts. As of December 31, 2011 the unobservable inputs began to be corroborated by observable market data and accordingly the Company transferred the swaps into Level 2 of the fair value hierarchy. The change in Level 3 interest rate swap contracts during the prior year was as follows:</w:t>
      </w:r>
    </w:p>
    <w:p>
      <w:pPr>
        <w:spacing w:after="0" w:line="162"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880" w:type="dxa"/>
            <w:vAlign w:val="bottom"/>
          </w:tcPr>
          <w:p>
            <w:pPr>
              <w:spacing w:after="0"/>
              <w:rPr>
                <w:sz w:val="13"/>
                <w:szCs w:val="13"/>
                <w:color w:val="auto"/>
              </w:rPr>
            </w:pPr>
          </w:p>
        </w:tc>
        <w:tc>
          <w:tcPr>
            <w:tcW w:w="26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w w:val="99"/>
              </w:rPr>
              <w:t>Fair Value Measurements Using Significant</w:t>
            </w:r>
          </w:p>
        </w:tc>
      </w:tr>
      <w:tr>
        <w:trPr>
          <w:trHeight w:val="165"/>
        </w:trPr>
        <w:tc>
          <w:tcPr>
            <w:tcW w:w="7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38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Unobservable Inputs (Level 3)</w:t>
            </w:r>
          </w:p>
        </w:tc>
      </w:tr>
      <w:tr>
        <w:trPr>
          <w:trHeight w:val="142"/>
        </w:trPr>
        <w:tc>
          <w:tcPr>
            <w:tcW w:w="7880" w:type="dxa"/>
            <w:vAlign w:val="bottom"/>
            <w:tcBorders>
              <w:bottom w:val="single" w:sz="8" w:color="CCEEFF"/>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2280" w:type="dxa"/>
            <w:vAlign w:val="bottom"/>
            <w:tcBorders>
              <w:top w:val="single" w:sz="8" w:color="auto"/>
              <w:bottom w:val="single" w:sz="8" w:color="auto"/>
            </w:tcBorders>
          </w:tcPr>
          <w:p>
            <w:pPr>
              <w:jc w:val="right"/>
              <w:ind w:right="1058"/>
              <w:spacing w:after="0" w:line="142" w:lineRule="exact"/>
              <w:rPr>
                <w:sz w:val="20"/>
                <w:szCs w:val="20"/>
                <w:color w:val="auto"/>
              </w:rPr>
            </w:pPr>
            <w:r>
              <w:rPr>
                <w:rFonts w:ascii="Times New Roman" w:cs="Times New Roman" w:eastAsia="Times New Roman" w:hAnsi="Times New Roman"/>
                <w:sz w:val="14"/>
                <w:szCs w:val="14"/>
                <w:b w:val="1"/>
                <w:bCs w:val="1"/>
                <w:color w:val="auto"/>
              </w:rPr>
              <w:t>2011</w:t>
            </w:r>
          </w:p>
        </w:tc>
        <w:tc>
          <w:tcPr>
            <w:tcW w:w="100" w:type="dxa"/>
            <w:vAlign w:val="bottom"/>
            <w:tcBorders>
              <w:bottom w:val="single" w:sz="8" w:color="CCEEFF"/>
            </w:tcBorders>
          </w:tcPr>
          <w:p>
            <w:pPr>
              <w:spacing w:after="0"/>
              <w:rPr>
                <w:sz w:val="12"/>
                <w:szCs w:val="12"/>
                <w:color w:val="auto"/>
              </w:rPr>
            </w:pPr>
          </w:p>
        </w:tc>
      </w:tr>
      <w:tr>
        <w:trPr>
          <w:trHeight w:val="196"/>
        </w:trPr>
        <w:tc>
          <w:tcPr>
            <w:tcW w:w="788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Interest rate swap contracts</w:t>
            </w:r>
          </w:p>
        </w:tc>
        <w:tc>
          <w:tcPr>
            <w:tcW w:w="240" w:type="dxa"/>
            <w:vAlign w:val="bottom"/>
            <w:shd w:val="clear" w:color="auto" w:fill="CCEEFF"/>
          </w:tcPr>
          <w:p>
            <w:pPr>
              <w:spacing w:after="0"/>
              <w:rPr>
                <w:sz w:val="17"/>
                <w:szCs w:val="17"/>
                <w:color w:val="auto"/>
              </w:rPr>
            </w:pPr>
          </w:p>
        </w:tc>
        <w:tc>
          <w:tcPr>
            <w:tcW w:w="2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78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Balance at January 1</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1,264</w:t>
            </w:r>
          </w:p>
        </w:tc>
      </w:tr>
      <w:tr>
        <w:trPr>
          <w:trHeight w:val="216"/>
        </w:trPr>
        <w:tc>
          <w:tcPr>
            <w:tcW w:w="78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Total unrealized gains (losses) included in earnings</w:t>
            </w:r>
          </w:p>
        </w:tc>
        <w:tc>
          <w:tcPr>
            <w:tcW w:w="240" w:type="dxa"/>
            <w:vAlign w:val="bottom"/>
            <w:shd w:val="clear" w:color="auto" w:fill="CCEEFF"/>
          </w:tcPr>
          <w:p>
            <w:pPr>
              <w:spacing w:after="0"/>
              <w:rPr>
                <w:sz w:val="18"/>
                <w:szCs w:val="18"/>
                <w:color w:val="auto"/>
              </w:rPr>
            </w:pPr>
          </w:p>
        </w:tc>
        <w:tc>
          <w:tcPr>
            <w:tcW w:w="23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(1,396)</w:t>
            </w:r>
          </w:p>
        </w:tc>
      </w:tr>
      <w:tr>
        <w:trPr>
          <w:trHeight w:val="216"/>
        </w:trPr>
        <w:tc>
          <w:tcPr>
            <w:tcW w:w="78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Settlements</w:t>
            </w:r>
          </w:p>
        </w:tc>
        <w:tc>
          <w:tcPr>
            <w:tcW w:w="240" w:type="dxa"/>
            <w:vAlign w:val="bottom"/>
          </w:tcPr>
          <w:p>
            <w:pPr>
              <w:spacing w:after="0"/>
              <w:rPr>
                <w:sz w:val="18"/>
                <w:szCs w:val="18"/>
                <w:color w:val="auto"/>
              </w:rPr>
            </w:pPr>
          </w:p>
        </w:tc>
        <w:tc>
          <w:tcPr>
            <w:tcW w:w="2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887</w:t>
            </w:r>
          </w:p>
        </w:tc>
      </w:tr>
      <w:tr>
        <w:trPr>
          <w:trHeight w:val="216"/>
        </w:trPr>
        <w:tc>
          <w:tcPr>
            <w:tcW w:w="78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Transfers out of Level 3</w:t>
            </w:r>
          </w:p>
        </w:tc>
        <w:tc>
          <w:tcPr>
            <w:tcW w:w="240" w:type="dxa"/>
            <w:vAlign w:val="bottom"/>
            <w:shd w:val="clear" w:color="auto" w:fill="CCEEFF"/>
          </w:tcPr>
          <w:p>
            <w:pPr>
              <w:spacing w:after="0"/>
              <w:rPr>
                <w:sz w:val="18"/>
                <w:szCs w:val="18"/>
                <w:color w:val="auto"/>
              </w:rPr>
            </w:pPr>
          </w:p>
        </w:tc>
        <w:tc>
          <w:tcPr>
            <w:tcW w:w="23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(755)</w:t>
            </w:r>
          </w:p>
        </w:tc>
      </w:tr>
      <w:tr>
        <w:trPr>
          <w:trHeight w:val="223"/>
        </w:trPr>
        <w:tc>
          <w:tcPr>
            <w:tcW w:w="78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Balance at December 31</w:t>
            </w:r>
          </w:p>
        </w:tc>
        <w:tc>
          <w:tcPr>
            <w:tcW w:w="2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2280" w:type="dxa"/>
            <w:vAlign w:val="bottom"/>
            <w:tcBorders>
              <w:top w:val="single" w:sz="8" w:color="auto"/>
              <w:bottom w:val="single" w:sz="8" w:color="auto"/>
            </w:tcBorders>
          </w:tcPr>
          <w:p>
            <w:pPr>
              <w:jc w:val="right"/>
              <w:ind w:right="18"/>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r>
      <w:tr>
        <w:trPr>
          <w:trHeight w:val="20"/>
        </w:trPr>
        <w:tc>
          <w:tcPr>
            <w:tcW w:w="78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exchange contracts</w:t>
      </w:r>
    </w:p>
    <w:p>
      <w:pPr>
        <w:spacing w:after="0" w:line="94" w:lineRule="exact"/>
        <w:rPr>
          <w:sz w:val="20"/>
          <w:szCs w:val="20"/>
          <w:color w:val="auto"/>
        </w:rPr>
      </w:pPr>
    </w:p>
    <w:p>
      <w:pPr>
        <w:jc w:val="both"/>
        <w:ind w:right="540" w:firstLine="456"/>
        <w:spacing w:after="0" w:line="262" w:lineRule="auto"/>
        <w:rPr>
          <w:sz w:val="20"/>
          <w:szCs w:val="20"/>
          <w:color w:val="auto"/>
        </w:rPr>
      </w:pPr>
      <w:r>
        <w:rPr>
          <w:rFonts w:ascii="Times New Roman" w:cs="Times New Roman" w:eastAsia="Times New Roman" w:hAnsi="Times New Roman"/>
          <w:sz w:val="18"/>
          <w:szCs w:val="18"/>
          <w:color w:val="auto"/>
        </w:rPr>
        <w:t>The Company has various exposures to foreign currencies that fluctuate in relation to the U.S. dollar. The Company periodically enters into foreign exchange forward contracts to hedge this risk. At December 31, 2012 there were no outstanding contracts and at December 31, 2011 the Company had one outstanding contract related to the Brazilian Real. This foreign exchange contract was not accounted for as a hedge.</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Fuel hedge contracts</w:t>
      </w:r>
    </w:p>
    <w:p>
      <w:pPr>
        <w:spacing w:after="0" w:line="94" w:lineRule="exact"/>
        <w:rPr>
          <w:sz w:val="20"/>
          <w:szCs w:val="20"/>
          <w:color w:val="auto"/>
        </w:rPr>
      </w:pPr>
    </w:p>
    <w:p>
      <w:pPr>
        <w:jc w:val="both"/>
        <w:ind w:right="220" w:firstLine="456"/>
        <w:spacing w:after="0" w:line="258" w:lineRule="auto"/>
        <w:rPr>
          <w:sz w:val="20"/>
          <w:szCs w:val="20"/>
          <w:color w:val="auto"/>
        </w:rPr>
      </w:pPr>
      <w:r>
        <w:rPr>
          <w:rFonts w:ascii="Times New Roman" w:cs="Times New Roman" w:eastAsia="Times New Roman" w:hAnsi="Times New Roman"/>
          <w:sz w:val="18"/>
          <w:szCs w:val="18"/>
          <w:color w:val="auto"/>
        </w:rPr>
        <w:t>The Company is exposed to certain market risks, primarily commodity price risk as it relates to the diesel fuel purchase requirements, which occur in the normal course of business. The Company enters into heating oil commodity swap contracts to hedge the risk that fluctuations in diesel fuel prices will have an adverse impact on cash flows associated with its domestic dredging contracts. The Company’s goal is to hedge approximately 80% of the fuel requirements for work in backlog.</w:t>
      </w:r>
    </w:p>
    <w:p>
      <w:pPr>
        <w:spacing w:after="0" w:line="136" w:lineRule="exact"/>
        <w:rPr>
          <w:sz w:val="20"/>
          <w:szCs w:val="20"/>
          <w:color w:val="auto"/>
        </w:rPr>
      </w:pPr>
    </w:p>
    <w:p>
      <w:pPr>
        <w:ind w:right="60" w:firstLine="456"/>
        <w:spacing w:after="0" w:line="258" w:lineRule="auto"/>
        <w:rPr>
          <w:sz w:val="20"/>
          <w:szCs w:val="20"/>
          <w:color w:val="auto"/>
        </w:rPr>
      </w:pPr>
      <w:r>
        <w:rPr>
          <w:rFonts w:ascii="Times New Roman" w:cs="Times New Roman" w:eastAsia="Times New Roman" w:hAnsi="Times New Roman"/>
          <w:sz w:val="18"/>
          <w:szCs w:val="18"/>
          <w:color w:val="auto"/>
        </w:rPr>
        <w:t>As of December 31, 2012, the Company was party to various swap arrangements to hedge the price of a portion of its diesel fuel purchase requirements for work in its backlog to be performed through May 2013. As of December 31, 2012, there were 2.8 million gallons remaining on these contracts which represent approximately 80% of the Company’s forecasted fuel purchases through May 2013. Under these swap agreements, the Company will pay fixed prices ranging from $3.01 to $3.29 per gallon.</w:t>
      </w:r>
    </w:p>
    <w:p>
      <w:pPr>
        <w:spacing w:after="0" w:line="136" w:lineRule="exact"/>
        <w:rPr>
          <w:sz w:val="20"/>
          <w:szCs w:val="20"/>
          <w:color w:val="auto"/>
        </w:rPr>
      </w:pPr>
    </w:p>
    <w:p>
      <w:pPr>
        <w:ind w:firstLine="456"/>
        <w:spacing w:after="0" w:line="310" w:lineRule="auto"/>
        <w:rPr>
          <w:sz w:val="20"/>
          <w:szCs w:val="20"/>
          <w:color w:val="auto"/>
        </w:rPr>
      </w:pPr>
      <w:r>
        <w:rPr>
          <w:rFonts w:ascii="Times New Roman" w:cs="Times New Roman" w:eastAsia="Times New Roman" w:hAnsi="Times New Roman"/>
          <w:sz w:val="16"/>
          <w:szCs w:val="16"/>
          <w:color w:val="auto"/>
        </w:rPr>
        <w:t>At each balance sheet date, unrealized gains and losses on fuel hedge contracts are recorded as a component of accumulated other comprehensive income (loss) in the consolidated balance sheets. Gains and losses realized upon settlement of fuel hedge contracts are reclassified from accumulated other comprehensive income (loss) as the fuel is utilized and included in fuel expense, which is a component of costs of contract revenues in the consolidated statements of operations.</w:t>
      </w:r>
    </w:p>
    <w:p>
      <w:pPr>
        <w:spacing w:after="0" w:line="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77</w:t>
      </w:r>
    </w:p>
    <w:p>
      <w:pPr>
        <w:sectPr>
          <w:pgSz w:w="11900" w:h="16838" w:orient="portrait"/>
          <w:cols w:equalWidth="0" w:num="1">
            <w:col w:w="11420"/>
          </w:cols>
          <w:pgMar w:left="240" w:top="455" w:right="239" w:bottom="1440" w:gutter="0" w:footer="0" w:header="0"/>
        </w:sectPr>
      </w:pPr>
    </w:p>
    <w:bookmarkStart w:id="79" w:name="page80"/>
    <w:bookmarkEnd w:id="7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80" w:firstLine="456"/>
        <w:spacing w:after="0" w:line="255" w:lineRule="auto"/>
        <w:rPr>
          <w:sz w:val="20"/>
          <w:szCs w:val="20"/>
          <w:color w:val="auto"/>
        </w:rPr>
      </w:pPr>
      <w:r>
        <w:rPr>
          <w:rFonts w:ascii="Times New Roman" w:cs="Times New Roman" w:eastAsia="Times New Roman" w:hAnsi="Times New Roman"/>
          <w:sz w:val="18"/>
          <w:szCs w:val="18"/>
          <w:color w:val="auto"/>
        </w:rPr>
        <w:t>At December 31, 2012, the fair value liability of the fuel hedge contracts was estimated to be $178 and is recorded in accrued expenses. At December 31, 2011, the fair value asset of the fuel hedge contracts was estimated to be $449 and was recorded in other current assets. The loss reclassified to earnings from changes in fair value of derivatives, net of cash settlements and taxes, for the year ended December 31, 2012 was $3. The remaining gains and losses included in accumulated other comprehensive income (loss) at December 31, 2012 will be reclassified into earnings over the next five months, corresponding to the period during which the hedged fuel is expected to be utilized. The fair values of fuel hedges are corroborated using inputs that are readily observable in public markets; therefore, the Company determines fair value of these fuel hedges using Level 2 inputs.</w:t>
      </w:r>
    </w:p>
    <w:p>
      <w:pPr>
        <w:spacing w:after="0" w:line="139" w:lineRule="exact"/>
        <w:rPr>
          <w:sz w:val="20"/>
          <w:szCs w:val="20"/>
          <w:color w:val="auto"/>
        </w:rPr>
      </w:pPr>
    </w:p>
    <w:p>
      <w:pPr>
        <w:jc w:val="both"/>
        <w:ind w:right="140" w:firstLine="456"/>
        <w:spacing w:after="0" w:line="262" w:lineRule="auto"/>
        <w:rPr>
          <w:sz w:val="20"/>
          <w:szCs w:val="20"/>
          <w:color w:val="auto"/>
        </w:rPr>
      </w:pPr>
      <w:r>
        <w:rPr>
          <w:rFonts w:ascii="Times New Roman" w:cs="Times New Roman" w:eastAsia="Times New Roman" w:hAnsi="Times New Roman"/>
          <w:sz w:val="18"/>
          <w:szCs w:val="18"/>
          <w:color w:val="auto"/>
        </w:rPr>
        <w:t>The Company is exposed to counterparty credit risk associated with non-performance of its various derivative instruments. The Company’s risk would be limited to any unrealized gains on current positions. To help mitigate this risk, the Company transacts only with counterparties that are rated as investment grade or higher. In addition, all counterparties are monitored on a continuous basis.</w:t>
      </w:r>
    </w:p>
    <w:p>
      <w:pPr>
        <w:spacing w:after="0" w:line="13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fair value of the foreign exchange contracts, interest rate and fuel hedge contracts outstanding as of December 31, 2012 and 2011 is as follows: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65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Asset derivatives:</w:t>
            </w:r>
          </w:p>
        </w:tc>
        <w:tc>
          <w:tcPr>
            <w:tcW w:w="24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Balance Sheet Location</w:t>
            </w:r>
          </w:p>
        </w:tc>
        <w:tc>
          <w:tcPr>
            <w:tcW w:w="160" w:type="dxa"/>
            <w:vAlign w:val="bottom"/>
          </w:tcPr>
          <w:p>
            <w:pPr>
              <w:spacing w:after="0"/>
              <w:rPr>
                <w:sz w:val="14"/>
                <w:szCs w:val="14"/>
                <w:color w:val="auto"/>
              </w:rPr>
            </w:pPr>
          </w:p>
        </w:tc>
        <w:tc>
          <w:tcPr>
            <w:tcW w:w="2280" w:type="dxa"/>
            <w:vAlign w:val="bottom"/>
            <w:gridSpan w:val="6"/>
          </w:tcPr>
          <w:p>
            <w:pPr>
              <w:ind w:left="220"/>
              <w:spacing w:after="0"/>
              <w:rPr>
                <w:sz w:val="20"/>
                <w:szCs w:val="20"/>
                <w:color w:val="auto"/>
              </w:rPr>
            </w:pPr>
            <w:r>
              <w:rPr>
                <w:rFonts w:ascii="Times New Roman" w:cs="Times New Roman" w:eastAsia="Times New Roman" w:hAnsi="Times New Roman"/>
                <w:sz w:val="14"/>
                <w:szCs w:val="14"/>
                <w:b w:val="1"/>
                <w:bCs w:val="1"/>
                <w:color w:val="auto"/>
              </w:rPr>
              <w:t>Fair Value at December 31,</w:t>
            </w:r>
          </w:p>
        </w:tc>
        <w:tc>
          <w:tcPr>
            <w:tcW w:w="0" w:type="dxa"/>
            <w:vAlign w:val="bottom"/>
          </w:tcPr>
          <w:p>
            <w:pPr>
              <w:spacing w:after="0"/>
              <w:rPr>
                <w:sz w:val="1"/>
                <w:szCs w:val="1"/>
                <w:color w:val="auto"/>
              </w:rPr>
            </w:pPr>
          </w:p>
        </w:tc>
      </w:tr>
      <w:tr>
        <w:trPr>
          <w:trHeight w:val="196"/>
        </w:trPr>
        <w:tc>
          <w:tcPr>
            <w:tcW w:w="6540" w:type="dxa"/>
            <w:vAlign w:val="bottom"/>
            <w:tcBorders>
              <w:bottom w:val="single" w:sz="8" w:color="CCEEFF"/>
            </w:tcBorders>
            <w:vMerge w:val="continue"/>
          </w:tcPr>
          <w:p>
            <w:pPr>
              <w:spacing w:after="0"/>
              <w:rPr>
                <w:sz w:val="17"/>
                <w:szCs w:val="17"/>
                <w:color w:val="auto"/>
              </w:rPr>
            </w:pPr>
          </w:p>
        </w:tc>
        <w:tc>
          <w:tcPr>
            <w:tcW w:w="1620" w:type="dxa"/>
            <w:vAlign w:val="bottom"/>
            <w:tcBorders>
              <w:top w:val="single" w:sz="8" w:color="auto"/>
              <w:bottom w:val="single" w:sz="8" w:color="CCEEFF"/>
            </w:tcBorders>
          </w:tcPr>
          <w:p>
            <w:pPr>
              <w:spacing w:after="0"/>
              <w:rPr>
                <w:sz w:val="17"/>
                <w:szCs w:val="17"/>
                <w:color w:val="auto"/>
              </w:rPr>
            </w:pPr>
          </w:p>
        </w:tc>
        <w:tc>
          <w:tcPr>
            <w:tcW w:w="82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560" w:type="dxa"/>
            <w:vAlign w:val="bottom"/>
            <w:tcBorders>
              <w:top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2012</w:t>
            </w:r>
          </w:p>
        </w:tc>
        <w:tc>
          <w:tcPr>
            <w:tcW w:w="440" w:type="dxa"/>
            <w:vAlign w:val="bottom"/>
            <w:tcBorders>
              <w:top w:val="single" w:sz="8" w:color="auto"/>
              <w:bottom w:val="single" w:sz="8" w:color="CCEEFF"/>
            </w:tcBorders>
          </w:tcPr>
          <w:p>
            <w:pPr>
              <w:spacing w:after="0"/>
              <w:rPr>
                <w:sz w:val="17"/>
                <w:szCs w:val="17"/>
                <w:color w:val="auto"/>
              </w:rPr>
            </w:pPr>
          </w:p>
        </w:tc>
        <w:tc>
          <w:tcPr>
            <w:tcW w:w="420" w:type="dxa"/>
            <w:vAlign w:val="bottom"/>
            <w:tcBorders>
              <w:top w:val="single" w:sz="8" w:color="auto"/>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600" w:type="dxa"/>
            <w:vAlign w:val="bottom"/>
            <w:tcBorders>
              <w:top w:val="single" w:sz="8" w:color="auto"/>
              <w:bottom w:val="single" w:sz="8" w:color="auto"/>
            </w:tcBorders>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2011</w:t>
            </w:r>
          </w:p>
        </w:tc>
        <w:tc>
          <w:tcPr>
            <w:tcW w:w="10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540" w:type="dxa"/>
            <w:vAlign w:val="bottom"/>
            <w:shd w:val="clear" w:color="auto" w:fill="CCEEFF"/>
          </w:tcPr>
          <w:p>
            <w:pPr>
              <w:ind w:left="440"/>
              <w:spacing w:after="0" w:line="196" w:lineRule="exact"/>
              <w:rPr>
                <w:sz w:val="20"/>
                <w:szCs w:val="20"/>
                <w:color w:val="auto"/>
              </w:rPr>
            </w:pPr>
            <w:r>
              <w:rPr>
                <w:rFonts w:ascii="Times New Roman" w:cs="Times New Roman" w:eastAsia="Times New Roman" w:hAnsi="Times New Roman"/>
                <w:sz w:val="18"/>
                <w:szCs w:val="18"/>
                <w:color w:val="auto"/>
              </w:rPr>
              <w:t>Derivatives designated as hedges</w:t>
            </w:r>
          </w:p>
        </w:tc>
        <w:tc>
          <w:tcPr>
            <w:tcW w:w="16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54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Fuel hedge contracts</w:t>
            </w:r>
          </w:p>
        </w:tc>
        <w:tc>
          <w:tcPr>
            <w:tcW w:w="2440" w:type="dxa"/>
            <w:vAlign w:val="bottom"/>
            <w:gridSpan w:val="2"/>
          </w:tcPr>
          <w:p>
            <w:pPr>
              <w:jc w:val="right"/>
              <w:ind w:right="820"/>
              <w:spacing w:after="0"/>
              <w:rPr>
                <w:sz w:val="20"/>
                <w:szCs w:val="20"/>
                <w:color w:val="auto"/>
              </w:rPr>
            </w:pPr>
            <w:r>
              <w:rPr>
                <w:rFonts w:ascii="Times New Roman" w:cs="Times New Roman" w:eastAsia="Times New Roman" w:hAnsi="Times New Roman"/>
                <w:sz w:val="18"/>
                <w:szCs w:val="18"/>
                <w:color w:val="auto"/>
              </w:rPr>
              <w:t>Other current assets</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Derivatives not designated as hedges</w:t>
            </w:r>
          </w:p>
        </w:tc>
        <w:tc>
          <w:tcPr>
            <w:tcW w:w="16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4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Interest rate swaps</w:t>
            </w:r>
          </w:p>
        </w:tc>
        <w:tc>
          <w:tcPr>
            <w:tcW w:w="2440" w:type="dxa"/>
            <w:vAlign w:val="bottom"/>
            <w:gridSpan w:val="2"/>
          </w:tcPr>
          <w:p>
            <w:pPr>
              <w:jc w:val="right"/>
              <w:ind w:right="820"/>
              <w:spacing w:after="0"/>
              <w:rPr>
                <w:sz w:val="20"/>
                <w:szCs w:val="20"/>
                <w:color w:val="auto"/>
              </w:rPr>
            </w:pPr>
            <w:r>
              <w:rPr>
                <w:rFonts w:ascii="Times New Roman" w:cs="Times New Roman" w:eastAsia="Times New Roman" w:hAnsi="Times New Roman"/>
                <w:sz w:val="18"/>
                <w:szCs w:val="18"/>
                <w:color w:val="auto"/>
              </w:rPr>
              <w:t>Other current assets</w:t>
            </w:r>
          </w:p>
        </w:tc>
        <w:tc>
          <w:tcPr>
            <w:tcW w:w="160" w:type="dxa"/>
            <w:vAlign w:val="bottom"/>
          </w:tcPr>
          <w:p>
            <w:pPr>
              <w:spacing w:after="0"/>
              <w:rPr>
                <w:sz w:val="18"/>
                <w:szCs w:val="18"/>
                <w:color w:val="auto"/>
              </w:rPr>
            </w:pPr>
          </w:p>
        </w:tc>
        <w:tc>
          <w:tcPr>
            <w:tcW w:w="100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4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Foreign exchange contracts</w:t>
            </w:r>
          </w:p>
        </w:tc>
        <w:tc>
          <w:tcPr>
            <w:tcW w:w="2440" w:type="dxa"/>
            <w:vAlign w:val="bottom"/>
            <w:gridSpan w:val="2"/>
            <w:shd w:val="clear" w:color="auto" w:fill="CCEEFF"/>
          </w:tcPr>
          <w:p>
            <w:pPr>
              <w:jc w:val="right"/>
              <w:ind w:right="820"/>
              <w:spacing w:after="0"/>
              <w:rPr>
                <w:sz w:val="20"/>
                <w:szCs w:val="20"/>
                <w:color w:val="auto"/>
              </w:rPr>
            </w:pPr>
            <w:r>
              <w:rPr>
                <w:rFonts w:ascii="Times New Roman" w:cs="Times New Roman" w:eastAsia="Times New Roman" w:hAnsi="Times New Roman"/>
                <w:sz w:val="18"/>
                <w:szCs w:val="18"/>
                <w:color w:val="auto"/>
              </w:rPr>
              <w:t>Other current assets</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540" w:type="dxa"/>
            <w:vAlign w:val="bottom"/>
          </w:tcPr>
          <w:p>
            <w:pPr>
              <w:spacing w:after="0"/>
              <w:rPr>
                <w:sz w:val="20"/>
                <w:szCs w:val="20"/>
                <w:color w:val="auto"/>
              </w:rPr>
            </w:pPr>
            <w:r>
              <w:rPr>
                <w:rFonts w:ascii="Times New Roman" w:cs="Times New Roman" w:eastAsia="Times New Roman" w:hAnsi="Times New Roman"/>
                <w:sz w:val="18"/>
                <w:szCs w:val="18"/>
                <w:color w:val="auto"/>
              </w:rPr>
              <w:t>Total asset derivatives</w:t>
            </w:r>
          </w:p>
        </w:tc>
        <w:tc>
          <w:tcPr>
            <w:tcW w:w="16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tcBorders>
              <w:top w:val="single" w:sz="8" w:color="auto"/>
              <w:bottom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Liability derivatives:</w:t>
            </w:r>
          </w:p>
        </w:tc>
        <w:tc>
          <w:tcPr>
            <w:tcW w:w="16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Derivatives designated as hedges</w:t>
            </w:r>
          </w:p>
        </w:tc>
        <w:tc>
          <w:tcPr>
            <w:tcW w:w="16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4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Fuel hedge contracts</w:t>
            </w:r>
          </w:p>
        </w:tc>
        <w:tc>
          <w:tcPr>
            <w:tcW w:w="2440" w:type="dxa"/>
            <w:vAlign w:val="bottom"/>
            <w:gridSpan w:val="2"/>
            <w:shd w:val="clear" w:color="auto" w:fill="CCEEFF"/>
          </w:tcPr>
          <w:p>
            <w:pPr>
              <w:jc w:val="right"/>
              <w:ind w:right="820"/>
              <w:spacing w:after="0"/>
              <w:rPr>
                <w:sz w:val="20"/>
                <w:szCs w:val="20"/>
                <w:color w:val="auto"/>
              </w:rPr>
            </w:pPr>
            <w:r>
              <w:rPr>
                <w:rFonts w:ascii="Times New Roman" w:cs="Times New Roman" w:eastAsia="Times New Roman" w:hAnsi="Times New Roman"/>
                <w:sz w:val="18"/>
                <w:szCs w:val="18"/>
                <w:color w:val="auto"/>
              </w:rPr>
              <w:t>Accrued expenses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178</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financial instruments</w:t>
      </w:r>
    </w:p>
    <w:p>
      <w:pPr>
        <w:spacing w:after="0" w:line="94" w:lineRule="exact"/>
        <w:rPr>
          <w:sz w:val="20"/>
          <w:szCs w:val="20"/>
          <w:color w:val="auto"/>
        </w:rPr>
      </w:pPr>
    </w:p>
    <w:p>
      <w:pPr>
        <w:ind w:firstLine="456"/>
        <w:spacing w:after="0" w:line="301" w:lineRule="auto"/>
        <w:rPr>
          <w:sz w:val="20"/>
          <w:szCs w:val="20"/>
          <w:color w:val="auto"/>
        </w:rPr>
      </w:pPr>
      <w:r>
        <w:rPr>
          <w:rFonts w:ascii="Times New Roman" w:cs="Times New Roman" w:eastAsia="Times New Roman" w:hAnsi="Times New Roman"/>
          <w:sz w:val="16"/>
          <w:szCs w:val="16"/>
          <w:color w:val="auto"/>
        </w:rPr>
        <w:t>The carrying value of financial instruments included in current assets and current liabilities approximates fair value due to the short-term maturities of these instruments. In January 2011, the Company issued $250,000 of 7.375% senior notes due February 1, 2019, which were outstanding at December 31, 2012 (See Note 7). The senior notes are senior unsecured obligations of the Company and its subsidiaries that guarantee the senior notes. The fair value of the senior notes was $268,125 at December 31, 2012, which is a Level 1 fair value measurement as the senior notes value was obtained using quoted prices in active markets.</w:t>
      </w:r>
    </w:p>
    <w:p>
      <w:pPr>
        <w:spacing w:after="0" w:line="223" w:lineRule="exact"/>
        <w:rPr>
          <w:sz w:val="20"/>
          <w:szCs w:val="20"/>
          <w:color w:val="auto"/>
        </w:rPr>
      </w:pPr>
    </w:p>
    <w:p>
      <w:pPr>
        <w:ind w:left="900" w:hanging="446"/>
        <w:spacing w:after="0"/>
        <w:tabs>
          <w:tab w:leader="none" w:pos="900" w:val="left"/>
        </w:tabs>
        <w:numPr>
          <w:ilvl w:val="0"/>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Company’s pre- tax income (loss) from domestic and foreign operations for the years ended December 31, 2012, 2011 and 2010 is as follows:</w:t>
      </w:r>
    </w:p>
    <w:p>
      <w:pPr>
        <w:spacing w:after="0" w:line="209" w:lineRule="exact"/>
        <w:rPr>
          <w:sz w:val="20"/>
          <w:szCs w:val="20"/>
          <w:color w:val="auto"/>
        </w:rPr>
      </w:pPr>
    </w:p>
    <w:tbl>
      <w:tblPr>
        <w:tblLayout w:type="fixed"/>
        <w:tblInd w:w="920" w:type="dxa"/>
        <w:tblCellMar>
          <w:top w:w="0" w:type="dxa"/>
          <w:left w:w="0" w:type="dxa"/>
          <w:bottom w:w="0" w:type="dxa"/>
          <w:right w:w="0" w:type="dxa"/>
        </w:tblCellMar>
      </w:tblPr>
      <w:tr>
        <w:trPr>
          <w:trHeight w:val="165"/>
        </w:trPr>
        <w:tc>
          <w:tcPr>
            <w:tcW w:w="3300" w:type="dxa"/>
            <w:vAlign w:val="bottom"/>
          </w:tcPr>
          <w:p>
            <w:pPr>
              <w:spacing w:after="0"/>
              <w:rPr>
                <w:sz w:val="14"/>
                <w:szCs w:val="14"/>
                <w:color w:val="auto"/>
              </w:rPr>
            </w:pPr>
          </w:p>
        </w:tc>
        <w:tc>
          <w:tcPr>
            <w:tcW w:w="3840" w:type="dxa"/>
            <w:vAlign w:val="bottom"/>
            <w:gridSpan w:val="2"/>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2012</w:t>
            </w:r>
          </w:p>
        </w:tc>
        <w:tc>
          <w:tcPr>
            <w:tcW w:w="560" w:type="dxa"/>
            <w:vAlign w:val="bottom"/>
          </w:tcPr>
          <w:p>
            <w:pPr>
              <w:spacing w:after="0"/>
              <w:rPr>
                <w:sz w:val="14"/>
                <w:szCs w:val="14"/>
                <w:color w:val="auto"/>
              </w:rPr>
            </w:pPr>
          </w:p>
        </w:tc>
        <w:tc>
          <w:tcPr>
            <w:tcW w:w="580" w:type="dxa"/>
            <w:vAlign w:val="bottom"/>
          </w:tcPr>
          <w:p>
            <w:pPr>
              <w:jc w:val="right"/>
              <w:ind w:right="77"/>
              <w:spacing w:after="0"/>
              <w:rPr>
                <w:sz w:val="20"/>
                <w:szCs w:val="20"/>
                <w:color w:val="auto"/>
              </w:rPr>
            </w:pPr>
            <w:r>
              <w:rPr>
                <w:rFonts w:ascii="Times New Roman" w:cs="Times New Roman" w:eastAsia="Times New Roman" w:hAnsi="Times New Roman"/>
                <w:sz w:val="14"/>
                <w:szCs w:val="14"/>
                <w:b w:val="1"/>
                <w:bCs w:val="1"/>
                <w:color w:val="auto"/>
              </w:rPr>
              <w:t>2011</w:t>
            </w:r>
          </w:p>
        </w:tc>
        <w:tc>
          <w:tcPr>
            <w:tcW w:w="300" w:type="dxa"/>
            <w:vAlign w:val="bottom"/>
          </w:tcPr>
          <w:p>
            <w:pPr>
              <w:spacing w:after="0"/>
              <w:rPr>
                <w:sz w:val="14"/>
                <w:szCs w:val="14"/>
                <w:color w:val="auto"/>
              </w:rPr>
            </w:pPr>
          </w:p>
        </w:tc>
        <w:tc>
          <w:tcPr>
            <w:tcW w:w="900" w:type="dxa"/>
            <w:vAlign w:val="bottom"/>
            <w:gridSpan w:val="2"/>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2010</w:t>
            </w:r>
          </w:p>
        </w:tc>
        <w:tc>
          <w:tcPr>
            <w:tcW w:w="100" w:type="dxa"/>
            <w:vAlign w:val="bottom"/>
          </w:tcPr>
          <w:p>
            <w:pPr>
              <w:spacing w:after="0"/>
              <w:rPr>
                <w:sz w:val="14"/>
                <w:szCs w:val="14"/>
                <w:color w:val="auto"/>
              </w:rPr>
            </w:pPr>
          </w:p>
        </w:tc>
      </w:tr>
      <w:tr>
        <w:trPr>
          <w:trHeight w:val="210"/>
        </w:trPr>
        <w:tc>
          <w:tcPr>
            <w:tcW w:w="33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Domestic operations</w:t>
            </w:r>
          </w:p>
        </w:tc>
        <w:tc>
          <w:tcPr>
            <w:tcW w:w="328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7"/>
              </w:rPr>
              <w:t>$(1,212)</w:t>
            </w:r>
          </w:p>
        </w:tc>
        <w:tc>
          <w:tcPr>
            <w:tcW w:w="5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$21,590</w:t>
            </w:r>
          </w:p>
        </w:tc>
        <w:tc>
          <w:tcPr>
            <w:tcW w:w="3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$56,333</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Foreign operations</w:t>
            </w:r>
          </w:p>
        </w:tc>
        <w:tc>
          <w:tcPr>
            <w:tcW w:w="3280" w:type="dxa"/>
            <w:vAlign w:val="bottom"/>
          </w:tcPr>
          <w:p>
            <w:pPr>
              <w:spacing w:after="0"/>
              <w:rPr>
                <w:sz w:val="18"/>
                <w:szCs w:val="18"/>
                <w:color w:val="auto"/>
              </w:rPr>
            </w:pPr>
          </w:p>
        </w:tc>
        <w:tc>
          <w:tcPr>
            <w:tcW w:w="112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(4,199)</w:t>
            </w:r>
          </w:p>
        </w:tc>
        <w:tc>
          <w:tcPr>
            <w:tcW w:w="8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5,206</w:t>
            </w:r>
          </w:p>
        </w:tc>
        <w:tc>
          <w:tcPr>
            <w:tcW w:w="10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(2,059)</w:t>
            </w:r>
          </w:p>
        </w:tc>
      </w:tr>
      <w:tr>
        <w:trPr>
          <w:trHeight w:val="27"/>
        </w:trPr>
        <w:tc>
          <w:tcPr>
            <w:tcW w:w="3300" w:type="dxa"/>
            <w:vAlign w:val="bottom"/>
          </w:tcPr>
          <w:p>
            <w:pPr>
              <w:spacing w:after="0"/>
              <w:rPr>
                <w:sz w:val="2"/>
                <w:szCs w:val="2"/>
                <w:color w:val="auto"/>
              </w:rPr>
            </w:pPr>
          </w:p>
        </w:tc>
        <w:tc>
          <w:tcPr>
            <w:tcW w:w="328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3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pre-tax income (loss)</w:t>
            </w:r>
          </w:p>
        </w:tc>
        <w:tc>
          <w:tcPr>
            <w:tcW w:w="32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w w:val="90"/>
              </w:rPr>
              <w:t>$ (5,411)</w:t>
            </w:r>
          </w:p>
        </w:tc>
        <w:tc>
          <w:tcPr>
            <w:tcW w:w="8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w w:val="95"/>
              </w:rPr>
              <w:t>$26,796</w:t>
            </w:r>
          </w:p>
        </w:tc>
        <w:tc>
          <w:tcPr>
            <w:tcW w:w="10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$54,274</w:t>
            </w:r>
          </w:p>
        </w:tc>
      </w:tr>
      <w:tr>
        <w:trPr>
          <w:trHeight w:val="363"/>
        </w:trPr>
        <w:tc>
          <w:tcPr>
            <w:tcW w:w="3300" w:type="dxa"/>
            <w:vAlign w:val="bottom"/>
          </w:tcPr>
          <w:p>
            <w:pPr>
              <w:spacing w:after="0"/>
              <w:rPr>
                <w:sz w:val="24"/>
                <w:szCs w:val="24"/>
                <w:color w:val="auto"/>
              </w:rPr>
            </w:pPr>
          </w:p>
        </w:tc>
        <w:tc>
          <w:tcPr>
            <w:tcW w:w="3280" w:type="dxa"/>
            <w:vAlign w:val="bottom"/>
          </w:tcPr>
          <w:p>
            <w:pPr>
              <w:jc w:val="right"/>
              <w:ind w:right="1622"/>
              <w:spacing w:after="0"/>
              <w:rPr>
                <w:sz w:val="20"/>
                <w:szCs w:val="20"/>
                <w:color w:val="auto"/>
              </w:rPr>
            </w:pPr>
            <w:r>
              <w:rPr>
                <w:rFonts w:ascii="Times New Roman" w:cs="Times New Roman" w:eastAsia="Times New Roman" w:hAnsi="Times New Roman"/>
                <w:sz w:val="18"/>
                <w:szCs w:val="18"/>
                <w:color w:val="auto"/>
              </w:rPr>
              <w:t>78</w:t>
            </w:r>
          </w:p>
        </w:tc>
        <w:tc>
          <w:tcPr>
            <w:tcW w:w="5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455" w:right="239" w:bottom="1440" w:gutter="0" w:footer="0" w:header="0"/>
        </w:sectPr>
      </w:pPr>
    </w:p>
    <w:bookmarkStart w:id="80" w:name="page81"/>
    <w:bookmarkEnd w:id="8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provision (benefit) for income taxes as of December 31, 2012, 2011 and 2010 is as follows: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6560" w:type="dxa"/>
            <w:vAlign w:val="bottom"/>
          </w:tcPr>
          <w:p>
            <w:pPr>
              <w:spacing w:after="0"/>
              <w:rPr>
                <w:sz w:val="14"/>
                <w:szCs w:val="14"/>
                <w:color w:val="auto"/>
              </w:rPr>
            </w:pPr>
          </w:p>
        </w:tc>
        <w:tc>
          <w:tcPr>
            <w:tcW w:w="2680" w:type="dxa"/>
            <w:vAlign w:val="bottom"/>
            <w:gridSpan w:val="3"/>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2012</w:t>
            </w: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0" w:type="dxa"/>
            <w:vAlign w:val="bottom"/>
            <w:gridSpan w:val="2"/>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2011</w:t>
            </w:r>
          </w:p>
        </w:tc>
        <w:tc>
          <w:tcPr>
            <w:tcW w:w="440" w:type="dxa"/>
            <w:vAlign w:val="bottom"/>
          </w:tcPr>
          <w:p>
            <w:pPr>
              <w:spacing w:after="0"/>
              <w:rPr>
                <w:sz w:val="14"/>
                <w:szCs w:val="14"/>
                <w:color w:val="auto"/>
              </w:rPr>
            </w:pPr>
          </w:p>
        </w:tc>
        <w:tc>
          <w:tcPr>
            <w:tcW w:w="580" w:type="dxa"/>
            <w:vAlign w:val="bottom"/>
          </w:tcPr>
          <w:p>
            <w:pPr>
              <w:jc w:val="right"/>
              <w:ind w:right="74"/>
              <w:spacing w:after="0"/>
              <w:rPr>
                <w:sz w:val="20"/>
                <w:szCs w:val="20"/>
                <w:color w:val="auto"/>
              </w:rPr>
            </w:pPr>
            <w:r>
              <w:rPr>
                <w:rFonts w:ascii="Times New Roman" w:cs="Times New Roman" w:eastAsia="Times New Roman" w:hAnsi="Times New Roman"/>
                <w:sz w:val="14"/>
                <w:szCs w:val="14"/>
                <w:b w:val="1"/>
                <w:bCs w:val="1"/>
                <w:color w:val="auto"/>
              </w:rPr>
              <w:t>2010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56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Federal:</w:t>
            </w:r>
          </w:p>
        </w:tc>
        <w:tc>
          <w:tcPr>
            <w:tcW w:w="21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right w:val="single" w:sz="8" w:color="CCEEFF"/>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right w:val="single" w:sz="8" w:color="CCEEFF"/>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Current</w:t>
            </w:r>
          </w:p>
        </w:tc>
        <w:tc>
          <w:tcPr>
            <w:tcW w:w="3120" w:type="dxa"/>
            <w:vAlign w:val="bottom"/>
            <w:gridSpan w:val="5"/>
          </w:tcPr>
          <w:p>
            <w:pPr>
              <w:jc w:val="right"/>
              <w:ind w:right="380"/>
              <w:spacing w:after="0"/>
              <w:rPr>
                <w:sz w:val="20"/>
                <w:szCs w:val="20"/>
                <w:color w:val="auto"/>
              </w:rPr>
            </w:pPr>
            <w:r>
              <w:rPr>
                <w:rFonts w:ascii="Times New Roman" w:cs="Times New Roman" w:eastAsia="Times New Roman" w:hAnsi="Times New Roman"/>
                <w:sz w:val="18"/>
                <w:szCs w:val="18"/>
                <w:color w:val="auto"/>
              </w:rPr>
              <w:t>$(5,226)</w:t>
            </w:r>
          </w:p>
        </w:tc>
        <w:tc>
          <w:tcPr>
            <w:tcW w:w="1040" w:type="dxa"/>
            <w:vAlign w:val="bottom"/>
            <w:gridSpan w:val="3"/>
          </w:tcPr>
          <w:p>
            <w:pPr>
              <w:jc w:val="right"/>
              <w:ind w:right="400"/>
              <w:spacing w:after="0"/>
              <w:rPr>
                <w:sz w:val="20"/>
                <w:szCs w:val="20"/>
                <w:color w:val="auto"/>
              </w:rPr>
            </w:pPr>
            <w:r>
              <w:rPr>
                <w:rFonts w:ascii="Times New Roman" w:cs="Times New Roman" w:eastAsia="Times New Roman" w:hAnsi="Times New Roman"/>
                <w:sz w:val="18"/>
                <w:szCs w:val="18"/>
                <w:color w:val="auto"/>
                <w:w w:val="93"/>
              </w:rPr>
              <w:t>$ (5,657)</w:t>
            </w: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5"/>
              </w:rPr>
              <w:t>$11,602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Deferred</w:t>
            </w:r>
          </w:p>
        </w:tc>
        <w:tc>
          <w:tcPr>
            <w:tcW w:w="2740" w:type="dxa"/>
            <w:vAlign w:val="bottom"/>
            <w:tcBorders>
              <w:right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1,696</w:t>
            </w:r>
          </w:p>
        </w:tc>
        <w:tc>
          <w:tcPr>
            <w:tcW w:w="380" w:type="dxa"/>
            <w:vAlign w:val="bottom"/>
            <w:shd w:val="clear" w:color="auto" w:fill="CCEEFF"/>
          </w:tcPr>
          <w:p>
            <w:pPr>
              <w:spacing w:after="0"/>
              <w:rPr>
                <w:sz w:val="18"/>
                <w:szCs w:val="18"/>
                <w:color w:val="auto"/>
              </w:rPr>
            </w:pPr>
          </w:p>
        </w:tc>
        <w:tc>
          <w:tcPr>
            <w:tcW w:w="60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13,762</w:t>
            </w:r>
          </w:p>
        </w:tc>
        <w:tc>
          <w:tcPr>
            <w:tcW w:w="4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6,772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State:</w:t>
            </w:r>
          </w:p>
        </w:tc>
        <w:tc>
          <w:tcPr>
            <w:tcW w:w="2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Current</w:t>
            </w:r>
          </w:p>
        </w:tc>
        <w:tc>
          <w:tcPr>
            <w:tcW w:w="2740" w:type="dxa"/>
            <w:vAlign w:val="bottom"/>
            <w:tcBorders>
              <w:right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380" w:type="dxa"/>
            <w:vAlign w:val="bottom"/>
            <w:shd w:val="clear" w:color="auto" w:fill="CCEEFF"/>
          </w:tcPr>
          <w:p>
            <w:pPr>
              <w:spacing w:after="0"/>
              <w:rPr>
                <w:sz w:val="18"/>
                <w:szCs w:val="18"/>
                <w:color w:val="auto"/>
              </w:rPr>
            </w:pPr>
          </w:p>
        </w:tc>
        <w:tc>
          <w:tcPr>
            <w:tcW w:w="60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w:t>
            </w:r>
          </w:p>
        </w:tc>
        <w:tc>
          <w:tcPr>
            <w:tcW w:w="4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Deferred</w:t>
            </w:r>
          </w:p>
        </w:tc>
        <w:tc>
          <w:tcPr>
            <w:tcW w:w="3120" w:type="dxa"/>
            <w:vAlign w:val="bottom"/>
            <w:gridSpan w:val="5"/>
          </w:tcPr>
          <w:p>
            <w:pPr>
              <w:jc w:val="right"/>
              <w:ind w:right="380"/>
              <w:spacing w:after="0"/>
              <w:rPr>
                <w:sz w:val="20"/>
                <w:szCs w:val="20"/>
                <w:color w:val="auto"/>
              </w:rPr>
            </w:pPr>
            <w:r>
              <w:rPr>
                <w:rFonts w:ascii="Times New Roman" w:cs="Times New Roman" w:eastAsia="Times New Roman" w:hAnsi="Times New Roman"/>
                <w:sz w:val="18"/>
                <w:szCs w:val="18"/>
                <w:color w:val="auto"/>
              </w:rPr>
              <w:t>(717)</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700</w:t>
            </w:r>
          </w:p>
        </w:tc>
        <w:tc>
          <w:tcPr>
            <w:tcW w:w="44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w:t>
            </w:r>
          </w:p>
        </w:tc>
        <w:tc>
          <w:tcPr>
            <w:tcW w:w="2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tcBorders>
              <w:right w:val="single" w:sz="8" w:color="CCEEFF"/>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60" w:type="dxa"/>
            <w:vAlign w:val="bottom"/>
            <w:tcBorders>
              <w:right w:val="single" w:sz="8" w:color="CCEEFF"/>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Current</w:t>
            </w:r>
          </w:p>
        </w:tc>
        <w:tc>
          <w:tcPr>
            <w:tcW w:w="2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40" w:type="dxa"/>
            <w:vAlign w:val="bottom"/>
            <w:gridSpan w:val="3"/>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337</w:t>
            </w:r>
          </w:p>
        </w:tc>
        <w:tc>
          <w:tcPr>
            <w:tcW w:w="44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Deferred</w:t>
            </w:r>
          </w:p>
        </w:tc>
        <w:tc>
          <w:tcPr>
            <w:tcW w:w="2740" w:type="dxa"/>
            <w:vAlign w:val="bottom"/>
            <w:tcBorders>
              <w:right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1,975</w:t>
            </w:r>
          </w:p>
        </w:tc>
        <w:tc>
          <w:tcPr>
            <w:tcW w:w="3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6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2120" w:type="dxa"/>
            <w:vAlign w:val="bottom"/>
          </w:tcPr>
          <w:p>
            <w:pPr>
              <w:spacing w:after="0"/>
              <w:rPr>
                <w:sz w:val="19"/>
                <w:szCs w:val="19"/>
                <w:color w:val="auto"/>
              </w:rPr>
            </w:pPr>
          </w:p>
        </w:tc>
        <w:tc>
          <w:tcPr>
            <w:tcW w:w="56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(2,071</w:t>
            </w:r>
          </w:p>
        </w:tc>
        <w:tc>
          <w:tcPr>
            <w:tcW w:w="440" w:type="dxa"/>
            <w:vAlign w:val="bottom"/>
            <w:gridSpan w:val="2"/>
          </w:tcPr>
          <w:p>
            <w:pPr>
              <w:jc w:val="right"/>
              <w:ind w:right="380"/>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$ 9,545</w:t>
            </w:r>
          </w:p>
        </w:tc>
        <w:tc>
          <w:tcPr>
            <w:tcW w:w="440" w:type="dxa"/>
            <w:vAlign w:val="bottom"/>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5"/>
              </w:rPr>
              <w:t>$</w:t>
            </w:r>
            <w:r>
              <w:rPr>
                <w:rFonts w:ascii="Times New Roman" w:cs="Times New Roman" w:eastAsia="Times New Roman" w:hAnsi="Times New Roman"/>
                <w:sz w:val="18"/>
                <w:szCs w:val="18"/>
                <w:color w:val="auto"/>
                <w:w w:val="95"/>
              </w:rPr>
              <w:t>20,554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80" w:type="dxa"/>
            <w:vAlign w:val="bottom"/>
            <w:gridSpan w:val="2"/>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11400" w:type="dxa"/>
            <w:vAlign w:val="bottom"/>
            <w:gridSpan w:val="11"/>
          </w:tcPr>
          <w:p>
            <w:pPr>
              <w:ind w:left="440"/>
              <w:spacing w:after="0"/>
              <w:rPr>
                <w:sz w:val="20"/>
                <w:szCs w:val="20"/>
                <w:color w:val="auto"/>
              </w:rPr>
            </w:pPr>
            <w:r>
              <w:rPr>
                <w:rFonts w:ascii="Times New Roman" w:cs="Times New Roman" w:eastAsia="Times New Roman" w:hAnsi="Times New Roman"/>
                <w:sz w:val="18"/>
                <w:szCs w:val="18"/>
                <w:color w:val="auto"/>
                <w:w w:val="99"/>
              </w:rPr>
              <w:t>The Company’s income tax provision reconciles to the provision at the statutory U.S. federal income tax rate of 35% as of December 31, 2012, 2011 and</w:t>
            </w:r>
          </w:p>
        </w:tc>
        <w:tc>
          <w:tcPr>
            <w:tcW w:w="0" w:type="dxa"/>
            <w:vAlign w:val="bottom"/>
          </w:tcPr>
          <w:p>
            <w:pPr>
              <w:spacing w:after="0"/>
              <w:rPr>
                <w:sz w:val="1"/>
                <w:szCs w:val="1"/>
                <w:color w:val="auto"/>
              </w:rPr>
            </w:pPr>
          </w:p>
        </w:tc>
      </w:tr>
      <w:tr>
        <w:trPr>
          <w:trHeight w:val="228"/>
        </w:trPr>
        <w:tc>
          <w:tcPr>
            <w:tcW w:w="6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2010 as follows:</w:t>
            </w:r>
          </w:p>
        </w:tc>
        <w:tc>
          <w:tcPr>
            <w:tcW w:w="2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3"/>
        </w:trPr>
        <w:tc>
          <w:tcPr>
            <w:tcW w:w="20" w:type="dxa"/>
            <w:vAlign w:val="bottom"/>
          </w:tcPr>
          <w:p>
            <w:pPr>
              <w:spacing w:after="0"/>
              <w:rPr>
                <w:sz w:val="24"/>
                <w:szCs w:val="24"/>
                <w:color w:val="auto"/>
              </w:rPr>
            </w:pPr>
          </w:p>
        </w:tc>
        <w:tc>
          <w:tcPr>
            <w:tcW w:w="6560" w:type="dxa"/>
            <w:vAlign w:val="bottom"/>
          </w:tcPr>
          <w:p>
            <w:pPr>
              <w:spacing w:after="0"/>
              <w:rPr>
                <w:sz w:val="24"/>
                <w:szCs w:val="24"/>
                <w:color w:val="auto"/>
              </w:rPr>
            </w:pPr>
          </w:p>
        </w:tc>
        <w:tc>
          <w:tcPr>
            <w:tcW w:w="26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2012</w:t>
            </w: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0" w:type="dxa"/>
            <w:vAlign w:val="bottom"/>
            <w:gridSpan w:val="2"/>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2011</w:t>
            </w:r>
          </w:p>
        </w:tc>
        <w:tc>
          <w:tcPr>
            <w:tcW w:w="440" w:type="dxa"/>
            <w:vAlign w:val="bottom"/>
          </w:tcPr>
          <w:p>
            <w:pPr>
              <w:spacing w:after="0"/>
              <w:rPr>
                <w:sz w:val="24"/>
                <w:szCs w:val="24"/>
                <w:color w:val="auto"/>
              </w:rPr>
            </w:pPr>
          </w:p>
        </w:tc>
        <w:tc>
          <w:tcPr>
            <w:tcW w:w="580" w:type="dxa"/>
            <w:vAlign w:val="bottom"/>
          </w:tcPr>
          <w:p>
            <w:pPr>
              <w:jc w:val="right"/>
              <w:ind w:right="74"/>
              <w:spacing w:after="0"/>
              <w:rPr>
                <w:sz w:val="20"/>
                <w:szCs w:val="20"/>
                <w:color w:val="auto"/>
              </w:rPr>
            </w:pPr>
            <w:r>
              <w:rPr>
                <w:rFonts w:ascii="Times New Roman" w:cs="Times New Roman" w:eastAsia="Times New Roman" w:hAnsi="Times New Roman"/>
                <w:sz w:val="14"/>
                <w:szCs w:val="14"/>
                <w:b w:val="1"/>
                <w:bCs w:val="1"/>
                <w:color w:val="auto"/>
              </w:rPr>
              <w:t>2010</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provision (benefit) at statutory U.S. federal income tax rate</w:t>
            </w:r>
          </w:p>
        </w:tc>
        <w:tc>
          <w:tcPr>
            <w:tcW w:w="2180" w:type="dxa"/>
            <w:vAlign w:val="bottom"/>
            <w:tcBorders>
              <w:top w:val="single" w:sz="8" w:color="CCEEFF"/>
            </w:tcBorders>
            <w:gridSpan w:val="2"/>
            <w:shd w:val="clear" w:color="auto" w:fill="CCEEFF"/>
          </w:tcPr>
          <w:p>
            <w:pPr>
              <w:spacing w:after="0"/>
              <w:rPr>
                <w:sz w:val="18"/>
                <w:szCs w:val="18"/>
                <w:color w:val="auto"/>
              </w:rPr>
            </w:pPr>
          </w:p>
        </w:tc>
        <w:tc>
          <w:tcPr>
            <w:tcW w:w="560" w:type="dxa"/>
            <w:vAlign w:val="bottom"/>
            <w:tcBorders>
              <w:top w:val="single" w:sz="8" w:color="auto"/>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7"/>
              </w:rPr>
              <w:t>$(1,894)</w:t>
            </w:r>
          </w:p>
        </w:tc>
        <w:tc>
          <w:tcPr>
            <w:tcW w:w="3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$ 9,378</w:t>
            </w:r>
          </w:p>
        </w:tc>
        <w:tc>
          <w:tcPr>
            <w:tcW w:w="44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$18,996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State income tax — net of federal income tax benefit</w:t>
            </w:r>
          </w:p>
        </w:tc>
        <w:tc>
          <w:tcPr>
            <w:tcW w:w="3120" w:type="dxa"/>
            <w:vAlign w:val="bottom"/>
            <w:gridSpan w:val="5"/>
          </w:tcPr>
          <w:p>
            <w:pPr>
              <w:jc w:val="right"/>
              <w:ind w:right="320"/>
              <w:spacing w:after="0"/>
              <w:rPr>
                <w:sz w:val="20"/>
                <w:szCs w:val="20"/>
                <w:color w:val="auto"/>
              </w:rPr>
            </w:pPr>
            <w:r>
              <w:rPr>
                <w:rFonts w:ascii="Times New Roman" w:cs="Times New Roman" w:eastAsia="Times New Roman" w:hAnsi="Times New Roman"/>
                <w:sz w:val="18"/>
                <w:szCs w:val="18"/>
                <w:color w:val="auto"/>
              </w:rPr>
              <w:t>(1,061)</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730</w:t>
            </w:r>
          </w:p>
        </w:tc>
        <w:tc>
          <w:tcPr>
            <w:tcW w:w="44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income tax benefit</w:t>
            </w:r>
          </w:p>
        </w:tc>
        <w:tc>
          <w:tcPr>
            <w:tcW w:w="2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(1,367)</w:t>
            </w: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Tax on (income) loss attributable to noncontrolling interests</w:t>
            </w:r>
          </w:p>
        </w:tc>
        <w:tc>
          <w:tcPr>
            <w:tcW w:w="3120" w:type="dxa"/>
            <w:vAlign w:val="bottom"/>
            <w:gridSpan w:val="5"/>
          </w:tcPr>
          <w:p>
            <w:pPr>
              <w:jc w:val="right"/>
              <w:ind w:right="380"/>
              <w:spacing w:after="0"/>
              <w:rPr>
                <w:sz w:val="20"/>
                <w:szCs w:val="20"/>
                <w:color w:val="auto"/>
              </w:rPr>
            </w:pPr>
            <w:r>
              <w:rPr>
                <w:rFonts w:ascii="Times New Roman" w:cs="Times New Roman" w:eastAsia="Times New Roman" w:hAnsi="Times New Roman"/>
                <w:sz w:val="18"/>
                <w:szCs w:val="18"/>
                <w:color w:val="auto"/>
              </w:rPr>
              <w:t>242</w:t>
            </w:r>
          </w:p>
        </w:tc>
        <w:tc>
          <w:tcPr>
            <w:tcW w:w="1040" w:type="dxa"/>
            <w:vAlign w:val="bottom"/>
            <w:gridSpan w:val="3"/>
          </w:tcPr>
          <w:p>
            <w:pPr>
              <w:jc w:val="right"/>
              <w:ind w:right="380"/>
              <w:spacing w:after="0"/>
              <w:rPr>
                <w:sz w:val="20"/>
                <w:szCs w:val="20"/>
                <w:color w:val="auto"/>
              </w:rPr>
            </w:pPr>
            <w:r>
              <w:rPr>
                <w:rFonts w:ascii="Times New Roman" w:cs="Times New Roman" w:eastAsia="Times New Roman" w:hAnsi="Times New Roman"/>
                <w:sz w:val="18"/>
                <w:szCs w:val="18"/>
                <w:color w:val="auto"/>
              </w:rPr>
              <w:t>(253)</w:t>
            </w: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deferred state tax rate</w:t>
            </w:r>
          </w:p>
        </w:tc>
        <w:tc>
          <w:tcPr>
            <w:tcW w:w="3120" w:type="dxa"/>
            <w:vAlign w:val="bottom"/>
            <w:gridSpan w:val="5"/>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246</w:t>
            </w:r>
          </w:p>
        </w:tc>
        <w:tc>
          <w:tcPr>
            <w:tcW w:w="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Changes in unrecognized tax benefits</w:t>
            </w:r>
          </w:p>
        </w:tc>
        <w:tc>
          <w:tcPr>
            <w:tcW w:w="3120" w:type="dxa"/>
            <w:vAlign w:val="bottom"/>
            <w:gridSpan w:val="5"/>
          </w:tcPr>
          <w:p>
            <w:pPr>
              <w:jc w:val="right"/>
              <w:ind w:right="320"/>
              <w:spacing w:after="0"/>
              <w:rPr>
                <w:sz w:val="20"/>
                <w:szCs w:val="20"/>
                <w:color w:val="auto"/>
              </w:rPr>
            </w:pPr>
            <w:r>
              <w:rPr>
                <w:rFonts w:ascii="Times New Roman" w:cs="Times New Roman" w:eastAsia="Times New Roman" w:hAnsi="Times New Roman"/>
                <w:sz w:val="18"/>
                <w:szCs w:val="18"/>
                <w:color w:val="auto"/>
              </w:rPr>
              <w:t>(137)</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44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Changes in valuation allowance</w:t>
            </w:r>
          </w:p>
        </w:tc>
        <w:tc>
          <w:tcPr>
            <w:tcW w:w="3120" w:type="dxa"/>
            <w:vAlign w:val="bottom"/>
            <w:gridSpan w:val="5"/>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228</w:t>
            </w:r>
          </w:p>
        </w:tc>
        <w:tc>
          <w:tcPr>
            <w:tcW w:w="60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1,588</w:t>
            </w:r>
          </w:p>
        </w:tc>
        <w:tc>
          <w:tcPr>
            <w:tcW w:w="4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2180" w:type="dxa"/>
            <w:vAlign w:val="bottom"/>
            <w:gridSpan w:val="2"/>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305</w:t>
            </w: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(546)</w:t>
            </w: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560" w:type="dxa"/>
            <w:vAlign w:val="bottom"/>
          </w:tcPr>
          <w:p>
            <w:pPr>
              <w:spacing w:after="0"/>
              <w:rPr>
                <w:sz w:val="2"/>
                <w:szCs w:val="2"/>
                <w:color w:val="auto"/>
              </w:rPr>
            </w:pPr>
          </w:p>
        </w:tc>
        <w:tc>
          <w:tcPr>
            <w:tcW w:w="2120" w:type="dxa"/>
            <w:vAlign w:val="bottom"/>
          </w:tcPr>
          <w:p>
            <w:pPr>
              <w:spacing w:after="0"/>
              <w:rPr>
                <w:sz w:val="2"/>
                <w:szCs w:val="2"/>
                <w:color w:val="auto"/>
              </w:rPr>
            </w:pPr>
          </w:p>
        </w:tc>
        <w:tc>
          <w:tcPr>
            <w:tcW w:w="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0" w:type="dxa"/>
            <w:vAlign w:val="bottom"/>
            <w:tcBorders>
              <w:right w:val="single" w:sz="8" w:color="auto"/>
            </w:tcBorders>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40" w:type="dxa"/>
            <w:vAlign w:val="bottom"/>
          </w:tcPr>
          <w:p>
            <w:pPr>
              <w:spacing w:after="0"/>
              <w:rPr>
                <w:sz w:val="2"/>
                <w:szCs w:val="2"/>
                <w:color w:val="auto"/>
              </w:rPr>
            </w:pPr>
          </w:p>
        </w:tc>
        <w:tc>
          <w:tcPr>
            <w:tcW w:w="560" w:type="dxa"/>
            <w:vAlign w:val="bottom"/>
            <w:tcBorders>
              <w:right w:val="single" w:sz="8" w:color="auto"/>
            </w:tcBorders>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provision (benefit)</w:t>
            </w:r>
          </w:p>
        </w:tc>
        <w:tc>
          <w:tcPr>
            <w:tcW w:w="3120" w:type="dxa"/>
            <w:vAlign w:val="bottom"/>
            <w:gridSpan w:val="5"/>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(2,071)</w:t>
            </w:r>
          </w:p>
        </w:tc>
        <w:tc>
          <w:tcPr>
            <w:tcW w:w="60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$ 9,545</w:t>
            </w:r>
          </w:p>
        </w:tc>
        <w:tc>
          <w:tcPr>
            <w:tcW w:w="4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u w:val="single" w:color="auto"/>
                <w:color w:val="auto"/>
                <w:w w:val="95"/>
              </w:rPr>
              <w:t>$</w:t>
            </w:r>
            <w:r>
              <w:rPr>
                <w:rFonts w:ascii="Times New Roman" w:cs="Times New Roman" w:eastAsia="Times New Roman" w:hAnsi="Times New Roman"/>
                <w:sz w:val="18"/>
                <w:szCs w:val="18"/>
                <w:color w:val="auto"/>
                <w:w w:val="95"/>
              </w:rPr>
              <w:t>20,554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6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right="80" w:firstLine="456"/>
        <w:spacing w:after="0" w:line="262" w:lineRule="auto"/>
        <w:rPr>
          <w:sz w:val="20"/>
          <w:szCs w:val="20"/>
          <w:color w:val="auto"/>
        </w:rPr>
      </w:pPr>
      <w:r>
        <w:rPr>
          <w:rFonts w:ascii="Times New Roman" w:cs="Times New Roman" w:eastAsia="Times New Roman" w:hAnsi="Times New Roman"/>
          <w:sz w:val="18"/>
          <w:szCs w:val="18"/>
          <w:color w:val="auto"/>
        </w:rPr>
        <w:t>At December 31, 2012 and 2011, the Company had gross net operating loss carryforwards for state income tax purposes totaling $51,597 and $26,159, respectively. The outstanding carryforwards will expire between 2017 and 2026. At December 31, 2012 and 2011, a valuation allowance has been established for a portion of the deferred tax asset related to these state net operating loss carryforwards in the amount of $720 and $492, respectively.</w:t>
      </w:r>
    </w:p>
    <w:p>
      <w:pPr>
        <w:spacing w:after="0" w:line="132" w:lineRule="exact"/>
        <w:rPr>
          <w:sz w:val="20"/>
          <w:szCs w:val="20"/>
          <w:color w:val="auto"/>
        </w:rPr>
      </w:pPr>
    </w:p>
    <w:p>
      <w:pPr>
        <w:ind w:right="20" w:firstLine="456"/>
        <w:spacing w:after="0" w:line="310" w:lineRule="auto"/>
        <w:rPr>
          <w:sz w:val="20"/>
          <w:szCs w:val="20"/>
          <w:color w:val="auto"/>
        </w:rPr>
      </w:pPr>
      <w:r>
        <w:rPr>
          <w:rFonts w:ascii="Times New Roman" w:cs="Times New Roman" w:eastAsia="Times New Roman" w:hAnsi="Times New Roman"/>
          <w:sz w:val="16"/>
          <w:szCs w:val="16"/>
          <w:color w:val="auto"/>
        </w:rPr>
        <w:t>The Company also has foreign gross net operating loss carryforwards of approximately $10,164 as of December 31, 2012 and 2011. The net operating losses expire between 2014 and 2031. At December 31, 2012 and 2011, a full valuation allowance has been established for the deferred tax asset of $2,632 related to foreign net operating loss carryforwards, as the Company believes it is more likely than not that the net operating loss carryforwards will not be realized.</w:t>
      </w:r>
    </w:p>
    <w:p>
      <w:pPr>
        <w:spacing w:after="0" w:line="97" w:lineRule="exact"/>
        <w:rPr>
          <w:sz w:val="20"/>
          <w:szCs w:val="20"/>
          <w:color w:val="auto"/>
        </w:rPr>
      </w:pPr>
    </w:p>
    <w:p>
      <w:pPr>
        <w:ind w:right="180" w:firstLine="456"/>
        <w:spacing w:after="0" w:line="275" w:lineRule="auto"/>
        <w:rPr>
          <w:sz w:val="20"/>
          <w:szCs w:val="20"/>
          <w:color w:val="auto"/>
        </w:rPr>
      </w:pPr>
      <w:r>
        <w:rPr>
          <w:rFonts w:ascii="Times New Roman" w:cs="Times New Roman" w:eastAsia="Times New Roman" w:hAnsi="Times New Roman"/>
          <w:sz w:val="18"/>
          <w:szCs w:val="18"/>
          <w:color w:val="auto"/>
        </w:rPr>
        <w:t>As of December 31, 2012 and 2011, the Company had $471 and $633, respectively, in unrecognized tax benefits, the recognition of which would have an impact of $241 and $347 on the effective tax rate.</w:t>
      </w:r>
    </w:p>
    <w:p>
      <w:pPr>
        <w:spacing w:after="0" w:line="120" w:lineRule="exact"/>
        <w:rPr>
          <w:sz w:val="20"/>
          <w:szCs w:val="20"/>
          <w:color w:val="auto"/>
        </w:rPr>
      </w:pPr>
    </w:p>
    <w:p>
      <w:pPr>
        <w:ind w:right="380" w:firstLine="456"/>
        <w:spacing w:after="0" w:line="275" w:lineRule="auto"/>
        <w:rPr>
          <w:sz w:val="20"/>
          <w:szCs w:val="20"/>
          <w:color w:val="auto"/>
        </w:rPr>
      </w:pPr>
      <w:r>
        <w:rPr>
          <w:rFonts w:ascii="Times New Roman" w:cs="Times New Roman" w:eastAsia="Times New Roman" w:hAnsi="Times New Roman"/>
          <w:sz w:val="18"/>
          <w:szCs w:val="18"/>
          <w:color w:val="auto"/>
        </w:rPr>
        <w:t>The Company does not expect that total unrecognized tax benefits will significantly increase or decrease within the next 12 months. Below is a tabular reconciliation of the total amounts of unrecognized tax benefits at the beginning and end of each period.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4460" w:type="dxa"/>
            <w:vAlign w:val="bottom"/>
          </w:tcPr>
          <w:p>
            <w:pPr>
              <w:spacing w:after="0"/>
              <w:rPr>
                <w:sz w:val="14"/>
                <w:szCs w:val="14"/>
                <w:color w:val="auto"/>
              </w:rPr>
            </w:pPr>
          </w:p>
        </w:tc>
        <w:tc>
          <w:tcPr>
            <w:tcW w:w="50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2012</w:t>
            </w:r>
          </w:p>
        </w:tc>
        <w:tc>
          <w:tcPr>
            <w:tcW w:w="240" w:type="dxa"/>
            <w:vAlign w:val="bottom"/>
          </w:tcPr>
          <w:p>
            <w:pPr>
              <w:spacing w:after="0"/>
              <w:rPr>
                <w:sz w:val="14"/>
                <w:szCs w:val="14"/>
                <w:color w:val="auto"/>
              </w:rPr>
            </w:pPr>
          </w:p>
        </w:tc>
        <w:tc>
          <w:tcPr>
            <w:tcW w:w="560" w:type="dxa"/>
            <w:vAlign w:val="bottom"/>
            <w:gridSpan w:val="2"/>
          </w:tcPr>
          <w:p>
            <w:pPr>
              <w:jc w:val="center"/>
              <w:ind w:left="99"/>
              <w:spacing w:after="0"/>
              <w:rPr>
                <w:sz w:val="20"/>
                <w:szCs w:val="20"/>
                <w:color w:val="auto"/>
              </w:rPr>
            </w:pPr>
            <w:r>
              <w:rPr>
                <w:rFonts w:ascii="Times New Roman" w:cs="Times New Roman" w:eastAsia="Times New Roman" w:hAnsi="Times New Roman"/>
                <w:sz w:val="14"/>
                <w:szCs w:val="14"/>
                <w:b w:val="1"/>
                <w:bCs w:val="1"/>
                <w:color w:val="auto"/>
                <w:w w:val="92"/>
              </w:rPr>
              <w:t>2011</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rPr>
              <w:t>2010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Unrecognized tax benefits — January 1</w:t>
            </w:r>
          </w:p>
        </w:tc>
        <w:tc>
          <w:tcPr>
            <w:tcW w:w="464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$ 633</w:t>
            </w:r>
          </w:p>
        </w:tc>
        <w:tc>
          <w:tcPr>
            <w:tcW w:w="2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$630</w:t>
            </w: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Gross increases — tax positions in prior period</w:t>
            </w:r>
          </w:p>
        </w:tc>
        <w:tc>
          <w:tcPr>
            <w:tcW w:w="530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79</w:t>
            </w:r>
          </w:p>
        </w:tc>
        <w:tc>
          <w:tcPr>
            <w:tcW w:w="76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increases — current period tax positions</w:t>
            </w:r>
          </w:p>
        </w:tc>
        <w:tc>
          <w:tcPr>
            <w:tcW w:w="530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80</w:t>
            </w:r>
          </w:p>
        </w:tc>
        <w:tc>
          <w:tcPr>
            <w:tcW w:w="2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Gross decreases — expirations in prior period</w:t>
            </w:r>
          </w:p>
        </w:tc>
        <w:tc>
          <w:tcPr>
            <w:tcW w:w="530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(321)</w:t>
            </w:r>
          </w:p>
        </w:tc>
        <w:tc>
          <w:tcPr>
            <w:tcW w:w="200" w:type="dxa"/>
            <w:vAlign w:val="bottom"/>
          </w:tcPr>
          <w:p>
            <w:pPr>
              <w:spacing w:after="0"/>
              <w:rPr>
                <w:sz w:val="18"/>
                <w:szCs w:val="18"/>
                <w:color w:val="auto"/>
              </w:rPr>
            </w:pPr>
          </w:p>
        </w:tc>
        <w:tc>
          <w:tcPr>
            <w:tcW w:w="5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decreases — tax positions in prior period</w:t>
            </w:r>
          </w:p>
        </w:tc>
        <w:tc>
          <w:tcPr>
            <w:tcW w:w="46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5"/>
              </w:rPr>
              <w:t>(1,015)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Settlements</w:t>
            </w:r>
          </w:p>
        </w:tc>
        <w:tc>
          <w:tcPr>
            <w:tcW w:w="46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(280)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460" w:type="dxa"/>
            <w:vAlign w:val="bottom"/>
          </w:tcPr>
          <w:p>
            <w:pPr>
              <w:spacing w:after="0"/>
              <w:rPr>
                <w:sz w:val="2"/>
                <w:szCs w:val="2"/>
                <w:color w:val="auto"/>
              </w:rPr>
            </w:pPr>
          </w:p>
        </w:tc>
        <w:tc>
          <w:tcPr>
            <w:tcW w:w="464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Unrecognized tax benefits — December 31,</w:t>
            </w:r>
          </w:p>
        </w:tc>
        <w:tc>
          <w:tcPr>
            <w:tcW w:w="46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w w:val="98"/>
              </w:rPr>
              <w:t>$ 471</w:t>
            </w:r>
          </w:p>
        </w:tc>
        <w:tc>
          <w:tcPr>
            <w:tcW w:w="76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633</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630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4640" w:type="dxa"/>
            <w:vAlign w:val="bottom"/>
            <w:vMerge w:val="restart"/>
          </w:tcPr>
          <w:p>
            <w:pPr>
              <w:jc w:val="right"/>
              <w:ind w:right="3236"/>
              <w:spacing w:after="0"/>
              <w:rPr>
                <w:sz w:val="20"/>
                <w:szCs w:val="20"/>
                <w:color w:val="auto"/>
              </w:rPr>
            </w:pPr>
            <w:r>
              <w:rPr>
                <w:rFonts w:ascii="Times New Roman" w:cs="Times New Roman" w:eastAsia="Times New Roman" w:hAnsi="Times New Roman"/>
                <w:sz w:val="18"/>
                <w:szCs w:val="18"/>
                <w:color w:val="auto"/>
              </w:rPr>
              <w:t>79</w:t>
            </w:r>
          </w:p>
        </w:tc>
        <w:tc>
          <w:tcPr>
            <w:tcW w:w="4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4460" w:type="dxa"/>
            <w:vAlign w:val="bottom"/>
          </w:tcPr>
          <w:p>
            <w:pPr>
              <w:spacing w:after="0"/>
              <w:rPr>
                <w:sz w:val="24"/>
                <w:szCs w:val="24"/>
                <w:color w:val="auto"/>
              </w:rPr>
            </w:pPr>
          </w:p>
        </w:tc>
        <w:tc>
          <w:tcPr>
            <w:tcW w:w="4640" w:type="dxa"/>
            <w:vAlign w:val="bottom"/>
            <w:vMerge w:val="continue"/>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5" w:right="239" w:bottom="1440" w:gutter="0" w:footer="0" w:header="0"/>
        </w:sectPr>
      </w:pPr>
    </w:p>
    <w:bookmarkStart w:id="81" w:name="page82"/>
    <w:bookmarkEnd w:id="8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180" w:firstLine="456"/>
        <w:spacing w:after="0" w:line="275" w:lineRule="auto"/>
        <w:rPr>
          <w:sz w:val="20"/>
          <w:szCs w:val="20"/>
          <w:color w:val="auto"/>
        </w:rPr>
      </w:pPr>
      <w:r>
        <w:rPr>
          <w:rFonts w:ascii="Times New Roman" w:cs="Times New Roman" w:eastAsia="Times New Roman" w:hAnsi="Times New Roman"/>
          <w:sz w:val="18"/>
          <w:szCs w:val="18"/>
          <w:color w:val="auto"/>
        </w:rPr>
        <w:t>The Company’s policy is to recognize interest and penalties related to income tax matters in income tax expense. As of December 31, 2012 and 2011, the Company had approximately $148 and $196, respectively, of interest and penalties recorded.</w:t>
      </w:r>
    </w:p>
    <w:p>
      <w:pPr>
        <w:spacing w:after="0" w:line="120" w:lineRule="exact"/>
        <w:rPr>
          <w:sz w:val="20"/>
          <w:szCs w:val="20"/>
          <w:color w:val="auto"/>
        </w:rPr>
      </w:pPr>
    </w:p>
    <w:p>
      <w:pPr>
        <w:ind w:right="20" w:firstLine="456"/>
        <w:spacing w:after="0" w:line="258" w:lineRule="auto"/>
        <w:rPr>
          <w:sz w:val="20"/>
          <w:szCs w:val="20"/>
          <w:color w:val="auto"/>
        </w:rPr>
      </w:pPr>
      <w:r>
        <w:rPr>
          <w:rFonts w:ascii="Times New Roman" w:cs="Times New Roman" w:eastAsia="Times New Roman" w:hAnsi="Times New Roman"/>
          <w:sz w:val="18"/>
          <w:szCs w:val="18"/>
          <w:color w:val="auto"/>
        </w:rPr>
        <w:t>The Company files income tax returns at the U.S. federal level and in various state and foreign jurisdictions. U.S. federal income tax years prior to 2011 are closed and no longer subject to examination. With few exceptions, the statute of limitations in state taxing jurisdictions in which the Company operates has expired for all years prior to 2008. In foreign jurisdictions in which the Company operates, years prior to 2010 are closed and are no longer subject to examination.</w:t>
      </w:r>
    </w:p>
    <w:p>
      <w:pPr>
        <w:spacing w:after="0" w:line="13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Company’s deferred tax assets (liabilities) at December 31, 2012 and 2011 are as follows: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92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2012</w:t>
            </w:r>
          </w:p>
        </w:tc>
        <w:tc>
          <w:tcPr>
            <w:tcW w:w="20" w:type="dxa"/>
            <w:vAlign w:val="bottom"/>
            <w:tcBorders>
              <w:bottom w:val="single" w:sz="8" w:color="CCEEFF"/>
            </w:tcBorders>
          </w:tcPr>
          <w:p>
            <w:pPr>
              <w:spacing w:after="0"/>
              <w:rPr>
                <w:sz w:val="14"/>
                <w:szCs w:val="14"/>
                <w:color w:val="auto"/>
              </w:rPr>
            </w:pPr>
          </w:p>
        </w:tc>
        <w:tc>
          <w:tcPr>
            <w:tcW w:w="340" w:type="dxa"/>
            <w:vAlign w:val="bottom"/>
            <w:tcBorders>
              <w:bottom w:val="single" w:sz="8" w:color="CCEEFF"/>
            </w:tcBorders>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2011</w:t>
            </w:r>
          </w:p>
        </w:tc>
        <w:tc>
          <w:tcPr>
            <w:tcW w:w="100" w:type="dxa"/>
            <w:vAlign w:val="bottom"/>
            <w:tcBorders>
              <w:bottom w:val="single" w:sz="8" w:color="CCEEFF"/>
            </w:tcBorders>
          </w:tcPr>
          <w:p>
            <w:pPr>
              <w:spacing w:after="0"/>
              <w:rPr>
                <w:sz w:val="14"/>
                <w:szCs w:val="14"/>
                <w:color w:val="auto"/>
              </w:rPr>
            </w:pPr>
          </w:p>
        </w:tc>
      </w:tr>
      <w:tr>
        <w:trPr>
          <w:trHeight w:val="196"/>
        </w:trPr>
        <w:tc>
          <w:tcPr>
            <w:tcW w:w="920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Deferred tax assets:</w:t>
            </w: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92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Accrued liabilities</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9,785</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8,177</w:t>
            </w:r>
          </w:p>
        </w:tc>
      </w:tr>
      <w:tr>
        <w:trPr>
          <w:trHeight w:val="216"/>
        </w:trPr>
        <w:tc>
          <w:tcPr>
            <w:tcW w:w="92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Tax credit carryforwards</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2,366</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391</w:t>
            </w:r>
          </w:p>
        </w:tc>
      </w:tr>
      <w:tr>
        <w:trPr>
          <w:trHeight w:val="216"/>
        </w:trPr>
        <w:tc>
          <w:tcPr>
            <w:tcW w:w="92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Foreign NOLs</w:t>
            </w: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2,632</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2,632</w:t>
            </w:r>
          </w:p>
        </w:tc>
      </w:tr>
      <w:tr>
        <w:trPr>
          <w:trHeight w:val="216"/>
        </w:trPr>
        <w:tc>
          <w:tcPr>
            <w:tcW w:w="92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State NOLs</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2,719</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1,285</w:t>
            </w:r>
          </w:p>
        </w:tc>
      </w:tr>
      <w:tr>
        <w:trPr>
          <w:trHeight w:val="216"/>
        </w:trPr>
        <w:tc>
          <w:tcPr>
            <w:tcW w:w="92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Investment in Yankee Environmental Services</w:t>
            </w: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92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Fuel hedges</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92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Valuation allowance</w:t>
            </w:r>
          </w:p>
        </w:tc>
        <w:tc>
          <w:tcPr>
            <w:tcW w:w="80" w:type="dxa"/>
            <w:vAlign w:val="bottom"/>
          </w:tcPr>
          <w:p>
            <w:pPr>
              <w:spacing w:after="0"/>
              <w:rPr>
                <w:sz w:val="19"/>
                <w:szCs w:val="19"/>
                <w:color w:val="auto"/>
              </w:rPr>
            </w:pPr>
          </w:p>
        </w:tc>
        <w:tc>
          <w:tcPr>
            <w:tcW w:w="100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(3,352)</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(3,124)</w:t>
            </w:r>
          </w:p>
        </w:tc>
      </w:tr>
      <w:tr>
        <w:trPr>
          <w:trHeight w:val="216"/>
        </w:trPr>
        <w:tc>
          <w:tcPr>
            <w:tcW w:w="920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Total deferred tax assets</w:t>
            </w: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14,662</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9,361</w:t>
            </w:r>
          </w:p>
        </w:tc>
        <w:tc>
          <w:tcPr>
            <w:tcW w:w="100" w:type="dxa"/>
            <w:vAlign w:val="bottom"/>
            <w:shd w:val="clear" w:color="auto" w:fill="CCEEFF"/>
          </w:tcPr>
          <w:p>
            <w:pPr>
              <w:spacing w:after="0"/>
              <w:rPr>
                <w:sz w:val="18"/>
                <w:szCs w:val="18"/>
                <w:color w:val="auto"/>
              </w:rPr>
            </w:pPr>
          </w:p>
        </w:tc>
      </w:tr>
      <w:tr>
        <w:trPr>
          <w:trHeight w:val="222"/>
        </w:trPr>
        <w:tc>
          <w:tcPr>
            <w:tcW w:w="920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7"/>
        </w:trPr>
        <w:tc>
          <w:tcPr>
            <w:tcW w:w="92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8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w w:val="96"/>
              </w:rPr>
              <w:t>(113,969)</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6"/>
              </w:rPr>
              <w:t>(106,671)</w:t>
            </w:r>
          </w:p>
        </w:tc>
      </w:tr>
      <w:tr>
        <w:trPr>
          <w:trHeight w:val="216"/>
        </w:trPr>
        <w:tc>
          <w:tcPr>
            <w:tcW w:w="92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Other liabilities</w:t>
            </w:r>
          </w:p>
        </w:tc>
        <w:tc>
          <w:tcPr>
            <w:tcW w:w="80" w:type="dxa"/>
            <w:vAlign w:val="bottom"/>
          </w:tcPr>
          <w:p>
            <w:pPr>
              <w:spacing w:after="0"/>
              <w:rPr>
                <w:sz w:val="18"/>
                <w:szCs w:val="18"/>
                <w:color w:val="auto"/>
              </w:rPr>
            </w:pPr>
          </w:p>
        </w:tc>
        <w:tc>
          <w:tcPr>
            <w:tcW w:w="100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(1,975)</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2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Investment in NASDI, LLC and Yankee Environmental Services</w:t>
            </w:r>
          </w:p>
        </w:tc>
        <w:tc>
          <w:tcPr>
            <w:tcW w:w="8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(942)</w:t>
            </w:r>
          </w:p>
        </w:tc>
      </w:tr>
      <w:tr>
        <w:trPr>
          <w:trHeight w:val="216"/>
        </w:trPr>
        <w:tc>
          <w:tcPr>
            <w:tcW w:w="92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Fuel hedges</w:t>
            </w: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(179)</w:t>
            </w:r>
          </w:p>
        </w:tc>
      </w:tr>
      <w:tr>
        <w:trPr>
          <w:trHeight w:val="27"/>
        </w:trPr>
        <w:tc>
          <w:tcPr>
            <w:tcW w:w="9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920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8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w w:val="96"/>
              </w:rPr>
              <w:t>(115,944)</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6"/>
              </w:rPr>
              <w:t>(107,792)</w:t>
            </w:r>
          </w:p>
        </w:tc>
      </w:tr>
      <w:tr>
        <w:trPr>
          <w:trHeight w:val="223"/>
        </w:trPr>
        <w:tc>
          <w:tcPr>
            <w:tcW w:w="9200" w:type="dxa"/>
            <w:vAlign w:val="bottom"/>
          </w:tcPr>
          <w:p>
            <w:pPr>
              <w:spacing w:after="0"/>
              <w:rPr>
                <w:sz w:val="20"/>
                <w:szCs w:val="20"/>
                <w:color w:val="auto"/>
              </w:rPr>
            </w:pPr>
            <w:r>
              <w:rPr>
                <w:rFonts w:ascii="Times New Roman" w:cs="Times New Roman" w:eastAsia="Times New Roman" w:hAnsi="Times New Roman"/>
                <w:sz w:val="18"/>
                <w:szCs w:val="18"/>
                <w:color w:val="auto"/>
              </w:rPr>
              <w:t>Net deferred tax liabilities</w:t>
            </w: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u w:val="single" w:color="auto"/>
                <w:color w:val="auto"/>
                <w:w w:val="74"/>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(101,282</w:t>
            </w:r>
          </w:p>
        </w:tc>
        <w:tc>
          <w:tcPr>
            <w:tcW w:w="36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w w:val="74"/>
              </w:rPr>
              <w:t>)</w:t>
            </w:r>
          </w:p>
        </w:tc>
        <w:tc>
          <w:tcPr>
            <w:tcW w:w="3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(98,431)</w:t>
            </w:r>
          </w:p>
        </w:tc>
        <w:tc>
          <w:tcPr>
            <w:tcW w:w="100" w:type="dxa"/>
            <w:vAlign w:val="bottom"/>
          </w:tcPr>
          <w:p>
            <w:pPr>
              <w:spacing w:after="0"/>
              <w:rPr>
                <w:sz w:val="19"/>
                <w:szCs w:val="19"/>
                <w:color w:val="auto"/>
              </w:rPr>
            </w:pPr>
          </w:p>
        </w:tc>
      </w:tr>
      <w:tr>
        <w:trPr>
          <w:trHeight w:val="20"/>
        </w:trPr>
        <w:tc>
          <w:tcPr>
            <w:tcW w:w="9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1"/>
        </w:trPr>
        <w:tc>
          <w:tcPr>
            <w:tcW w:w="9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 reported in the balance sheet:</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92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Net current deferred tax assets (included in other current assets)</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5,485</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5,921</w:t>
            </w:r>
          </w:p>
        </w:tc>
      </w:tr>
      <w:tr>
        <w:trPr>
          <w:trHeight w:val="216"/>
        </w:trPr>
        <w:tc>
          <w:tcPr>
            <w:tcW w:w="92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Net noncurrent deferred tax liabilities</w:t>
            </w:r>
          </w:p>
        </w:tc>
        <w:tc>
          <w:tcPr>
            <w:tcW w:w="8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w w:val="96"/>
              </w:rPr>
              <w:t>(106,767)</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6"/>
              </w:rPr>
              <w:t>(104,352)</w:t>
            </w:r>
          </w:p>
        </w:tc>
      </w:tr>
      <w:tr>
        <w:trPr>
          <w:trHeight w:val="223"/>
        </w:trPr>
        <w:tc>
          <w:tcPr>
            <w:tcW w:w="9200" w:type="dxa"/>
            <w:vAlign w:val="bottom"/>
          </w:tcPr>
          <w:p>
            <w:pPr>
              <w:spacing w:after="0"/>
              <w:rPr>
                <w:sz w:val="20"/>
                <w:szCs w:val="20"/>
                <w:color w:val="auto"/>
              </w:rPr>
            </w:pPr>
            <w:r>
              <w:rPr>
                <w:rFonts w:ascii="Times New Roman" w:cs="Times New Roman" w:eastAsia="Times New Roman" w:hAnsi="Times New Roman"/>
                <w:sz w:val="18"/>
                <w:szCs w:val="18"/>
                <w:color w:val="auto"/>
              </w:rPr>
              <w:t>Net deferred tax liabilities</w:t>
            </w: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u w:val="single" w:color="auto"/>
                <w:color w:val="auto"/>
                <w:w w:val="74"/>
              </w:rPr>
              <w:t>$</w:t>
            </w: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(101,282</w:t>
            </w:r>
          </w:p>
        </w:tc>
        <w:tc>
          <w:tcPr>
            <w:tcW w:w="36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w w:val="74"/>
              </w:rPr>
              <w:t>)</w:t>
            </w:r>
          </w:p>
        </w:tc>
        <w:tc>
          <w:tcPr>
            <w:tcW w:w="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(98,431)</w:t>
            </w:r>
          </w:p>
        </w:tc>
        <w:tc>
          <w:tcPr>
            <w:tcW w:w="100" w:type="dxa"/>
            <w:vAlign w:val="bottom"/>
          </w:tcPr>
          <w:p>
            <w:pPr>
              <w:spacing w:after="0"/>
              <w:rPr>
                <w:sz w:val="19"/>
                <w:szCs w:val="19"/>
                <w:color w:val="auto"/>
              </w:rPr>
            </w:pPr>
          </w:p>
        </w:tc>
      </w:tr>
      <w:tr>
        <w:trPr>
          <w:trHeight w:val="20"/>
        </w:trPr>
        <w:tc>
          <w:tcPr>
            <w:tcW w:w="9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1" w:lineRule="exact"/>
        <w:rPr>
          <w:sz w:val="20"/>
          <w:szCs w:val="20"/>
          <w:color w:val="auto"/>
        </w:rPr>
      </w:pPr>
    </w:p>
    <w:p>
      <w:pPr>
        <w:ind w:right="100" w:firstLine="456"/>
        <w:spacing w:after="0" w:line="258" w:lineRule="auto"/>
        <w:rPr>
          <w:sz w:val="20"/>
          <w:szCs w:val="20"/>
          <w:color w:val="auto"/>
        </w:rPr>
      </w:pPr>
      <w:r>
        <w:rPr>
          <w:rFonts w:ascii="Times New Roman" w:cs="Times New Roman" w:eastAsia="Times New Roman" w:hAnsi="Times New Roman"/>
          <w:sz w:val="18"/>
          <w:szCs w:val="18"/>
          <w:color w:val="auto"/>
        </w:rPr>
        <w:t>Deferred tax assets relate primarily to reserves and other liabilities for costs and expenses not currently deductible for tax purposes. Deferred tax liabilities relate primarily to the cumulative difference between book depreciation and amounts deducted for tax purposes. With the exception of certain state and foreign net operating loss carryforwards, a valuation allowance has not been recorded to reduce the balance of deferred tax assets at either December 31, 2012, or December 31, 2011, because the Company believes that it is more likely than not that the deferred income tax assets will ultimately be realized.</w:t>
      </w:r>
    </w:p>
    <w:p>
      <w:pPr>
        <w:spacing w:after="0" w:line="256" w:lineRule="exact"/>
        <w:rPr>
          <w:sz w:val="20"/>
          <w:szCs w:val="20"/>
          <w:color w:val="auto"/>
        </w:rPr>
      </w:pPr>
    </w:p>
    <w:p>
      <w:pPr>
        <w:ind w:left="900" w:hanging="446"/>
        <w:spacing w:after="0"/>
        <w:tabs>
          <w:tab w:leader="none" w:pos="900" w:val="left"/>
        </w:tabs>
        <w:numPr>
          <w:ilvl w:val="0"/>
          <w:numId w:val="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SHARE-BASED COMPENSATION</w:t>
      </w:r>
    </w:p>
    <w:p>
      <w:pPr>
        <w:spacing w:after="0" w:line="92" w:lineRule="exact"/>
        <w:rPr>
          <w:sz w:val="20"/>
          <w:szCs w:val="20"/>
          <w:color w:val="auto"/>
        </w:rPr>
      </w:pPr>
    </w:p>
    <w:p>
      <w:pPr>
        <w:ind w:right="160" w:firstLine="456"/>
        <w:spacing w:after="0" w:line="275" w:lineRule="auto"/>
        <w:rPr>
          <w:sz w:val="20"/>
          <w:szCs w:val="20"/>
          <w:color w:val="auto"/>
        </w:rPr>
      </w:pPr>
      <w:r>
        <w:rPr>
          <w:rFonts w:ascii="Times New Roman" w:cs="Times New Roman" w:eastAsia="Times New Roman" w:hAnsi="Times New Roman"/>
          <w:sz w:val="18"/>
          <w:szCs w:val="18"/>
          <w:color w:val="auto"/>
        </w:rPr>
        <w:t>The Company’s 2007 Long-Term Incentive Plan permits the granting of stock options, stock appreciation rights, restricted stock and restricted stock units to its employees and directors for up to 5,800 shares of common stock.</w:t>
      </w:r>
    </w:p>
    <w:p>
      <w:pPr>
        <w:spacing w:after="0" w:line="120" w:lineRule="exact"/>
        <w:rPr>
          <w:sz w:val="20"/>
          <w:szCs w:val="20"/>
          <w:color w:val="auto"/>
        </w:rPr>
      </w:pPr>
    </w:p>
    <w:p>
      <w:pPr>
        <w:ind w:right="980" w:firstLine="456"/>
        <w:spacing w:after="0" w:line="275" w:lineRule="auto"/>
        <w:rPr>
          <w:sz w:val="20"/>
          <w:szCs w:val="20"/>
          <w:color w:val="auto"/>
        </w:rPr>
      </w:pPr>
      <w:r>
        <w:rPr>
          <w:rFonts w:ascii="Times New Roman" w:cs="Times New Roman" w:eastAsia="Times New Roman" w:hAnsi="Times New Roman"/>
          <w:sz w:val="18"/>
          <w:szCs w:val="18"/>
          <w:color w:val="auto"/>
        </w:rPr>
        <w:t>Compensation cost charged to expense related to share-based compensation arrangements was $3,081, $1,838 and $2,094, for the years ended December 31, 2012, 2011 and 2010, respectively.</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ectPr>
          <w:pgSz w:w="11900" w:h="16838" w:orient="portrait"/>
          <w:cols w:equalWidth="0" w:num="1">
            <w:col w:w="11420"/>
          </w:cols>
          <w:pgMar w:left="240" w:top="455" w:right="239" w:bottom="1440" w:gutter="0" w:footer="0" w:header="0"/>
        </w:sectPr>
      </w:pPr>
    </w:p>
    <w:bookmarkStart w:id="82" w:name="page83"/>
    <w:bookmarkEnd w:id="8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Non-qualified stock options</w:t>
      </w:r>
    </w:p>
    <w:p>
      <w:pPr>
        <w:spacing w:after="0" w:line="92" w:lineRule="exact"/>
        <w:rPr>
          <w:sz w:val="20"/>
          <w:szCs w:val="20"/>
          <w:color w:val="auto"/>
        </w:rPr>
      </w:pPr>
    </w:p>
    <w:p>
      <w:pPr>
        <w:ind w:right="140" w:firstLine="456"/>
        <w:spacing w:after="0" w:line="275" w:lineRule="auto"/>
        <w:rPr>
          <w:sz w:val="20"/>
          <w:szCs w:val="20"/>
          <w:color w:val="auto"/>
        </w:rPr>
      </w:pPr>
      <w:r>
        <w:rPr>
          <w:rFonts w:ascii="Times New Roman" w:cs="Times New Roman" w:eastAsia="Times New Roman" w:hAnsi="Times New Roman"/>
          <w:sz w:val="18"/>
          <w:szCs w:val="18"/>
          <w:color w:val="auto"/>
        </w:rPr>
        <w:t>The NQSO awards were granted with an exercise price equal to the market price of the Company’s common stock at the date of grant. The option awards generally vest in three equal annual installments commencing on the first anniversary of the grant date, and have ten year exercise periods.</w:t>
      </w:r>
    </w:p>
    <w:p>
      <w:pPr>
        <w:spacing w:after="0" w:line="120" w:lineRule="exact"/>
        <w:rPr>
          <w:sz w:val="20"/>
          <w:szCs w:val="20"/>
          <w:color w:val="auto"/>
        </w:rPr>
      </w:pPr>
    </w:p>
    <w:p>
      <w:pPr>
        <w:ind w:right="120" w:firstLine="456"/>
        <w:spacing w:after="0" w:line="256" w:lineRule="auto"/>
        <w:rPr>
          <w:sz w:val="20"/>
          <w:szCs w:val="20"/>
          <w:color w:val="auto"/>
        </w:rPr>
      </w:pPr>
      <w:r>
        <w:rPr>
          <w:rFonts w:ascii="Times New Roman" w:cs="Times New Roman" w:eastAsia="Times New Roman" w:hAnsi="Times New Roman"/>
          <w:sz w:val="18"/>
          <w:szCs w:val="18"/>
          <w:color w:val="auto"/>
        </w:rPr>
        <w:t>The fair value of the NQSOs was determined at the grant date using a Black-Scholes option pricing model, which requires the Company to make several assumptions. The risk-free interest rate is based on the U.S. Treasury yield curve in effect for the expected term of the option at the time of grant. The annual dividend yield on the Company’s common stock is based on estimates of future dividends during the expected term of the NQSOs. The expected life of the NQSOs was determined based upon a simplified assumption that the NQSOs will be exercised evenly from vesting to expiration, as the Company does not have sufficient historical exercise data to provide a reasonable basis upon which to estimate the expected life.</w:t>
      </w:r>
    </w:p>
    <w:p>
      <w:pPr>
        <w:spacing w:after="0" w:line="139" w:lineRule="exact"/>
        <w:rPr>
          <w:sz w:val="20"/>
          <w:szCs w:val="20"/>
          <w:color w:val="auto"/>
        </w:rPr>
      </w:pPr>
    </w:p>
    <w:p>
      <w:pPr>
        <w:ind w:right="340" w:firstLine="456"/>
        <w:spacing w:after="0" w:line="275" w:lineRule="auto"/>
        <w:rPr>
          <w:sz w:val="20"/>
          <w:szCs w:val="20"/>
          <w:color w:val="auto"/>
        </w:rPr>
      </w:pPr>
      <w:r>
        <w:rPr>
          <w:rFonts w:ascii="Times New Roman" w:cs="Times New Roman" w:eastAsia="Times New Roman" w:hAnsi="Times New Roman"/>
          <w:sz w:val="18"/>
          <w:szCs w:val="18"/>
          <w:color w:val="auto"/>
        </w:rPr>
        <w:t>For grants issued in 2012, 2011 and 2010, the volatility assumptions were based on historical volatility of Great Lakes and comparable publicly-traded companies, primarily more mature and well-established companies in the engineering and construction sector.</w:t>
      </w:r>
    </w:p>
    <w:p>
      <w:pPr>
        <w:spacing w:after="0" w:line="12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There is not an active market for options on the Company’s common stock and, as such, implied volatility for the Company’s stock was not considered.</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Additionally, the Company’s general policy is to issue new shares of registered common stock to satisfy stock option exercises or grants of restricted stock.</w:t>
      </w:r>
    </w:p>
    <w:p>
      <w:pPr>
        <w:spacing w:after="0" w:line="159" w:lineRule="exact"/>
        <w:rPr>
          <w:sz w:val="20"/>
          <w:szCs w:val="20"/>
          <w:color w:val="auto"/>
        </w:rPr>
      </w:pPr>
    </w:p>
    <w:p>
      <w:pPr>
        <w:ind w:right="400" w:firstLine="456"/>
        <w:spacing w:after="0" w:line="275" w:lineRule="auto"/>
        <w:rPr>
          <w:sz w:val="20"/>
          <w:szCs w:val="20"/>
          <w:color w:val="auto"/>
        </w:rPr>
      </w:pPr>
      <w:r>
        <w:rPr>
          <w:rFonts w:ascii="Times New Roman" w:cs="Times New Roman" w:eastAsia="Times New Roman" w:hAnsi="Times New Roman"/>
          <w:sz w:val="18"/>
          <w:szCs w:val="18"/>
          <w:color w:val="auto"/>
        </w:rPr>
        <w:t>The weighted-average grant-date fair value of options granted during the years ended December 31, 2012, 2011 and 2010 was $2.93, $2.23 and $2.52 respectively. The fair value of each option was estimated using the following assumptions:</w:t>
      </w:r>
    </w:p>
    <w:p>
      <w:pPr>
        <w:spacing w:after="0" w:line="158" w:lineRule="exact"/>
        <w:rPr>
          <w:sz w:val="20"/>
          <w:szCs w:val="20"/>
          <w:color w:val="auto"/>
        </w:rPr>
      </w:pPr>
    </w:p>
    <w:tbl>
      <w:tblPr>
        <w:tblLayout w:type="fixed"/>
        <w:tblInd w:w="920" w:type="dxa"/>
        <w:tblCellMar>
          <w:top w:w="0" w:type="dxa"/>
          <w:left w:w="0" w:type="dxa"/>
          <w:bottom w:w="0" w:type="dxa"/>
          <w:right w:w="0" w:type="dxa"/>
        </w:tblCellMar>
      </w:tblPr>
      <w:tr>
        <w:trPr>
          <w:trHeight w:val="165"/>
        </w:trPr>
        <w:tc>
          <w:tcPr>
            <w:tcW w:w="5700" w:type="dxa"/>
            <w:vAlign w:val="bottom"/>
            <w:tcBorders>
              <w:bottom w:val="single" w:sz="8" w:color="CCEEFF"/>
            </w:tcBorders>
          </w:tcPr>
          <w:p>
            <w:pPr>
              <w:spacing w:after="0"/>
              <w:rPr>
                <w:sz w:val="14"/>
                <w:szCs w:val="14"/>
                <w:color w:val="auto"/>
              </w:rPr>
            </w:pPr>
          </w:p>
        </w:tc>
        <w:tc>
          <w:tcPr>
            <w:tcW w:w="5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2012</w:t>
            </w:r>
          </w:p>
        </w:tc>
        <w:tc>
          <w:tcPr>
            <w:tcW w:w="240" w:type="dxa"/>
            <w:vAlign w:val="bottom"/>
            <w:tcBorders>
              <w:bottom w:val="single" w:sz="8" w:color="auto"/>
            </w:tcBorders>
          </w:tcPr>
          <w:p>
            <w:pPr>
              <w:spacing w:after="0"/>
              <w:rPr>
                <w:sz w:val="14"/>
                <w:szCs w:val="14"/>
                <w:color w:val="auto"/>
              </w:rPr>
            </w:pPr>
          </w:p>
        </w:tc>
        <w:tc>
          <w:tcPr>
            <w:tcW w:w="66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gridSpan w:val="2"/>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2011</w:t>
            </w:r>
          </w:p>
        </w:tc>
        <w:tc>
          <w:tcPr>
            <w:tcW w:w="640" w:type="dxa"/>
            <w:vAlign w:val="bottom"/>
            <w:tcBorders>
              <w:bottom w:val="single" w:sz="8" w:color="CCEEFF"/>
            </w:tcBorders>
          </w:tcPr>
          <w:p>
            <w:pPr>
              <w:spacing w:after="0"/>
              <w:rPr>
                <w:sz w:val="14"/>
                <w:szCs w:val="14"/>
                <w:color w:val="auto"/>
              </w:rPr>
            </w:pPr>
          </w:p>
        </w:tc>
        <w:tc>
          <w:tcPr>
            <w:tcW w:w="5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2010</w:t>
            </w:r>
          </w:p>
        </w:tc>
        <w:tc>
          <w:tcPr>
            <w:tcW w:w="240" w:type="dxa"/>
            <w:vAlign w:val="bottom"/>
            <w:tcBorders>
              <w:bottom w:val="single" w:sz="8" w:color="auto"/>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r>
      <w:tr>
        <w:trPr>
          <w:trHeight w:val="210"/>
        </w:trPr>
        <w:tc>
          <w:tcPr>
            <w:tcW w:w="5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44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55.0%</w:t>
            </w:r>
          </w:p>
        </w:tc>
        <w:tc>
          <w:tcPr>
            <w:tcW w:w="4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w w:val="98"/>
              </w:rPr>
              <w:t>50.0%</w:t>
            </w:r>
          </w:p>
        </w:tc>
        <w:tc>
          <w:tcPr>
            <w:tcW w:w="46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8"/>
              </w:rPr>
              <w:t>50.0%</w:t>
            </w:r>
          </w:p>
        </w:tc>
      </w:tr>
      <w:tr>
        <w:trPr>
          <w:trHeight w:val="216"/>
        </w:trPr>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Expected dividends</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1.3%</w:t>
            </w:r>
          </w:p>
        </w:tc>
        <w:tc>
          <w:tcPr>
            <w:tcW w:w="460" w:type="dxa"/>
            <w:vAlign w:val="bottom"/>
          </w:tcPr>
          <w:p>
            <w:pPr>
              <w:spacing w:after="0"/>
              <w:rPr>
                <w:sz w:val="18"/>
                <w:szCs w:val="18"/>
                <w:color w:val="auto"/>
              </w:rPr>
            </w:pPr>
          </w:p>
        </w:tc>
        <w:tc>
          <w:tcPr>
            <w:tcW w:w="98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1.6%</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5"/>
              </w:rPr>
              <w:t>1.2%</w:t>
            </w:r>
          </w:p>
        </w:tc>
      </w:tr>
      <w:tr>
        <w:trPr>
          <w:trHeight w:val="216"/>
        </w:trPr>
        <w:tc>
          <w:tcPr>
            <w:tcW w:w="5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term (in years)</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90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w w:val="97"/>
              </w:rPr>
              <w:t>6.5</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98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w w:val="96"/>
              </w:rPr>
              <w:t>- 6.5</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6.5</w:t>
            </w:r>
          </w:p>
        </w:tc>
        <w:tc>
          <w:tcPr>
            <w:tcW w:w="200" w:type="dxa"/>
            <w:vAlign w:val="bottom"/>
            <w:shd w:val="clear" w:color="auto" w:fill="CCEEFF"/>
          </w:tcPr>
          <w:p>
            <w:pPr>
              <w:spacing w:after="0"/>
              <w:rPr>
                <w:sz w:val="18"/>
                <w:szCs w:val="18"/>
                <w:color w:val="auto"/>
              </w:rPr>
            </w:pPr>
          </w:p>
        </w:tc>
      </w:tr>
      <w:tr>
        <w:trPr>
          <w:trHeight w:val="228"/>
        </w:trPr>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Risk free rate</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90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1.0%</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98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w w:val="95"/>
              </w:rPr>
              <w:t>- 2.2%</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4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5"/>
              </w:rPr>
              <w:t>2.8%</w:t>
            </w:r>
          </w:p>
        </w:tc>
      </w:tr>
    </w:tbl>
    <w:p>
      <w:pPr>
        <w:spacing w:after="0" w:line="135" w:lineRule="exact"/>
        <w:rPr>
          <w:sz w:val="20"/>
          <w:szCs w:val="20"/>
          <w:color w:val="auto"/>
        </w:rPr>
      </w:pPr>
    </w:p>
    <w:p>
      <w:pPr>
        <w:ind w:firstLine="456"/>
        <w:spacing w:after="0" w:line="275" w:lineRule="auto"/>
        <w:rPr>
          <w:sz w:val="20"/>
          <w:szCs w:val="20"/>
          <w:color w:val="auto"/>
        </w:rPr>
      </w:pPr>
      <w:r>
        <w:rPr>
          <w:rFonts w:ascii="Times New Roman" w:cs="Times New Roman" w:eastAsia="Times New Roman" w:hAnsi="Times New Roman"/>
          <w:sz w:val="18"/>
          <w:szCs w:val="18"/>
          <w:color w:val="auto"/>
        </w:rPr>
        <w:t>A summary of stock option activity under the Incentive Plan as of December 31, 2012, and changes during the year ended December 31, 2012, is presented below:</w:t>
      </w:r>
    </w:p>
    <w:p>
      <w:pPr>
        <w:spacing w:after="0" w:line="14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80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80" w:type="dxa"/>
            <w:vAlign w:val="bottom"/>
            <w:gridSpan w:val="2"/>
          </w:tcPr>
          <w:p>
            <w:pPr>
              <w:jc w:val="center"/>
              <w:ind w:right="640"/>
              <w:spacing w:after="0"/>
              <w:rPr>
                <w:sz w:val="20"/>
                <w:szCs w:val="20"/>
                <w:color w:val="auto"/>
              </w:rPr>
            </w:pPr>
            <w:r>
              <w:rPr>
                <w:rFonts w:ascii="Times New Roman" w:cs="Times New Roman" w:eastAsia="Times New Roman" w:hAnsi="Times New Roman"/>
                <w:sz w:val="14"/>
                <w:szCs w:val="14"/>
                <w:b w:val="1"/>
                <w:bCs w:val="1"/>
                <w:color w:val="auto"/>
                <w:w w:val="96"/>
              </w:rPr>
              <w:t>Weighted-</w:t>
            </w:r>
          </w:p>
        </w:tc>
        <w:tc>
          <w:tcPr>
            <w:tcW w:w="1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18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1280" w:type="dxa"/>
            <w:vAlign w:val="bottom"/>
            <w:gridSpan w:val="2"/>
          </w:tcPr>
          <w:p>
            <w:pPr>
              <w:jc w:val="center"/>
              <w:ind w:right="640"/>
              <w:spacing w:after="0" w:line="149" w:lineRule="exact"/>
              <w:rPr>
                <w:sz w:val="20"/>
                <w:szCs w:val="20"/>
                <w:color w:val="auto"/>
              </w:rPr>
            </w:pPr>
            <w:r>
              <w:rPr>
                <w:rFonts w:ascii="Times New Roman" w:cs="Times New Roman" w:eastAsia="Times New Roman" w:hAnsi="Times New Roman"/>
                <w:sz w:val="14"/>
                <w:szCs w:val="14"/>
                <w:b w:val="1"/>
                <w:bCs w:val="1"/>
                <w:color w:val="auto"/>
                <w:w w:val="96"/>
              </w:rPr>
              <w:t>Average</w:t>
            </w:r>
          </w:p>
        </w:tc>
        <w:tc>
          <w:tcPr>
            <w:tcW w:w="64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180" w:type="dxa"/>
            <w:vAlign w:val="bottom"/>
            <w:gridSpan w:val="3"/>
          </w:tcPr>
          <w:p>
            <w:pPr>
              <w:jc w:val="center"/>
              <w:ind w:right="640"/>
              <w:spacing w:after="0" w:line="149" w:lineRule="exact"/>
              <w:rPr>
                <w:sz w:val="20"/>
                <w:szCs w:val="20"/>
                <w:color w:val="auto"/>
              </w:rPr>
            </w:pPr>
            <w:r>
              <w:rPr>
                <w:rFonts w:ascii="Times New Roman" w:cs="Times New Roman" w:eastAsia="Times New Roman" w:hAnsi="Times New Roman"/>
                <w:sz w:val="14"/>
                <w:szCs w:val="14"/>
                <w:b w:val="1"/>
                <w:bCs w:val="1"/>
                <w:color w:val="auto"/>
                <w:w w:val="92"/>
              </w:rPr>
              <w:t>Average</w:t>
            </w:r>
          </w:p>
        </w:tc>
        <w:tc>
          <w:tcPr>
            <w:tcW w:w="1280" w:type="dxa"/>
            <w:vAlign w:val="bottom"/>
            <w:gridSpan w:val="2"/>
          </w:tcPr>
          <w:p>
            <w:pPr>
              <w:jc w:val="center"/>
              <w:ind w:right="640"/>
              <w:spacing w:after="0" w:line="149" w:lineRule="exact"/>
              <w:rPr>
                <w:sz w:val="20"/>
                <w:szCs w:val="20"/>
                <w:color w:val="auto"/>
              </w:rPr>
            </w:pPr>
            <w:r>
              <w:rPr>
                <w:rFonts w:ascii="Times New Roman" w:cs="Times New Roman" w:eastAsia="Times New Roman" w:hAnsi="Times New Roman"/>
                <w:sz w:val="14"/>
                <w:szCs w:val="14"/>
                <w:b w:val="1"/>
                <w:bCs w:val="1"/>
                <w:color w:val="auto"/>
                <w:w w:val="97"/>
              </w:rPr>
              <w:t>Remaining</w:t>
            </w:r>
          </w:p>
        </w:tc>
        <w:tc>
          <w:tcPr>
            <w:tcW w:w="640" w:type="dxa"/>
            <w:vAlign w:val="bottom"/>
            <w:gridSpan w:val="3"/>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49"/>
        </w:trPr>
        <w:tc>
          <w:tcPr>
            <w:tcW w:w="430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20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180" w:type="dxa"/>
            <w:vAlign w:val="bottom"/>
            <w:gridSpan w:val="3"/>
          </w:tcPr>
          <w:p>
            <w:pPr>
              <w:jc w:val="center"/>
              <w:ind w:right="640"/>
              <w:spacing w:after="0" w:line="149" w:lineRule="exact"/>
              <w:rPr>
                <w:sz w:val="20"/>
                <w:szCs w:val="20"/>
                <w:color w:val="auto"/>
              </w:rPr>
            </w:pPr>
            <w:r>
              <w:rPr>
                <w:rFonts w:ascii="Times New Roman" w:cs="Times New Roman" w:eastAsia="Times New Roman" w:hAnsi="Times New Roman"/>
                <w:sz w:val="14"/>
                <w:szCs w:val="14"/>
                <w:b w:val="1"/>
                <w:bCs w:val="1"/>
                <w:color w:val="auto"/>
                <w:w w:val="98"/>
              </w:rPr>
              <w:t>Exercise</w:t>
            </w:r>
          </w:p>
        </w:tc>
        <w:tc>
          <w:tcPr>
            <w:tcW w:w="1280" w:type="dxa"/>
            <w:vAlign w:val="bottom"/>
            <w:gridSpan w:val="2"/>
          </w:tcPr>
          <w:p>
            <w:pPr>
              <w:jc w:val="center"/>
              <w:ind w:right="640"/>
              <w:spacing w:after="0" w:line="149" w:lineRule="exact"/>
              <w:rPr>
                <w:sz w:val="20"/>
                <w:szCs w:val="20"/>
                <w:color w:val="auto"/>
              </w:rPr>
            </w:pPr>
            <w:r>
              <w:rPr>
                <w:rFonts w:ascii="Times New Roman" w:cs="Times New Roman" w:eastAsia="Times New Roman" w:hAnsi="Times New Roman"/>
                <w:sz w:val="14"/>
                <w:szCs w:val="14"/>
                <w:b w:val="1"/>
                <w:bCs w:val="1"/>
                <w:color w:val="auto"/>
                <w:w w:val="96"/>
              </w:rPr>
              <w:t>Contract</w:t>
            </w:r>
          </w:p>
        </w:tc>
        <w:tc>
          <w:tcPr>
            <w:tcW w:w="640" w:type="dxa"/>
            <w:vAlign w:val="bottom"/>
            <w:gridSpan w:val="3"/>
          </w:tcPr>
          <w:p>
            <w:pPr>
              <w:ind w:left="120"/>
              <w:spacing w:after="0" w:line="149" w:lineRule="exact"/>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152"/>
        </w:trPr>
        <w:tc>
          <w:tcPr>
            <w:tcW w:w="4300" w:type="dxa"/>
            <w:vAlign w:val="bottom"/>
            <w:gridSpan w:val="3"/>
            <w:vMerge w:val="continue"/>
          </w:tcPr>
          <w:p>
            <w:pPr>
              <w:spacing w:after="0"/>
              <w:rPr>
                <w:sz w:val="13"/>
                <w:szCs w:val="13"/>
                <w:color w:val="auto"/>
              </w:rPr>
            </w:pPr>
          </w:p>
        </w:tc>
        <w:tc>
          <w:tcPr>
            <w:tcW w:w="2060" w:type="dxa"/>
            <w:vAlign w:val="bottom"/>
          </w:tcPr>
          <w:p>
            <w:pPr>
              <w:spacing w:after="0"/>
              <w:rPr>
                <w:sz w:val="13"/>
                <w:szCs w:val="13"/>
                <w:color w:val="auto"/>
              </w:rPr>
            </w:pPr>
          </w:p>
        </w:tc>
        <w:tc>
          <w:tcPr>
            <w:tcW w:w="1040" w:type="dxa"/>
            <w:vAlign w:val="bottom"/>
            <w:gridSpan w:val="2"/>
          </w:tcPr>
          <w:p>
            <w:pPr>
              <w:jc w:val="right"/>
              <w:ind w:right="620"/>
              <w:spacing w:after="0" w:line="152" w:lineRule="exact"/>
              <w:rPr>
                <w:sz w:val="20"/>
                <w:szCs w:val="20"/>
                <w:color w:val="auto"/>
              </w:rPr>
            </w:pPr>
            <w:r>
              <w:rPr>
                <w:rFonts w:ascii="Times New Roman" w:cs="Times New Roman" w:eastAsia="Times New Roman" w:hAnsi="Times New Roman"/>
                <w:sz w:val="14"/>
                <w:szCs w:val="14"/>
                <w:b w:val="1"/>
                <w:bCs w:val="1"/>
                <w:color w:val="auto"/>
                <w:w w:val="98"/>
              </w:rPr>
              <w:t>Shares</w:t>
            </w:r>
          </w:p>
        </w:tc>
        <w:tc>
          <w:tcPr>
            <w:tcW w:w="100" w:type="dxa"/>
            <w:vAlign w:val="bottom"/>
          </w:tcPr>
          <w:p>
            <w:pPr>
              <w:spacing w:after="0"/>
              <w:rPr>
                <w:sz w:val="13"/>
                <w:szCs w:val="13"/>
                <w:color w:val="auto"/>
              </w:rPr>
            </w:pPr>
          </w:p>
        </w:tc>
        <w:tc>
          <w:tcPr>
            <w:tcW w:w="1080" w:type="dxa"/>
            <w:vAlign w:val="bottom"/>
            <w:gridSpan w:val="2"/>
          </w:tcPr>
          <w:p>
            <w:pPr>
              <w:jc w:val="center"/>
              <w:ind w:right="740"/>
              <w:spacing w:after="0" w:line="152" w:lineRule="exact"/>
              <w:rPr>
                <w:sz w:val="20"/>
                <w:szCs w:val="20"/>
                <w:color w:val="auto"/>
              </w:rPr>
            </w:pPr>
            <w:r>
              <w:rPr>
                <w:rFonts w:ascii="Times New Roman" w:cs="Times New Roman" w:eastAsia="Times New Roman" w:hAnsi="Times New Roman"/>
                <w:sz w:val="14"/>
                <w:szCs w:val="14"/>
                <w:b w:val="1"/>
                <w:bCs w:val="1"/>
                <w:color w:val="auto"/>
                <w:w w:val="96"/>
              </w:rPr>
              <w:t>Price</w:t>
            </w:r>
          </w:p>
        </w:tc>
        <w:tc>
          <w:tcPr>
            <w:tcW w:w="1280" w:type="dxa"/>
            <w:vAlign w:val="bottom"/>
            <w:gridSpan w:val="2"/>
          </w:tcPr>
          <w:p>
            <w:pPr>
              <w:jc w:val="center"/>
              <w:ind w:right="640"/>
              <w:spacing w:after="0" w:line="152" w:lineRule="exact"/>
              <w:rPr>
                <w:sz w:val="20"/>
                <w:szCs w:val="20"/>
                <w:color w:val="auto"/>
              </w:rPr>
            </w:pPr>
            <w:r>
              <w:rPr>
                <w:rFonts w:ascii="Times New Roman" w:cs="Times New Roman" w:eastAsia="Times New Roman" w:hAnsi="Times New Roman"/>
                <w:sz w:val="14"/>
                <w:szCs w:val="14"/>
                <w:b w:val="1"/>
                <w:bCs w:val="1"/>
                <w:color w:val="auto"/>
                <w:w w:val="92"/>
              </w:rPr>
              <w:t>Term (yrs)</w:t>
            </w:r>
          </w:p>
        </w:tc>
        <w:tc>
          <w:tcPr>
            <w:tcW w:w="180" w:type="dxa"/>
            <w:vAlign w:val="bottom"/>
          </w:tcPr>
          <w:p>
            <w:pPr>
              <w:ind w:left="60"/>
              <w:spacing w:after="0" w:line="15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460" w:type="dxa"/>
            <w:vAlign w:val="bottom"/>
            <w:gridSpan w:val="2"/>
          </w:tcPr>
          <w:p>
            <w:pPr>
              <w:spacing w:after="0" w:line="152" w:lineRule="exact"/>
              <w:rPr>
                <w:sz w:val="20"/>
                <w:szCs w:val="20"/>
                <w:color w:val="auto"/>
              </w:rPr>
            </w:pPr>
            <w:r>
              <w:rPr>
                <w:rFonts w:ascii="Times New Roman" w:cs="Times New Roman" w:eastAsia="Times New Roman" w:hAnsi="Times New Roman"/>
                <w:sz w:val="14"/>
                <w:szCs w:val="14"/>
                <w:b w:val="1"/>
                <w:bCs w:val="1"/>
                <w:color w:val="auto"/>
              </w:rPr>
              <w:t>000’s)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tcBorders>
              <w:bottom w:val="single" w:sz="8" w:color="CCEEFF"/>
            </w:tcBorders>
            <w:shd w:val="clear" w:color="auto" w:fill="000000"/>
          </w:tcPr>
          <w:p>
            <w:pPr>
              <w:spacing w:after="0" w:line="20" w:lineRule="exact"/>
              <w:rPr>
                <w:sz w:val="1"/>
                <w:szCs w:val="1"/>
                <w:color w:val="auto"/>
              </w:rPr>
            </w:pPr>
          </w:p>
        </w:tc>
        <w:tc>
          <w:tcPr>
            <w:tcW w:w="3800" w:type="dxa"/>
            <w:vAlign w:val="bottom"/>
            <w:tcBorders>
              <w:bottom w:val="single" w:sz="8" w:color="CCEEFF"/>
            </w:tcBorders>
          </w:tcPr>
          <w:p>
            <w:pPr>
              <w:spacing w:after="0" w:line="20" w:lineRule="exact"/>
              <w:rPr>
                <w:sz w:val="1"/>
                <w:szCs w:val="1"/>
                <w:color w:val="auto"/>
              </w:rPr>
            </w:pPr>
          </w:p>
        </w:tc>
        <w:tc>
          <w:tcPr>
            <w:tcW w:w="206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4280" w:type="dxa"/>
            <w:vAlign w:val="bottom"/>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Outstanding as of January 1, 2012</w:t>
            </w:r>
          </w:p>
        </w:tc>
        <w:tc>
          <w:tcPr>
            <w:tcW w:w="206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1,259</w:t>
            </w: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5.11</w:t>
            </w:r>
          </w:p>
        </w:tc>
        <w:tc>
          <w:tcPr>
            <w:tcW w:w="6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Granted</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497</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6.45</w:t>
            </w:r>
          </w:p>
        </w:tc>
        <w:tc>
          <w:tcPr>
            <w:tcW w:w="6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Exercised</w:t>
            </w:r>
          </w:p>
        </w:tc>
        <w:tc>
          <w:tcPr>
            <w:tcW w:w="3100" w:type="dxa"/>
            <w:vAlign w:val="bottom"/>
            <w:gridSpan w:val="3"/>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6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Forfeited or Expired</w:t>
            </w:r>
          </w:p>
        </w:tc>
        <w:tc>
          <w:tcPr>
            <w:tcW w:w="2060" w:type="dxa"/>
            <w:vAlign w:val="bottom"/>
          </w:tcPr>
          <w:p>
            <w:pPr>
              <w:spacing w:after="0"/>
              <w:rPr>
                <w:sz w:val="18"/>
                <w:szCs w:val="18"/>
                <w:color w:val="auto"/>
              </w:rPr>
            </w:pPr>
          </w:p>
        </w:tc>
        <w:tc>
          <w:tcPr>
            <w:tcW w:w="104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5.20</w:t>
            </w:r>
          </w:p>
        </w:tc>
        <w:tc>
          <w:tcPr>
            <w:tcW w:w="6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80" w:type="dxa"/>
            <w:vAlign w:val="bottom"/>
          </w:tcPr>
          <w:p>
            <w:pPr>
              <w:spacing w:after="0"/>
              <w:rPr>
                <w:sz w:val="2"/>
                <w:szCs w:val="2"/>
                <w:color w:val="auto"/>
              </w:rPr>
            </w:pPr>
          </w:p>
        </w:tc>
        <w:tc>
          <w:tcPr>
            <w:tcW w:w="38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as of December 31, 2012</w:t>
            </w:r>
          </w:p>
        </w:tc>
        <w:tc>
          <w:tcPr>
            <w:tcW w:w="20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1,637</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w:t>
            </w:r>
          </w:p>
        </w:tc>
        <w:tc>
          <w:tcPr>
            <w:tcW w:w="6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5,524</w:t>
            </w:r>
          </w:p>
        </w:tc>
        <w:tc>
          <w:tcPr>
            <w:tcW w:w="0" w:type="dxa"/>
            <w:vAlign w:val="bottom"/>
          </w:tcPr>
          <w:p>
            <w:pPr>
              <w:spacing w:after="0"/>
              <w:rPr>
                <w:sz w:val="1"/>
                <w:szCs w:val="1"/>
                <w:color w:val="auto"/>
              </w:rPr>
            </w:pPr>
          </w:p>
        </w:tc>
      </w:tr>
      <w:tr>
        <w:trPr>
          <w:trHeight w:val="222"/>
        </w:trPr>
        <w:tc>
          <w:tcPr>
            <w:tcW w:w="43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Vested at December 31, 2012</w:t>
            </w:r>
          </w:p>
        </w:tc>
        <w:tc>
          <w:tcPr>
            <w:tcW w:w="2060" w:type="dxa"/>
            <w:vAlign w:val="bottom"/>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760</w:t>
            </w:r>
          </w:p>
        </w:tc>
        <w:tc>
          <w:tcPr>
            <w:tcW w:w="580" w:type="dxa"/>
            <w:vAlign w:val="bottom"/>
          </w:tcPr>
          <w:p>
            <w:pPr>
              <w:spacing w:after="0"/>
              <w:rPr>
                <w:sz w:val="19"/>
                <w:szCs w:val="19"/>
                <w:color w:val="auto"/>
              </w:rPr>
            </w:pPr>
          </w:p>
        </w:tc>
        <w:tc>
          <w:tcPr>
            <w:tcW w:w="1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5.24</w:t>
            </w:r>
          </w:p>
        </w:tc>
        <w:tc>
          <w:tcPr>
            <w:tcW w:w="640" w:type="dxa"/>
            <w:vAlign w:val="bottom"/>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640" w:type="dxa"/>
            <w:vAlign w:val="bottom"/>
          </w:tcPr>
          <w:p>
            <w:pPr>
              <w:spacing w:after="0"/>
              <w:rPr>
                <w:sz w:val="19"/>
                <w:szCs w:val="19"/>
                <w:color w:val="auto"/>
              </w:rPr>
            </w:pPr>
          </w:p>
        </w:tc>
        <w:tc>
          <w:tcPr>
            <w:tcW w:w="1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88"/>
              </w:rPr>
              <w:t>4,355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 or expected to vest at December 31, 2012</w:t>
            </w:r>
          </w:p>
        </w:tc>
        <w:tc>
          <w:tcPr>
            <w:tcW w:w="2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1,604</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w:t>
            </w:r>
          </w:p>
        </w:tc>
        <w:tc>
          <w:tcPr>
            <w:tcW w:w="6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8.0</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5,430</w:t>
            </w: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2060" w:type="dxa"/>
            <w:vAlign w:val="bottom"/>
          </w:tcPr>
          <w:p>
            <w:pPr>
              <w:jc w:val="right"/>
              <w:ind w:right="932"/>
              <w:spacing w:after="0"/>
              <w:rPr>
                <w:sz w:val="20"/>
                <w:szCs w:val="20"/>
                <w:color w:val="auto"/>
              </w:rPr>
            </w:pPr>
            <w:r>
              <w:rPr>
                <w:rFonts w:ascii="Times New Roman" w:cs="Times New Roman" w:eastAsia="Times New Roman" w:hAnsi="Times New Roman"/>
                <w:sz w:val="18"/>
                <w:szCs w:val="18"/>
                <w:color w:val="auto"/>
              </w:rPr>
              <w:t>81</w:t>
            </w:r>
          </w:p>
        </w:tc>
        <w:tc>
          <w:tcPr>
            <w:tcW w:w="4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40" w:top="455" w:right="279" w:bottom="1440" w:gutter="0" w:footer="0" w:header="0"/>
        </w:sectPr>
      </w:pPr>
    </w:p>
    <w:bookmarkStart w:id="83" w:name="page84"/>
    <w:bookmarkEnd w:id="8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Restricted stock units</w:t>
      </w:r>
    </w:p>
    <w:p>
      <w:pPr>
        <w:spacing w:after="0" w:line="92" w:lineRule="exact"/>
        <w:rPr>
          <w:sz w:val="20"/>
          <w:szCs w:val="20"/>
          <w:color w:val="auto"/>
        </w:rPr>
      </w:pPr>
    </w:p>
    <w:p>
      <w:pPr>
        <w:ind w:right="60" w:firstLine="456"/>
        <w:spacing w:after="0" w:line="262" w:lineRule="auto"/>
        <w:rPr>
          <w:sz w:val="20"/>
          <w:szCs w:val="20"/>
          <w:color w:val="auto"/>
        </w:rPr>
      </w:pPr>
      <w:r>
        <w:rPr>
          <w:rFonts w:ascii="Times New Roman" w:cs="Times New Roman" w:eastAsia="Times New Roman" w:hAnsi="Times New Roman"/>
          <w:sz w:val="18"/>
          <w:szCs w:val="18"/>
          <w:color w:val="auto"/>
        </w:rPr>
        <w:t>RSUs generally vest in one installment on the third anniversary of the grant date. The fair value of RSUs was based upon the Company’s stock price on the date of grant. A summary of the status of the Company’s non-vested RSUs as of December 31, 2012, and changes during the year ended December 31, 2012, is presented below:</w:t>
      </w:r>
    </w:p>
    <w:p>
      <w:pPr>
        <w:spacing w:after="0" w:line="158"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234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6"/>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0" w:type="dxa"/>
            <w:vAlign w:val="bottom"/>
            <w:gridSpan w:val="4"/>
          </w:tcPr>
          <w:p>
            <w:pPr>
              <w:jc w:val="right"/>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Average Grant-</w:t>
            </w:r>
          </w:p>
        </w:tc>
        <w:tc>
          <w:tcPr>
            <w:tcW w:w="0" w:type="dxa"/>
            <w:vAlign w:val="bottom"/>
          </w:tcPr>
          <w:p>
            <w:pPr>
              <w:spacing w:after="0"/>
              <w:rPr>
                <w:sz w:val="1"/>
                <w:szCs w:val="1"/>
                <w:color w:val="auto"/>
              </w:rPr>
            </w:pPr>
          </w:p>
        </w:tc>
      </w:tr>
      <w:tr>
        <w:trPr>
          <w:trHeight w:val="149"/>
        </w:trPr>
        <w:tc>
          <w:tcPr>
            <w:tcW w:w="438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Nonvested Restricted Stock Units</w:t>
            </w:r>
          </w:p>
        </w:tc>
        <w:tc>
          <w:tcPr>
            <w:tcW w:w="16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w w:val="97"/>
              </w:rPr>
              <w:t>Date Fair</w:t>
            </w:r>
          </w:p>
        </w:tc>
        <w:tc>
          <w:tcPr>
            <w:tcW w:w="0" w:type="dxa"/>
            <w:vAlign w:val="bottom"/>
          </w:tcPr>
          <w:p>
            <w:pPr>
              <w:spacing w:after="0"/>
              <w:rPr>
                <w:sz w:val="1"/>
                <w:szCs w:val="1"/>
                <w:color w:val="auto"/>
              </w:rPr>
            </w:pPr>
          </w:p>
        </w:tc>
      </w:tr>
      <w:tr>
        <w:trPr>
          <w:trHeight w:val="152"/>
        </w:trPr>
        <w:tc>
          <w:tcPr>
            <w:tcW w:w="4380" w:type="dxa"/>
            <w:vAlign w:val="bottom"/>
            <w:gridSpan w:val="3"/>
            <w:vMerge w:val="continue"/>
          </w:tcPr>
          <w:p>
            <w:pPr>
              <w:spacing w:after="0"/>
              <w:rPr>
                <w:sz w:val="13"/>
                <w:szCs w:val="13"/>
                <w:color w:val="auto"/>
              </w:rPr>
            </w:pPr>
          </w:p>
        </w:tc>
        <w:tc>
          <w:tcPr>
            <w:tcW w:w="2700" w:type="dxa"/>
            <w:vAlign w:val="bottom"/>
            <w:gridSpan w:val="3"/>
          </w:tcPr>
          <w:p>
            <w:pPr>
              <w:jc w:val="right"/>
              <w:ind w:right="700"/>
              <w:spacing w:after="0" w:line="152" w:lineRule="exact"/>
              <w:rPr>
                <w:sz w:val="20"/>
                <w:szCs w:val="20"/>
                <w:color w:val="auto"/>
              </w:rPr>
            </w:pPr>
            <w:r>
              <w:rPr>
                <w:rFonts w:ascii="Times New Roman" w:cs="Times New Roman" w:eastAsia="Times New Roman" w:hAnsi="Times New Roman"/>
                <w:sz w:val="14"/>
                <w:szCs w:val="14"/>
                <w:b w:val="1"/>
                <w:bCs w:val="1"/>
                <w:color w:val="auto"/>
              </w:rPr>
              <w:t>Shares</w:t>
            </w: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gridSpan w:val="2"/>
          </w:tcPr>
          <w:p>
            <w:pPr>
              <w:jc w:val="center"/>
              <w:ind w:right="200"/>
              <w:spacing w:after="0" w:line="152" w:lineRule="exact"/>
              <w:rPr>
                <w:sz w:val="20"/>
                <w:szCs w:val="20"/>
                <w:color w:val="auto"/>
              </w:rPr>
            </w:pPr>
            <w:r>
              <w:rPr>
                <w:rFonts w:ascii="Times New Roman" w:cs="Times New Roman" w:eastAsia="Times New Roman" w:hAnsi="Times New Roman"/>
                <w:sz w:val="14"/>
                <w:szCs w:val="14"/>
                <w:b w:val="1"/>
                <w:bCs w:val="1"/>
                <w:color w:val="auto"/>
                <w:w w:val="91"/>
              </w:rPr>
              <w:t>Value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20" w:type="dxa"/>
            <w:vAlign w:val="bottom"/>
            <w:tcBorders>
              <w:bottom w:val="single" w:sz="8" w:color="CCEEFF"/>
            </w:tcBorders>
            <w:shd w:val="clear" w:color="auto" w:fill="000000"/>
          </w:tcPr>
          <w:p>
            <w:pPr>
              <w:spacing w:after="0" w:line="20" w:lineRule="exact"/>
              <w:rPr>
                <w:sz w:val="1"/>
                <w:szCs w:val="1"/>
                <w:color w:val="auto"/>
              </w:rPr>
            </w:pPr>
          </w:p>
        </w:tc>
        <w:tc>
          <w:tcPr>
            <w:tcW w:w="2340" w:type="dxa"/>
            <w:vAlign w:val="bottom"/>
            <w:tcBorders>
              <w:bottom w:val="single" w:sz="8" w:color="CCEEFF"/>
            </w:tcBorders>
          </w:tcPr>
          <w:p>
            <w:pPr>
              <w:spacing w:after="0" w:line="20" w:lineRule="exact"/>
              <w:rPr>
                <w:sz w:val="1"/>
                <w:szCs w:val="1"/>
                <w:color w:val="auto"/>
              </w:rPr>
            </w:pPr>
          </w:p>
        </w:tc>
        <w:tc>
          <w:tcPr>
            <w:tcW w:w="16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4360" w:type="dxa"/>
            <w:vAlign w:val="bottom"/>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Outstanding as of January 1, 2012</w:t>
            </w:r>
          </w:p>
        </w:tc>
        <w:tc>
          <w:tcPr>
            <w:tcW w:w="1620" w:type="dxa"/>
            <w:vAlign w:val="bottom"/>
            <w:shd w:val="clear" w:color="auto" w:fill="CCEEFF"/>
          </w:tcPr>
          <w:p>
            <w:pPr>
              <w:spacing w:after="0"/>
              <w:rPr>
                <w:sz w:val="17"/>
                <w:szCs w:val="17"/>
                <w:color w:val="auto"/>
              </w:rPr>
            </w:pPr>
          </w:p>
        </w:tc>
        <w:tc>
          <w:tcPr>
            <w:tcW w:w="40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465</w:t>
            </w:r>
          </w:p>
        </w:tc>
        <w:tc>
          <w:tcPr>
            <w:tcW w:w="6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5.08</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Granted</w:t>
            </w:r>
          </w:p>
        </w:tc>
        <w:tc>
          <w:tcPr>
            <w:tcW w:w="2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307</w:t>
            </w:r>
          </w:p>
        </w:tc>
        <w:tc>
          <w:tcPr>
            <w:tcW w:w="6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w:t>
            </w:r>
          </w:p>
        </w:tc>
        <w:tc>
          <w:tcPr>
            <w:tcW w:w="2700" w:type="dxa"/>
            <w:vAlign w:val="bottom"/>
            <w:gridSpan w:val="3"/>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(127)</w:t>
            </w: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Forfeited</w:t>
            </w:r>
          </w:p>
        </w:tc>
        <w:tc>
          <w:tcPr>
            <w:tcW w:w="1620" w:type="dxa"/>
            <w:vAlign w:val="bottom"/>
          </w:tcPr>
          <w:p>
            <w:pPr>
              <w:spacing w:after="0"/>
              <w:rPr>
                <w:sz w:val="18"/>
                <w:szCs w:val="18"/>
                <w:color w:val="auto"/>
              </w:rPr>
            </w:pPr>
          </w:p>
        </w:tc>
        <w:tc>
          <w:tcPr>
            <w:tcW w:w="108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(37)</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020" w:type="dxa"/>
            <w:vAlign w:val="bottom"/>
          </w:tcPr>
          <w:p>
            <w:pPr>
              <w:spacing w:after="0"/>
              <w:rPr>
                <w:sz w:val="2"/>
                <w:szCs w:val="2"/>
                <w:color w:val="auto"/>
              </w:rPr>
            </w:pPr>
          </w:p>
        </w:tc>
        <w:tc>
          <w:tcPr>
            <w:tcW w:w="23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as of December 31, 2012</w:t>
            </w:r>
          </w:p>
        </w:tc>
        <w:tc>
          <w:tcPr>
            <w:tcW w:w="162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w:t>
            </w:r>
          </w:p>
        </w:tc>
        <w:tc>
          <w:tcPr>
            <w:tcW w:w="6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3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Expected to vest at December 31, 2012</w:t>
            </w:r>
          </w:p>
        </w:tc>
        <w:tc>
          <w:tcPr>
            <w:tcW w:w="1620" w:type="dxa"/>
            <w:vAlign w:val="bottom"/>
          </w:tcPr>
          <w:p>
            <w:pPr>
              <w:spacing w:after="0"/>
              <w:rPr>
                <w:sz w:val="19"/>
                <w:szCs w:val="19"/>
                <w:color w:val="auto"/>
              </w:rPr>
            </w:pPr>
          </w:p>
        </w:tc>
        <w:tc>
          <w:tcPr>
            <w:tcW w:w="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589</w:t>
            </w:r>
          </w:p>
        </w:tc>
        <w:tc>
          <w:tcPr>
            <w:tcW w:w="6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49" w:lineRule="exact"/>
        <w:rPr>
          <w:sz w:val="20"/>
          <w:szCs w:val="20"/>
          <w:color w:val="auto"/>
        </w:rPr>
      </w:pPr>
    </w:p>
    <w:p>
      <w:pPr>
        <w:ind w:right="80" w:firstLine="456"/>
        <w:spacing w:after="0" w:line="275" w:lineRule="auto"/>
        <w:rPr>
          <w:sz w:val="20"/>
          <w:szCs w:val="20"/>
          <w:color w:val="auto"/>
        </w:rPr>
      </w:pPr>
      <w:r>
        <w:rPr>
          <w:rFonts w:ascii="Times New Roman" w:cs="Times New Roman" w:eastAsia="Times New Roman" w:hAnsi="Times New Roman"/>
          <w:sz w:val="18"/>
          <w:szCs w:val="18"/>
          <w:color w:val="auto"/>
        </w:rPr>
        <w:t>As of December 31, 2012, there was $3,766 of total unrecognized compensation cost related to non-vested NQSOs and RSUs granted under the Plan. That cost is expected to be recognized over a weighted-average period of 1.2 years.</w:t>
      </w:r>
    </w:p>
    <w:p>
      <w:pPr>
        <w:spacing w:after="0" w:line="120"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The Incentive Plan permits the employee to use vested shares from RSUs to satisfy the grantee’s U.S. federal income tax liability resulting from the issuance of the shares through the Company’s retention of that number of common shares having a market value as of the vesting date equal to such tax obligation up to the minimum statutory withholding requirements. The amount related to shares used for such tax withholding obligations was approximately $231 and $291 for the years ended December 31, 2012 and 2011, respectively.</w:t>
      </w:r>
    </w:p>
    <w:p>
      <w:pPr>
        <w:spacing w:after="0" w:line="136" w:lineRule="exact"/>
        <w:rPr>
          <w:sz w:val="20"/>
          <w:szCs w:val="20"/>
          <w:color w:val="auto"/>
        </w:rPr>
      </w:pPr>
    </w:p>
    <w:p>
      <w:pPr>
        <w:ind w:right="540" w:firstLine="456"/>
        <w:spacing w:after="0" w:line="275" w:lineRule="auto"/>
        <w:rPr>
          <w:sz w:val="20"/>
          <w:szCs w:val="20"/>
          <w:color w:val="auto"/>
        </w:rPr>
      </w:pPr>
      <w:r>
        <w:rPr>
          <w:rFonts w:ascii="Times New Roman" w:cs="Times New Roman" w:eastAsia="Times New Roman" w:hAnsi="Times New Roman"/>
          <w:sz w:val="18"/>
          <w:szCs w:val="18"/>
          <w:color w:val="auto"/>
        </w:rPr>
        <w:t>In March 2011, Messrs. Berger and Biemeck each received 16 shares of the Company’s common stock per the terms of their respective employment agreements.</w:t>
      </w:r>
    </w:p>
    <w:p>
      <w:pPr>
        <w:spacing w:after="0" w:line="19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Director compensation</w:t>
      </w:r>
    </w:p>
    <w:p>
      <w:pPr>
        <w:spacing w:after="0" w:line="92" w:lineRule="exact"/>
        <w:rPr>
          <w:sz w:val="20"/>
          <w:szCs w:val="20"/>
          <w:color w:val="auto"/>
        </w:rPr>
      </w:pPr>
    </w:p>
    <w:p>
      <w:pPr>
        <w:ind w:right="80" w:firstLine="456"/>
        <w:spacing w:after="0" w:line="256" w:lineRule="auto"/>
        <w:rPr>
          <w:sz w:val="20"/>
          <w:szCs w:val="20"/>
          <w:color w:val="auto"/>
        </w:rPr>
      </w:pPr>
      <w:r>
        <w:rPr>
          <w:rFonts w:ascii="Times New Roman" w:cs="Times New Roman" w:eastAsia="Times New Roman" w:hAnsi="Times New Roman"/>
          <w:sz w:val="18"/>
          <w:szCs w:val="18"/>
          <w:color w:val="auto"/>
        </w:rPr>
        <w:t>The Company uses a combination of cash and share-based compensation to attract and retain qualified candidates to serve on our Board of Directors. Compensation is paid to non-employee directors. Directors who are employees receive no additional compensation for services as members of the Board or any of its committees. All of our directors are non-employee directors with the exception of Messrs. Berger and Biemeck. Share-based compensation is paid pursuant to the Incentive Plan. Each non-employee director of the Company received an annual retainer of $155, payable quarterly in arrears, and was paid 50% in cash and 50% in common stock of the Company. The Chairman of the Board received an additional $250 of compensation, paid in stock.</w:t>
      </w:r>
    </w:p>
    <w:p>
      <w:pPr>
        <w:spacing w:after="0" w:line="139" w:lineRule="exact"/>
        <w:rPr>
          <w:sz w:val="20"/>
          <w:szCs w:val="20"/>
          <w:color w:val="auto"/>
        </w:rPr>
      </w:pPr>
    </w:p>
    <w:p>
      <w:pPr>
        <w:ind w:right="160" w:firstLine="456"/>
        <w:spacing w:after="0" w:line="275" w:lineRule="auto"/>
        <w:rPr>
          <w:sz w:val="20"/>
          <w:szCs w:val="20"/>
          <w:color w:val="auto"/>
        </w:rPr>
      </w:pPr>
      <w:r>
        <w:rPr>
          <w:rFonts w:ascii="Times New Roman" w:cs="Times New Roman" w:eastAsia="Times New Roman" w:hAnsi="Times New Roman"/>
          <w:sz w:val="18"/>
          <w:szCs w:val="18"/>
          <w:color w:val="auto"/>
        </w:rPr>
        <w:t>In the years ended December 31, 2012, 2011 and 2010, 93, 83 and 61 shares, respectively, of the Company’s common stock were issued to non-employee directors under the Incentive Plan.</w:t>
      </w:r>
    </w:p>
    <w:p>
      <w:pPr>
        <w:spacing w:after="0" w:line="239" w:lineRule="exact"/>
        <w:rPr>
          <w:sz w:val="20"/>
          <w:szCs w:val="20"/>
          <w:color w:val="auto"/>
        </w:rPr>
      </w:pPr>
    </w:p>
    <w:p>
      <w:pPr>
        <w:ind w:left="900" w:hanging="446"/>
        <w:spacing w:after="0"/>
        <w:tabs>
          <w:tab w:leader="none" w:pos="900" w:val="left"/>
        </w:tabs>
        <w:numPr>
          <w:ilvl w:val="0"/>
          <w:numId w:val="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RETIREMENT PLANS</w:t>
      </w:r>
    </w:p>
    <w:p>
      <w:pPr>
        <w:spacing w:after="0" w:line="92" w:lineRule="exact"/>
        <w:rPr>
          <w:sz w:val="20"/>
          <w:szCs w:val="20"/>
          <w:color w:val="auto"/>
        </w:rPr>
      </w:pPr>
    </w:p>
    <w:p>
      <w:pPr>
        <w:ind w:right="120" w:firstLine="456"/>
        <w:spacing w:after="0" w:line="255" w:lineRule="auto"/>
        <w:rPr>
          <w:sz w:val="20"/>
          <w:szCs w:val="20"/>
          <w:color w:val="auto"/>
        </w:rPr>
      </w:pPr>
      <w:r>
        <w:rPr>
          <w:rFonts w:ascii="Times New Roman" w:cs="Times New Roman" w:eastAsia="Times New Roman" w:hAnsi="Times New Roman"/>
          <w:sz w:val="18"/>
          <w:szCs w:val="18"/>
          <w:color w:val="auto"/>
        </w:rPr>
        <w:t>The Company sponsors four 401(k) savings plans, one covering substantially all non-union salaried employees (“Salaried Plan”), a second covering its non-union hourly employees (“Hourly Plan”), a third plan specifically for its employees that are members of a tugboat union and a fourth for the salary and non-union employees of rivers &amp; lakes. Under the Salaried Plan and Hourly Plan, individual employees may contribute a percentage of compensation and the Company will match a portion of the employees’ contributions. Additionally, the Salaried Plan includes a profit-sharing component, permitting the Company to make discretionary employer contributions to all eligible employees of the Salaried Plan. The Company’s expense for matching and discretionary contributions for 2012, 2011 and 2010, was $4,304, $3,942 and $4,726, respectively.</w:t>
      </w:r>
    </w:p>
    <w:p>
      <w:pPr>
        <w:spacing w:after="0" w:line="1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82</w:t>
      </w:r>
    </w:p>
    <w:p>
      <w:pPr>
        <w:sectPr>
          <w:pgSz w:w="11900" w:h="16838" w:orient="portrait"/>
          <w:cols w:equalWidth="0" w:num="1">
            <w:col w:w="11420"/>
          </w:cols>
          <w:pgMar w:left="240" w:top="455" w:right="239" w:bottom="1440" w:gutter="0" w:footer="0" w:header="0"/>
        </w:sectPr>
      </w:pPr>
    </w:p>
    <w:bookmarkStart w:id="84" w:name="page85"/>
    <w:bookmarkEnd w:id="8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80" w:firstLine="456"/>
        <w:spacing w:after="0" w:line="255" w:lineRule="auto"/>
        <w:rPr>
          <w:sz w:val="20"/>
          <w:szCs w:val="20"/>
          <w:color w:val="auto"/>
        </w:rPr>
      </w:pPr>
      <w:r>
        <w:rPr>
          <w:rFonts w:ascii="Times New Roman" w:cs="Times New Roman" w:eastAsia="Times New Roman" w:hAnsi="Times New Roman"/>
          <w:sz w:val="18"/>
          <w:szCs w:val="18"/>
          <w:color w:val="auto"/>
        </w:rPr>
        <w:t>The Company also contributes to various multiemployer pension plans pursuant to collective bargaining agreements. The information available to the Company about the multiemployer plans in which it participates, whether via request to the plan or publicly available, is generally dated due to the nature of the reporting cycle of multiemployer plans and legal requirements under the Employee Retirement Income Security Act (“ERISA”) as amended by the Multiemployer Pension Plan Amendments Act (“MPPAA”). Based upon these plans’ most recently available annual reports, the Company’s contribution to these plans were less than 5% of each such plan’s total contributions. Information on significant multiemployer pension plans in which the Company participates is included in the table below:</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80" w:type="dxa"/>
            <w:vAlign w:val="bottom"/>
          </w:tcPr>
          <w:p>
            <w:pPr>
              <w:spacing w:after="0"/>
              <w:rPr>
                <w:sz w:val="13"/>
                <w:szCs w:val="13"/>
                <w:color w:val="auto"/>
              </w:rPr>
            </w:pPr>
          </w:p>
        </w:tc>
        <w:tc>
          <w:tcPr>
            <w:tcW w:w="45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40" w:type="dxa"/>
            <w:vAlign w:val="bottom"/>
            <w:gridSpan w:val="4"/>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8"/>
              </w:rPr>
              <w:t>Pension</w:t>
            </w:r>
          </w:p>
        </w:tc>
        <w:tc>
          <w:tcPr>
            <w:tcW w:w="1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580" w:type="dxa"/>
            <w:vAlign w:val="bottom"/>
          </w:tcPr>
          <w:p>
            <w:pPr>
              <w:spacing w:after="0"/>
              <w:rPr>
                <w:sz w:val="12"/>
                <w:szCs w:val="12"/>
                <w:color w:val="auto"/>
              </w:rPr>
            </w:pPr>
          </w:p>
        </w:tc>
        <w:tc>
          <w:tcPr>
            <w:tcW w:w="45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gridSpan w:val="4"/>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w w:val="96"/>
              </w:rPr>
              <w:t>Protection</w:t>
            </w:r>
          </w:p>
        </w:tc>
        <w:tc>
          <w:tcPr>
            <w:tcW w:w="1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580" w:type="dxa"/>
            <w:vAlign w:val="bottom"/>
          </w:tcPr>
          <w:p>
            <w:pPr>
              <w:spacing w:after="0"/>
              <w:rPr>
                <w:sz w:val="12"/>
                <w:szCs w:val="12"/>
                <w:color w:val="auto"/>
              </w:rPr>
            </w:pPr>
          </w:p>
        </w:tc>
        <w:tc>
          <w:tcPr>
            <w:tcW w:w="45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gridSpan w:val="4"/>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w w:val="93"/>
              </w:rPr>
              <w:t>Act of</w:t>
            </w:r>
          </w:p>
        </w:tc>
        <w:tc>
          <w:tcPr>
            <w:tcW w:w="1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580" w:type="dxa"/>
            <w:vAlign w:val="bottom"/>
          </w:tcPr>
          <w:p>
            <w:pPr>
              <w:spacing w:after="0"/>
              <w:rPr>
                <w:sz w:val="12"/>
                <w:szCs w:val="12"/>
                <w:color w:val="auto"/>
              </w:rPr>
            </w:pPr>
          </w:p>
        </w:tc>
        <w:tc>
          <w:tcPr>
            <w:tcW w:w="45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gridSpan w:val="4"/>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w w:val="96"/>
              </w:rPr>
              <w:t>2006 Certified</w:t>
            </w:r>
          </w:p>
        </w:tc>
        <w:tc>
          <w:tcPr>
            <w:tcW w:w="1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2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Company’s</w:t>
            </w:r>
          </w:p>
        </w:tc>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1580" w:type="dxa"/>
            <w:vAlign w:val="bottom"/>
          </w:tcPr>
          <w:p>
            <w:pPr>
              <w:spacing w:after="0"/>
              <w:rPr>
                <w:sz w:val="12"/>
                <w:szCs w:val="12"/>
                <w:color w:val="auto"/>
              </w:rPr>
            </w:pPr>
          </w:p>
        </w:tc>
        <w:tc>
          <w:tcPr>
            <w:tcW w:w="45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gridSpan w:val="4"/>
          </w:tcPr>
          <w:p>
            <w:pPr>
              <w:jc w:val="center"/>
              <w:ind w:right="120"/>
              <w:spacing w:after="0" w:line="139" w:lineRule="exact"/>
              <w:rPr>
                <w:sz w:val="20"/>
                <w:szCs w:val="20"/>
                <w:color w:val="auto"/>
              </w:rPr>
            </w:pPr>
            <w:r>
              <w:rPr>
                <w:rFonts w:ascii="Times New Roman" w:cs="Times New Roman" w:eastAsia="Times New Roman" w:hAnsi="Times New Roman"/>
                <w:sz w:val="14"/>
                <w:szCs w:val="14"/>
                <w:b w:val="1"/>
                <w:bCs w:val="1"/>
                <w:color w:val="auto"/>
                <w:w w:val="94"/>
              </w:rPr>
              <w:t>Zone Status at</w:t>
            </w:r>
          </w:p>
        </w:tc>
        <w:tc>
          <w:tcPr>
            <w:tcW w:w="1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2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1580" w:type="dxa"/>
            <w:vAlign w:val="bottom"/>
          </w:tcPr>
          <w:p>
            <w:pPr>
              <w:spacing w:after="0"/>
              <w:rPr>
                <w:sz w:val="15"/>
                <w:szCs w:val="15"/>
                <w:color w:val="auto"/>
              </w:rPr>
            </w:pPr>
          </w:p>
        </w:tc>
        <w:tc>
          <w:tcPr>
            <w:tcW w:w="4580" w:type="dxa"/>
            <w:vAlign w:val="bottom"/>
          </w:tcPr>
          <w:p>
            <w:pPr>
              <w:spacing w:after="0"/>
              <w:rPr>
                <w:sz w:val="15"/>
                <w:szCs w:val="15"/>
                <w:color w:val="auto"/>
              </w:rPr>
            </w:pPr>
          </w:p>
        </w:tc>
        <w:tc>
          <w:tcPr>
            <w:tcW w:w="100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5"/>
              </w:rPr>
              <w:t>Federal</w:t>
            </w:r>
          </w:p>
        </w:tc>
        <w:tc>
          <w:tcPr>
            <w:tcW w:w="1140" w:type="dxa"/>
            <w:vAlign w:val="bottom"/>
            <w:gridSpan w:val="4"/>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5"/>
              </w:rPr>
              <w:t>December 31,</w:t>
            </w:r>
          </w:p>
        </w:tc>
        <w:tc>
          <w:tcPr>
            <w:tcW w:w="14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Expiration of Collective</w:t>
            </w:r>
          </w:p>
        </w:tc>
        <w:tc>
          <w:tcPr>
            <w:tcW w:w="100" w:type="dxa"/>
            <w:vAlign w:val="bottom"/>
          </w:tcPr>
          <w:p>
            <w:pPr>
              <w:spacing w:after="0"/>
              <w:rPr>
                <w:sz w:val="15"/>
                <w:szCs w:val="15"/>
                <w:color w:val="auto"/>
              </w:rPr>
            </w:pPr>
          </w:p>
        </w:tc>
        <w:tc>
          <w:tcPr>
            <w:tcW w:w="1560" w:type="dxa"/>
            <w:vAlign w:val="bottom"/>
            <w:gridSpan w:val="7"/>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7"/>
              </w:rPr>
              <w:t>Contributions</w:t>
            </w:r>
          </w:p>
        </w:tc>
        <w:tc>
          <w:tcPr>
            <w:tcW w:w="0" w:type="dxa"/>
            <w:vAlign w:val="bottom"/>
          </w:tcPr>
          <w:p>
            <w:pPr>
              <w:spacing w:after="0"/>
              <w:rPr>
                <w:sz w:val="1"/>
                <w:szCs w:val="1"/>
                <w:color w:val="auto"/>
              </w:rPr>
            </w:pPr>
          </w:p>
        </w:tc>
      </w:tr>
      <w:tr>
        <w:trPr>
          <w:trHeight w:val="112"/>
        </w:trPr>
        <w:tc>
          <w:tcPr>
            <w:tcW w:w="1580" w:type="dxa"/>
            <w:vAlign w:val="bottom"/>
          </w:tcPr>
          <w:p>
            <w:pPr>
              <w:spacing w:after="0"/>
              <w:rPr>
                <w:sz w:val="9"/>
                <w:szCs w:val="9"/>
                <w:color w:val="auto"/>
              </w:rPr>
            </w:pPr>
          </w:p>
        </w:tc>
        <w:tc>
          <w:tcPr>
            <w:tcW w:w="4580" w:type="dxa"/>
            <w:vAlign w:val="bottom"/>
          </w:tcPr>
          <w:p>
            <w:pPr>
              <w:spacing w:after="0"/>
              <w:rPr>
                <w:sz w:val="9"/>
                <w:szCs w:val="9"/>
                <w:color w:val="auto"/>
              </w:rPr>
            </w:pPr>
          </w:p>
        </w:tc>
        <w:tc>
          <w:tcPr>
            <w:tcW w:w="1000" w:type="dxa"/>
            <w:vAlign w:val="bottom"/>
            <w:gridSpan w:val="2"/>
            <w:vMerge w:val="continue"/>
          </w:tcPr>
          <w:p>
            <w:pPr>
              <w:spacing w:after="0"/>
              <w:rPr>
                <w:sz w:val="9"/>
                <w:szCs w:val="9"/>
                <w:color w:val="auto"/>
              </w:rPr>
            </w:pPr>
          </w:p>
        </w:tc>
        <w:tc>
          <w:tcPr>
            <w:tcW w:w="46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48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46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15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Pension Plan Legal Name</w:t>
            </w:r>
          </w:p>
        </w:tc>
        <w:tc>
          <w:tcPr>
            <w:tcW w:w="4580" w:type="dxa"/>
            <w:vAlign w:val="bottom"/>
            <w:vMerge w:val="restart"/>
          </w:tcPr>
          <w:p>
            <w:pPr>
              <w:spacing w:after="0"/>
              <w:rPr>
                <w:sz w:val="12"/>
                <w:szCs w:val="12"/>
                <w:color w:val="auto"/>
              </w:rPr>
            </w:pPr>
          </w:p>
        </w:tc>
        <w:tc>
          <w:tcPr>
            <w:tcW w:w="100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w w:val="96"/>
              </w:rPr>
              <w:t>Identification</w:t>
            </w: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6"/>
              </w:rPr>
              <w:t>Bargaining Arrangement</w:t>
            </w: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1580" w:type="dxa"/>
            <w:vAlign w:val="bottom"/>
            <w:tcBorders>
              <w:bottom w:val="single" w:sz="8" w:color="auto"/>
            </w:tcBorders>
            <w:vMerge w:val="continue"/>
          </w:tcPr>
          <w:p>
            <w:pPr>
              <w:spacing w:after="0"/>
              <w:rPr>
                <w:sz w:val="14"/>
                <w:szCs w:val="14"/>
                <w:color w:val="auto"/>
              </w:rPr>
            </w:pPr>
          </w:p>
        </w:tc>
        <w:tc>
          <w:tcPr>
            <w:tcW w:w="4580" w:type="dxa"/>
            <w:vAlign w:val="bottom"/>
            <w:vMerge w:val="continue"/>
          </w:tcPr>
          <w:p>
            <w:pPr>
              <w:spacing w:after="0"/>
              <w:rPr>
                <w:sz w:val="14"/>
                <w:szCs w:val="14"/>
                <w:color w:val="auto"/>
              </w:rPr>
            </w:pPr>
          </w:p>
        </w:tc>
        <w:tc>
          <w:tcPr>
            <w:tcW w:w="1000" w:type="dxa"/>
            <w:vAlign w:val="bottom"/>
            <w:gridSpan w:val="2"/>
          </w:tcPr>
          <w:p>
            <w:pPr>
              <w:jc w:val="center"/>
              <w:ind w:right="200"/>
              <w:spacing w:after="0" w:line="152" w:lineRule="exact"/>
              <w:rPr>
                <w:sz w:val="20"/>
                <w:szCs w:val="20"/>
                <w:color w:val="auto"/>
              </w:rPr>
            </w:pPr>
            <w:r>
              <w:rPr>
                <w:rFonts w:ascii="Times New Roman" w:cs="Times New Roman" w:eastAsia="Times New Roman" w:hAnsi="Times New Roman"/>
                <w:sz w:val="14"/>
                <w:szCs w:val="14"/>
                <w:b w:val="1"/>
                <w:bCs w:val="1"/>
                <w:color w:val="auto"/>
                <w:w w:val="96"/>
              </w:rPr>
              <w:t>Number</w:t>
            </w:r>
          </w:p>
        </w:tc>
        <w:tc>
          <w:tcPr>
            <w:tcW w:w="460" w:type="dxa"/>
            <w:vAlign w:val="bottom"/>
          </w:tcPr>
          <w:p>
            <w:pPr>
              <w:jc w:val="center"/>
              <w:spacing w:after="0" w:line="152" w:lineRule="exact"/>
              <w:rPr>
                <w:sz w:val="20"/>
                <w:szCs w:val="20"/>
                <w:color w:val="auto"/>
              </w:rPr>
            </w:pPr>
            <w:r>
              <w:rPr>
                <w:rFonts w:ascii="Times New Roman" w:cs="Times New Roman" w:eastAsia="Times New Roman" w:hAnsi="Times New Roman"/>
                <w:sz w:val="14"/>
                <w:szCs w:val="14"/>
                <w:b w:val="1"/>
                <w:bCs w:val="1"/>
                <w:color w:val="auto"/>
                <w:w w:val="99"/>
              </w:rPr>
              <w:t>2012</w:t>
            </w:r>
          </w:p>
        </w:tc>
        <w:tc>
          <w:tcPr>
            <w:tcW w:w="100" w:type="dxa"/>
            <w:vAlign w:val="bottom"/>
          </w:tcPr>
          <w:p>
            <w:pPr>
              <w:spacing w:after="0"/>
              <w:rPr>
                <w:sz w:val="14"/>
                <w:szCs w:val="14"/>
                <w:color w:val="auto"/>
              </w:rPr>
            </w:pPr>
          </w:p>
        </w:tc>
        <w:tc>
          <w:tcPr>
            <w:tcW w:w="480" w:type="dxa"/>
            <w:vAlign w:val="bottom"/>
          </w:tcPr>
          <w:p>
            <w:pPr>
              <w:jc w:val="center"/>
              <w:spacing w:after="0" w:line="152" w:lineRule="exact"/>
              <w:rPr>
                <w:sz w:val="20"/>
                <w:szCs w:val="20"/>
                <w:color w:val="auto"/>
              </w:rPr>
            </w:pPr>
            <w:r>
              <w:rPr>
                <w:rFonts w:ascii="Times New Roman" w:cs="Times New Roman" w:eastAsia="Times New Roman" w:hAnsi="Times New Roman"/>
                <w:sz w:val="14"/>
                <w:szCs w:val="14"/>
                <w:b w:val="1"/>
                <w:bCs w:val="1"/>
                <w:color w:val="auto"/>
                <w:w w:val="92"/>
              </w:rPr>
              <w:t>2011</w:t>
            </w:r>
          </w:p>
        </w:tc>
        <w:tc>
          <w:tcPr>
            <w:tcW w:w="100" w:type="dxa"/>
            <w:vAlign w:val="bottom"/>
          </w:tcPr>
          <w:p>
            <w:pPr>
              <w:spacing w:after="0"/>
              <w:rPr>
                <w:sz w:val="14"/>
                <w:szCs w:val="14"/>
                <w:color w:val="auto"/>
              </w:rPr>
            </w:pPr>
          </w:p>
        </w:tc>
        <w:tc>
          <w:tcPr>
            <w:tcW w:w="1460" w:type="dxa"/>
            <w:vAlign w:val="bottom"/>
          </w:tcPr>
          <w:p>
            <w:pPr>
              <w:jc w:val="center"/>
              <w:spacing w:after="0" w:line="152" w:lineRule="exact"/>
              <w:rPr>
                <w:sz w:val="20"/>
                <w:szCs w:val="20"/>
                <w:color w:val="auto"/>
              </w:rPr>
            </w:pPr>
            <w:r>
              <w:rPr>
                <w:rFonts w:ascii="Times New Roman" w:cs="Times New Roman" w:eastAsia="Times New Roman" w:hAnsi="Times New Roman"/>
                <w:sz w:val="14"/>
                <w:szCs w:val="14"/>
                <w:b w:val="1"/>
                <w:bCs w:val="1"/>
                <w:color w:val="auto"/>
                <w:w w:val="95"/>
              </w:rPr>
              <w:t>with the Company</w:t>
            </w:r>
          </w:p>
        </w:tc>
        <w:tc>
          <w:tcPr>
            <w:tcW w:w="480" w:type="dxa"/>
            <w:vAlign w:val="bottom"/>
            <w:gridSpan w:val="2"/>
          </w:tcPr>
          <w:p>
            <w:pPr>
              <w:jc w:val="right"/>
              <w:spacing w:after="0" w:line="152" w:lineRule="exact"/>
              <w:rPr>
                <w:sz w:val="20"/>
                <w:szCs w:val="20"/>
                <w:color w:val="auto"/>
              </w:rPr>
            </w:pPr>
            <w:r>
              <w:rPr>
                <w:rFonts w:ascii="Times New Roman" w:cs="Times New Roman" w:eastAsia="Times New Roman" w:hAnsi="Times New Roman"/>
                <w:sz w:val="14"/>
                <w:szCs w:val="14"/>
                <w:b w:val="1"/>
                <w:bCs w:val="1"/>
                <w:color w:val="auto"/>
              </w:rPr>
              <w:t>2012</w:t>
            </w:r>
          </w:p>
        </w:tc>
        <w:tc>
          <w:tcPr>
            <w:tcW w:w="560" w:type="dxa"/>
            <w:vAlign w:val="bottom"/>
            <w:gridSpan w:val="2"/>
          </w:tcPr>
          <w:p>
            <w:pPr>
              <w:jc w:val="center"/>
              <w:ind w:left="112"/>
              <w:spacing w:after="0" w:line="152" w:lineRule="exact"/>
              <w:rPr>
                <w:sz w:val="20"/>
                <w:szCs w:val="20"/>
                <w:color w:val="auto"/>
              </w:rPr>
            </w:pPr>
            <w:r>
              <w:rPr>
                <w:rFonts w:ascii="Times New Roman" w:cs="Times New Roman" w:eastAsia="Times New Roman" w:hAnsi="Times New Roman"/>
                <w:sz w:val="14"/>
                <w:szCs w:val="14"/>
                <w:b w:val="1"/>
                <w:bCs w:val="1"/>
                <w:color w:val="auto"/>
                <w:w w:val="92"/>
              </w:rPr>
              <w:t>2011</w:t>
            </w:r>
          </w:p>
        </w:tc>
        <w:tc>
          <w:tcPr>
            <w:tcW w:w="160" w:type="dxa"/>
            <w:vAlign w:val="bottom"/>
          </w:tcPr>
          <w:p>
            <w:pPr>
              <w:spacing w:after="0"/>
              <w:rPr>
                <w:sz w:val="14"/>
                <w:szCs w:val="14"/>
                <w:color w:val="auto"/>
              </w:rPr>
            </w:pPr>
          </w:p>
        </w:tc>
        <w:tc>
          <w:tcPr>
            <w:tcW w:w="400" w:type="dxa"/>
            <w:vAlign w:val="bottom"/>
            <w:gridSpan w:val="2"/>
          </w:tcPr>
          <w:p>
            <w:pPr>
              <w:jc w:val="right"/>
              <w:spacing w:after="0" w:line="152" w:lineRule="exact"/>
              <w:rPr>
                <w:sz w:val="20"/>
                <w:szCs w:val="20"/>
                <w:color w:val="auto"/>
              </w:rPr>
            </w:pPr>
            <w:r>
              <w:rPr>
                <w:rFonts w:ascii="Times New Roman" w:cs="Times New Roman" w:eastAsia="Times New Roman" w:hAnsi="Times New Roman"/>
                <w:sz w:val="14"/>
                <w:szCs w:val="14"/>
                <w:b w:val="1"/>
                <w:bCs w:val="1"/>
                <w:color w:val="auto"/>
              </w:rPr>
              <w:t>2010</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6160" w:type="dxa"/>
            <w:vAlign w:val="bottom"/>
            <w:tcBorders>
              <w:top w:val="single" w:sz="8" w:color="CCEEFF"/>
            </w:tcBorders>
            <w:gridSpan w:val="2"/>
            <w:shd w:val="clear" w:color="auto" w:fill="CCEEFF"/>
          </w:tcPr>
          <w:p>
            <w:pPr>
              <w:spacing w:after="0" w:line="123" w:lineRule="exact"/>
              <w:rPr>
                <w:sz w:val="20"/>
                <w:szCs w:val="20"/>
                <w:color w:val="auto"/>
              </w:rPr>
            </w:pPr>
            <w:r>
              <w:rPr>
                <w:rFonts w:ascii="Times New Roman" w:cs="Times New Roman" w:eastAsia="Times New Roman" w:hAnsi="Times New Roman"/>
                <w:sz w:val="14"/>
                <w:szCs w:val="14"/>
                <w:color w:val="auto"/>
              </w:rPr>
              <w:t>Massachusetts Laborers Pension Fund</w:t>
            </w:r>
          </w:p>
        </w:tc>
        <w:tc>
          <w:tcPr>
            <w:tcW w:w="820" w:type="dxa"/>
            <w:vAlign w:val="bottom"/>
            <w:tcBorders>
              <w:top w:val="single" w:sz="8" w:color="auto"/>
            </w:tcBorders>
            <w:shd w:val="clear" w:color="auto" w:fill="CCEEFF"/>
          </w:tcPr>
          <w:p>
            <w:pPr>
              <w:jc w:val="right"/>
              <w:spacing w:after="0" w:line="123" w:lineRule="exact"/>
              <w:rPr>
                <w:sz w:val="20"/>
                <w:szCs w:val="20"/>
                <w:color w:val="auto"/>
              </w:rPr>
            </w:pPr>
            <w:r>
              <w:rPr>
                <w:rFonts w:ascii="Times New Roman" w:cs="Times New Roman" w:eastAsia="Times New Roman" w:hAnsi="Times New Roman"/>
                <w:sz w:val="14"/>
                <w:szCs w:val="14"/>
                <w:color w:val="auto"/>
              </w:rPr>
              <w:t>04-</w:t>
            </w:r>
          </w:p>
        </w:tc>
        <w:tc>
          <w:tcPr>
            <w:tcW w:w="180" w:type="dxa"/>
            <w:vAlign w:val="bottom"/>
            <w:tcBorders>
              <w:top w:val="single" w:sz="8" w:color="CCEEFF"/>
            </w:tcBorders>
            <w:shd w:val="clear" w:color="auto" w:fill="CCEEFF"/>
          </w:tcPr>
          <w:p>
            <w:pPr>
              <w:spacing w:after="0"/>
              <w:rPr>
                <w:sz w:val="10"/>
                <w:szCs w:val="10"/>
                <w:color w:val="auto"/>
              </w:rPr>
            </w:pPr>
          </w:p>
        </w:tc>
        <w:tc>
          <w:tcPr>
            <w:tcW w:w="46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48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146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380" w:type="dxa"/>
            <w:vAlign w:val="bottom"/>
            <w:tcBorders>
              <w:top w:val="single" w:sz="8" w:color="auto"/>
            </w:tcBorders>
            <w:shd w:val="clear" w:color="auto" w:fill="CCEEFF"/>
          </w:tcPr>
          <w:p>
            <w:pPr>
              <w:spacing w:after="0"/>
              <w:rPr>
                <w:sz w:val="10"/>
                <w:szCs w:val="10"/>
                <w:color w:val="auto"/>
              </w:rPr>
            </w:pPr>
          </w:p>
        </w:tc>
        <w:tc>
          <w:tcPr>
            <w:tcW w:w="180" w:type="dxa"/>
            <w:vAlign w:val="bottom"/>
            <w:tcBorders>
              <w:top w:val="single" w:sz="8" w:color="CCEEFF"/>
            </w:tcBorders>
            <w:shd w:val="clear" w:color="auto" w:fill="CCEEFF"/>
          </w:tcPr>
          <w:p>
            <w:pPr>
              <w:spacing w:after="0"/>
              <w:rPr>
                <w:sz w:val="10"/>
                <w:szCs w:val="10"/>
                <w:color w:val="auto"/>
              </w:rPr>
            </w:pPr>
          </w:p>
        </w:tc>
        <w:tc>
          <w:tcPr>
            <w:tcW w:w="380" w:type="dxa"/>
            <w:vAlign w:val="bottom"/>
            <w:tcBorders>
              <w:top w:val="single" w:sz="8" w:color="auto"/>
            </w:tcBorders>
            <w:shd w:val="clear" w:color="auto" w:fill="CCEEFF"/>
          </w:tcPr>
          <w:p>
            <w:pPr>
              <w:spacing w:after="0"/>
              <w:rPr>
                <w:sz w:val="10"/>
                <w:szCs w:val="10"/>
                <w:color w:val="auto"/>
              </w:rPr>
            </w:pPr>
          </w:p>
        </w:tc>
        <w:tc>
          <w:tcPr>
            <w:tcW w:w="16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38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1580" w:type="dxa"/>
            <w:vAlign w:val="bottom"/>
            <w:shd w:val="clear" w:color="auto" w:fill="CCEEFF"/>
          </w:tcPr>
          <w:p>
            <w:pPr>
              <w:spacing w:after="0"/>
              <w:rPr>
                <w:sz w:val="14"/>
                <w:szCs w:val="14"/>
                <w:color w:val="auto"/>
              </w:rPr>
            </w:pPr>
          </w:p>
        </w:tc>
        <w:tc>
          <w:tcPr>
            <w:tcW w:w="458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6128298 001</w:t>
            </w:r>
          </w:p>
        </w:tc>
        <w:tc>
          <w:tcPr>
            <w:tcW w:w="56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4"/>
                <w:szCs w:val="14"/>
                <w:color w:val="auto"/>
                <w:w w:val="96"/>
              </w:rPr>
              <w:t>Yellow</w:t>
            </w:r>
          </w:p>
        </w:tc>
        <w:tc>
          <w:tcPr>
            <w:tcW w:w="58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4"/>
                <w:szCs w:val="14"/>
                <w:color w:val="auto"/>
                <w:w w:val="92"/>
              </w:rPr>
              <w:t>Yellow</w:t>
            </w:r>
          </w:p>
        </w:tc>
        <w:tc>
          <w:tcPr>
            <w:tcW w:w="1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6"/>
              </w:rPr>
              <w:t>Various dates in 2016</w:t>
            </w: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$3,967</w:t>
            </w:r>
          </w:p>
        </w:tc>
        <w:tc>
          <w:tcPr>
            <w:tcW w:w="7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$3,423</w:t>
            </w: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8"/>
              </w:rPr>
              <w:t>$3,084</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6160" w:type="dxa"/>
            <w:vAlign w:val="bottom"/>
            <w:gridSpan w:val="2"/>
          </w:tcPr>
          <w:p>
            <w:pPr>
              <w:spacing w:after="0" w:line="136" w:lineRule="exact"/>
              <w:rPr>
                <w:sz w:val="20"/>
                <w:szCs w:val="20"/>
                <w:color w:val="auto"/>
              </w:rPr>
            </w:pPr>
            <w:r>
              <w:rPr>
                <w:rFonts w:ascii="Times New Roman" w:cs="Times New Roman" w:eastAsia="Times New Roman" w:hAnsi="Times New Roman"/>
                <w:sz w:val="14"/>
                <w:szCs w:val="14"/>
                <w:color w:val="auto"/>
              </w:rPr>
              <w:t>Central Pension Fund of the IUOE &amp; Participating Employers</w:t>
            </w:r>
          </w:p>
        </w:tc>
        <w:tc>
          <w:tcPr>
            <w:tcW w:w="1000" w:type="dxa"/>
            <w:vAlign w:val="bottom"/>
            <w:gridSpan w:val="2"/>
          </w:tcPr>
          <w:p>
            <w:pPr>
              <w:jc w:val="right"/>
              <w:ind w:right="180"/>
              <w:spacing w:after="0" w:line="136" w:lineRule="exact"/>
              <w:rPr>
                <w:sz w:val="20"/>
                <w:szCs w:val="20"/>
                <w:color w:val="auto"/>
              </w:rPr>
            </w:pPr>
            <w:r>
              <w:rPr>
                <w:rFonts w:ascii="Times New Roman" w:cs="Times New Roman" w:eastAsia="Times New Roman" w:hAnsi="Times New Roman"/>
                <w:sz w:val="14"/>
                <w:szCs w:val="14"/>
                <w:color w:val="auto"/>
              </w:rPr>
              <w:t>36-6052390</w:t>
            </w: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158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001</w:t>
            </w:r>
          </w:p>
        </w:tc>
        <w:tc>
          <w:tcPr>
            <w:tcW w:w="5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w w:val="93"/>
              </w:rPr>
              <w:t>Green</w:t>
            </w:r>
          </w:p>
        </w:tc>
        <w:tc>
          <w:tcPr>
            <w:tcW w:w="5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93"/>
              </w:rPr>
              <w:t>Green</w:t>
            </w:r>
          </w:p>
        </w:tc>
        <w:tc>
          <w:tcPr>
            <w:tcW w:w="14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September 30, 2012</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2,203</w:t>
            </w:r>
          </w:p>
        </w:tc>
        <w:tc>
          <w:tcPr>
            <w:tcW w:w="72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1,759</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2,141</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6160" w:type="dxa"/>
            <w:vAlign w:val="bottom"/>
            <w:gridSpan w:val="2"/>
            <w:shd w:val="clear" w:color="auto" w:fill="CCEEFF"/>
          </w:tcPr>
          <w:p>
            <w:pPr>
              <w:spacing w:after="0" w:line="136" w:lineRule="exact"/>
              <w:rPr>
                <w:sz w:val="20"/>
                <w:szCs w:val="20"/>
                <w:color w:val="auto"/>
              </w:rPr>
            </w:pPr>
            <w:r>
              <w:rPr>
                <w:rFonts w:ascii="Times New Roman" w:cs="Times New Roman" w:eastAsia="Times New Roman" w:hAnsi="Times New Roman"/>
                <w:sz w:val="14"/>
                <w:szCs w:val="14"/>
                <w:color w:val="auto"/>
              </w:rPr>
              <w:t>Excavators Union Local 731 Pension Fund</w:t>
            </w:r>
          </w:p>
        </w:tc>
        <w:tc>
          <w:tcPr>
            <w:tcW w:w="1000" w:type="dxa"/>
            <w:vAlign w:val="bottom"/>
            <w:gridSpan w:val="2"/>
            <w:shd w:val="clear" w:color="auto" w:fill="CCEEFF"/>
          </w:tcPr>
          <w:p>
            <w:pPr>
              <w:jc w:val="right"/>
              <w:ind w:right="180"/>
              <w:spacing w:after="0" w:line="136" w:lineRule="exact"/>
              <w:rPr>
                <w:sz w:val="20"/>
                <w:szCs w:val="20"/>
                <w:color w:val="auto"/>
              </w:rPr>
            </w:pPr>
            <w:r>
              <w:rPr>
                <w:rFonts w:ascii="Times New Roman" w:cs="Times New Roman" w:eastAsia="Times New Roman" w:hAnsi="Times New Roman"/>
                <w:sz w:val="14"/>
                <w:szCs w:val="14"/>
                <w:color w:val="auto"/>
              </w:rPr>
              <w:t>13-1809825</w:t>
            </w: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1580" w:type="dxa"/>
            <w:vAlign w:val="bottom"/>
            <w:shd w:val="clear" w:color="auto" w:fill="CCEEFF"/>
          </w:tcPr>
          <w:p>
            <w:pPr>
              <w:spacing w:after="0"/>
              <w:rPr>
                <w:sz w:val="14"/>
                <w:szCs w:val="14"/>
                <w:color w:val="auto"/>
              </w:rPr>
            </w:pPr>
          </w:p>
        </w:tc>
        <w:tc>
          <w:tcPr>
            <w:tcW w:w="458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002</w:t>
            </w:r>
          </w:p>
        </w:tc>
        <w:tc>
          <w:tcPr>
            <w:tcW w:w="56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4"/>
                <w:szCs w:val="14"/>
                <w:color w:val="auto"/>
                <w:w w:val="93"/>
              </w:rPr>
              <w:t>Green</w:t>
            </w:r>
          </w:p>
        </w:tc>
        <w:tc>
          <w:tcPr>
            <w:tcW w:w="5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w w:val="93"/>
              </w:rPr>
              <w:t>Green</w:t>
            </w:r>
          </w:p>
        </w:tc>
        <w:tc>
          <w:tcPr>
            <w:tcW w:w="1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7"/>
              </w:rPr>
              <w:t>July 30, 2014</w:t>
            </w: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1,014</w:t>
            </w:r>
          </w:p>
        </w:tc>
        <w:tc>
          <w:tcPr>
            <w:tcW w:w="7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716</w:t>
            </w: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317</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6160" w:type="dxa"/>
            <w:vAlign w:val="bottom"/>
            <w:gridSpan w:val="2"/>
          </w:tcPr>
          <w:p>
            <w:pPr>
              <w:spacing w:after="0" w:line="136" w:lineRule="exact"/>
              <w:rPr>
                <w:sz w:val="20"/>
                <w:szCs w:val="20"/>
                <w:color w:val="auto"/>
              </w:rPr>
            </w:pPr>
            <w:r>
              <w:rPr>
                <w:rFonts w:ascii="Times New Roman" w:cs="Times New Roman" w:eastAsia="Times New Roman" w:hAnsi="Times New Roman"/>
                <w:sz w:val="14"/>
                <w:szCs w:val="14"/>
                <w:color w:val="auto"/>
              </w:rPr>
              <w:t>Seafarers Pension Trust</w:t>
            </w:r>
          </w:p>
        </w:tc>
        <w:tc>
          <w:tcPr>
            <w:tcW w:w="1000" w:type="dxa"/>
            <w:vAlign w:val="bottom"/>
            <w:gridSpan w:val="2"/>
          </w:tcPr>
          <w:p>
            <w:pPr>
              <w:jc w:val="right"/>
              <w:ind w:right="180"/>
              <w:spacing w:after="0" w:line="136" w:lineRule="exact"/>
              <w:rPr>
                <w:sz w:val="20"/>
                <w:szCs w:val="20"/>
                <w:color w:val="auto"/>
              </w:rPr>
            </w:pPr>
            <w:r>
              <w:rPr>
                <w:rFonts w:ascii="Times New Roman" w:cs="Times New Roman" w:eastAsia="Times New Roman" w:hAnsi="Times New Roman"/>
                <w:sz w:val="14"/>
                <w:szCs w:val="14"/>
                <w:color w:val="auto"/>
              </w:rPr>
              <w:t>13-6100329</w:t>
            </w: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158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001</w:t>
            </w:r>
          </w:p>
        </w:tc>
        <w:tc>
          <w:tcPr>
            <w:tcW w:w="5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w w:val="93"/>
              </w:rPr>
              <w:t>Green</w:t>
            </w:r>
          </w:p>
        </w:tc>
        <w:tc>
          <w:tcPr>
            <w:tcW w:w="5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93"/>
              </w:rPr>
              <w:t>Green</w:t>
            </w:r>
          </w:p>
        </w:tc>
        <w:tc>
          <w:tcPr>
            <w:tcW w:w="14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February 28, 2015</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883</w:t>
            </w:r>
          </w:p>
        </w:tc>
        <w:tc>
          <w:tcPr>
            <w:tcW w:w="72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699</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943</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6160" w:type="dxa"/>
            <w:vAlign w:val="bottom"/>
            <w:gridSpan w:val="2"/>
            <w:shd w:val="clear" w:color="auto" w:fill="CCEEFF"/>
          </w:tcPr>
          <w:p>
            <w:pPr>
              <w:spacing w:after="0" w:line="136" w:lineRule="exact"/>
              <w:rPr>
                <w:sz w:val="20"/>
                <w:szCs w:val="20"/>
                <w:color w:val="auto"/>
              </w:rPr>
            </w:pPr>
            <w:r>
              <w:rPr>
                <w:rFonts w:ascii="Times New Roman" w:cs="Times New Roman" w:eastAsia="Times New Roman" w:hAnsi="Times New Roman"/>
                <w:sz w:val="14"/>
                <w:szCs w:val="14"/>
                <w:color w:val="auto"/>
              </w:rPr>
              <w:t>International Union of Operating Engineers Local 4 Pension Fund</w:t>
            </w:r>
          </w:p>
        </w:tc>
        <w:tc>
          <w:tcPr>
            <w:tcW w:w="1000" w:type="dxa"/>
            <w:vAlign w:val="bottom"/>
            <w:gridSpan w:val="2"/>
            <w:shd w:val="clear" w:color="auto" w:fill="CCEEFF"/>
          </w:tcPr>
          <w:p>
            <w:pPr>
              <w:jc w:val="right"/>
              <w:ind w:right="180"/>
              <w:spacing w:after="0" w:line="136" w:lineRule="exact"/>
              <w:rPr>
                <w:sz w:val="20"/>
                <w:szCs w:val="20"/>
                <w:color w:val="auto"/>
              </w:rPr>
            </w:pPr>
            <w:r>
              <w:rPr>
                <w:rFonts w:ascii="Times New Roman" w:cs="Times New Roman" w:eastAsia="Times New Roman" w:hAnsi="Times New Roman"/>
                <w:sz w:val="14"/>
                <w:szCs w:val="14"/>
                <w:color w:val="auto"/>
              </w:rPr>
              <w:t>04-6013863</w:t>
            </w: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1580" w:type="dxa"/>
            <w:vAlign w:val="bottom"/>
            <w:shd w:val="clear" w:color="auto" w:fill="CCEEFF"/>
          </w:tcPr>
          <w:p>
            <w:pPr>
              <w:spacing w:after="0"/>
              <w:rPr>
                <w:sz w:val="14"/>
                <w:szCs w:val="14"/>
                <w:color w:val="auto"/>
              </w:rPr>
            </w:pPr>
          </w:p>
        </w:tc>
        <w:tc>
          <w:tcPr>
            <w:tcW w:w="458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001</w:t>
            </w:r>
          </w:p>
        </w:tc>
        <w:tc>
          <w:tcPr>
            <w:tcW w:w="56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4"/>
                <w:szCs w:val="14"/>
                <w:color w:val="auto"/>
                <w:w w:val="93"/>
              </w:rPr>
              <w:t>Green</w:t>
            </w:r>
          </w:p>
        </w:tc>
        <w:tc>
          <w:tcPr>
            <w:tcW w:w="5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w w:val="93"/>
              </w:rPr>
              <w:t>Green</w:t>
            </w:r>
          </w:p>
        </w:tc>
        <w:tc>
          <w:tcPr>
            <w:tcW w:w="1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4"/>
              </w:rPr>
              <w:t>May 31, 2014</w:t>
            </w: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829</w:t>
            </w:r>
          </w:p>
        </w:tc>
        <w:tc>
          <w:tcPr>
            <w:tcW w:w="7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583</w:t>
            </w: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624</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616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Other pension plans</w:t>
            </w:r>
          </w:p>
        </w:tc>
        <w:tc>
          <w:tcPr>
            <w:tcW w:w="8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1,018</w:t>
            </w:r>
          </w:p>
        </w:tc>
        <w:tc>
          <w:tcPr>
            <w:tcW w:w="180" w:type="dxa"/>
            <w:vAlign w:val="bottom"/>
          </w:tcPr>
          <w:p>
            <w:pPr>
              <w:spacing w:after="0"/>
              <w:rPr>
                <w:sz w:val="13"/>
                <w:szCs w:val="13"/>
                <w:color w:val="auto"/>
              </w:rPr>
            </w:pPr>
          </w:p>
        </w:tc>
        <w:tc>
          <w:tcPr>
            <w:tcW w:w="3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1,329</w:t>
            </w: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949</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580" w:type="dxa"/>
            <w:vAlign w:val="bottom"/>
            <w:shd w:val="clear" w:color="auto" w:fill="CCEEFF"/>
          </w:tcPr>
          <w:p>
            <w:pPr>
              <w:spacing w:after="0"/>
              <w:rPr>
                <w:sz w:val="12"/>
                <w:szCs w:val="12"/>
                <w:color w:val="auto"/>
              </w:rPr>
            </w:pPr>
          </w:p>
        </w:tc>
        <w:tc>
          <w:tcPr>
            <w:tcW w:w="45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6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u w:val="single" w:color="auto"/>
                <w:color w:val="auto"/>
              </w:rPr>
              <w:t>$</w:t>
            </w:r>
            <w:r>
              <w:rPr>
                <w:rFonts w:ascii="Times New Roman" w:cs="Times New Roman" w:eastAsia="Times New Roman" w:hAnsi="Times New Roman"/>
                <w:sz w:val="14"/>
                <w:szCs w:val="14"/>
                <w:color w:val="auto"/>
              </w:rPr>
              <w:t>9,914</w:t>
            </w:r>
          </w:p>
        </w:tc>
        <w:tc>
          <w:tcPr>
            <w:tcW w:w="720" w:type="dxa"/>
            <w:vAlign w:val="bottom"/>
            <w:gridSpan w:val="3"/>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u w:val="single" w:color="auto"/>
                <w:color w:val="auto"/>
              </w:rPr>
              <w:t>$</w:t>
            </w:r>
            <w:r>
              <w:rPr>
                <w:rFonts w:ascii="Times New Roman" w:cs="Times New Roman" w:eastAsia="Times New Roman" w:hAnsi="Times New Roman"/>
                <w:sz w:val="14"/>
                <w:szCs w:val="14"/>
                <w:color w:val="auto"/>
              </w:rPr>
              <w:t>8,509</w:t>
            </w:r>
          </w:p>
        </w:tc>
        <w:tc>
          <w:tcPr>
            <w:tcW w:w="40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u w:val="single" w:color="auto"/>
                <w:color w:val="auto"/>
                <w:w w:val="98"/>
              </w:rPr>
              <w:t>$</w:t>
            </w:r>
            <w:r>
              <w:rPr>
                <w:rFonts w:ascii="Times New Roman" w:cs="Times New Roman" w:eastAsia="Times New Roman" w:hAnsi="Times New Roman"/>
                <w:sz w:val="14"/>
                <w:szCs w:val="14"/>
                <w:color w:val="auto"/>
                <w:w w:val="98"/>
              </w:rPr>
              <w:t>8,058</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58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right="160"/>
        <w:spacing w:after="0" w:line="254" w:lineRule="auto"/>
        <w:rPr>
          <w:sz w:val="20"/>
          <w:szCs w:val="20"/>
          <w:color w:val="auto"/>
        </w:rPr>
      </w:pPr>
      <w:r>
        <w:rPr>
          <w:rFonts w:ascii="Times New Roman" w:cs="Times New Roman" w:eastAsia="Times New Roman" w:hAnsi="Times New Roman"/>
          <w:sz w:val="18"/>
          <w:szCs w:val="18"/>
          <w:color w:val="auto"/>
        </w:rPr>
        <w:t>At December 31, 2012 a funding improvement plan was in place for the Massachusetts Laborers Pension Fund. This plan did not require the Company to pay a surcharge on contributions for years presented. The Company does not expect any future increased contributions to have a material negative impact on its financial position, results of operations or cash flows for future years. The risks of participating in multiemployer plans are different from single employer plans as assets contributed are available to provide benefits to employees of other employers and unfunded obligations from an employer that discontinues contributions are the responsibility of all remaining employers. In addition, in the event of a plan’s termination or the Company’s withdrawal from a plan, the Company may be liable for a portion of the plan’s unfunded vested benefits. However, information from the plans’ administrators is not available to permit the Company to determine its share, if any, of unfunded vested benefits.</w:t>
      </w:r>
    </w:p>
    <w:p>
      <w:pPr>
        <w:spacing w:after="0" w:line="261" w:lineRule="exact"/>
        <w:rPr>
          <w:sz w:val="20"/>
          <w:szCs w:val="20"/>
          <w:color w:val="auto"/>
        </w:rPr>
      </w:pPr>
    </w:p>
    <w:p>
      <w:pPr>
        <w:ind w:left="460" w:right="7160" w:hanging="6"/>
        <w:spacing w:after="0" w:line="345" w:lineRule="auto"/>
        <w:tabs>
          <w:tab w:leader="none" w:pos="895" w:val="left"/>
        </w:tabs>
        <w:numPr>
          <w:ilvl w:val="0"/>
          <w:numId w:val="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COMMITMENTS AND CONTINGENCIES </w:t>
      </w:r>
      <w:r>
        <w:rPr>
          <w:rFonts w:ascii="Times New Roman" w:cs="Times New Roman" w:eastAsia="Times New Roman" w:hAnsi="Times New Roman"/>
          <w:sz w:val="18"/>
          <w:szCs w:val="18"/>
          <w:b w:val="1"/>
          <w:bCs w:val="1"/>
          <w:i w:val="1"/>
          <w:iCs w:val="1"/>
          <w:color w:val="auto"/>
        </w:rPr>
        <w:t>Commercial commitments</w:t>
      </w:r>
    </w:p>
    <w:p>
      <w:pPr>
        <w:spacing w:after="0" w:line="1" w:lineRule="exact"/>
        <w:rPr>
          <w:sz w:val="20"/>
          <w:szCs w:val="20"/>
          <w:color w:val="auto"/>
        </w:rPr>
      </w:pPr>
    </w:p>
    <w:p>
      <w:pPr>
        <w:ind w:right="20" w:firstLine="456"/>
        <w:spacing w:after="0" w:line="296" w:lineRule="auto"/>
        <w:rPr>
          <w:sz w:val="20"/>
          <w:szCs w:val="20"/>
          <w:color w:val="auto"/>
        </w:rPr>
      </w:pPr>
      <w:r>
        <w:rPr>
          <w:rFonts w:ascii="Times New Roman" w:cs="Times New Roman" w:eastAsia="Times New Roman" w:hAnsi="Times New Roman"/>
          <w:sz w:val="16"/>
          <w:szCs w:val="16"/>
          <w:color w:val="auto"/>
        </w:rPr>
        <w:t>Performance and bid bonds are customarily required for dredging and marine construction projects, as well as some demolition projects. In September 2011, the Company entered into a bonding agreement with Zurich American Insurance Company (“Zurich”) under which the Company can obtain performance, bid and payment bonds. The Company also has outstanding bonds with Travelers Casualty and Surety Company of America. Bid bonds are generally obtained for a percentage of bid value and amounts outstanding typically range from $1,000 to $10,000. At December 31, 2012, the Company had outstanding performance bonds valued at approximately $614,523; however, the revenue value remaining in backlog related to these projects totaled approximately $188,512.</w:t>
      </w:r>
    </w:p>
    <w:p>
      <w:pPr>
        <w:spacing w:after="0" w:line="108" w:lineRule="exact"/>
        <w:rPr>
          <w:sz w:val="20"/>
          <w:szCs w:val="20"/>
          <w:color w:val="auto"/>
        </w:rPr>
      </w:pPr>
    </w:p>
    <w:p>
      <w:pPr>
        <w:ind w:right="100" w:firstLine="456"/>
        <w:spacing w:after="0" w:line="310" w:lineRule="auto"/>
        <w:rPr>
          <w:sz w:val="20"/>
          <w:szCs w:val="20"/>
          <w:color w:val="auto"/>
        </w:rPr>
      </w:pPr>
      <w:r>
        <w:rPr>
          <w:rFonts w:ascii="Times New Roman" w:cs="Times New Roman" w:eastAsia="Times New Roman" w:hAnsi="Times New Roman"/>
          <w:sz w:val="16"/>
          <w:szCs w:val="16"/>
          <w:color w:val="auto"/>
        </w:rPr>
        <w:t>Certain foreign projects performed by the Company have warranty periods, typically spanning no more than one to three years beyond project completion, whereby the Company retains responsibility to maintain the project site to certain specifications during the warranty period. Generally, any potential liability of the Company is mitigated by insurance, shared responsibilities with consortium partners, and/or recourse to owner-provided specifications.</w:t>
      </w:r>
    </w:p>
    <w:p>
      <w:pPr>
        <w:spacing w:after="0" w:line="17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 and other contingencies</w:t>
      </w:r>
    </w:p>
    <w:p>
      <w:pPr>
        <w:spacing w:after="0" w:line="94" w:lineRule="exact"/>
        <w:rPr>
          <w:sz w:val="20"/>
          <w:szCs w:val="20"/>
          <w:color w:val="auto"/>
        </w:rPr>
      </w:pPr>
    </w:p>
    <w:p>
      <w:pPr>
        <w:ind w:right="140" w:firstLine="456"/>
        <w:spacing w:after="0" w:line="262" w:lineRule="auto"/>
        <w:rPr>
          <w:sz w:val="20"/>
          <w:szCs w:val="20"/>
          <w:color w:val="auto"/>
        </w:rPr>
      </w:pPr>
      <w:r>
        <w:rPr>
          <w:rFonts w:ascii="Times New Roman" w:cs="Times New Roman" w:eastAsia="Times New Roman" w:hAnsi="Times New Roman"/>
          <w:sz w:val="18"/>
          <w:szCs w:val="18"/>
          <w:color w:val="auto"/>
        </w:rPr>
        <w:t>As is customary with negotiated contracts and modifications or claims to competitively bid contracts with the federal government, the government has the right to audit the books and records of the Company to ensure compliance with such contracts, modifications, or claims, and the applicable federal laws. The government has the ability to seek a price adjustment</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ectPr>
          <w:pgSz w:w="11900" w:h="16838" w:orient="portrait"/>
          <w:cols w:equalWidth="0" w:num="1">
            <w:col w:w="11420"/>
          </w:cols>
          <w:pgMar w:left="240" w:top="455" w:right="239" w:bottom="1440" w:gutter="0" w:footer="0" w:header="0"/>
        </w:sectPr>
      </w:pPr>
    </w:p>
    <w:bookmarkStart w:id="85" w:name="page86"/>
    <w:bookmarkEnd w:id="8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340"/>
        <w:spacing w:after="0" w:line="275" w:lineRule="auto"/>
        <w:rPr>
          <w:sz w:val="20"/>
          <w:szCs w:val="20"/>
          <w:color w:val="auto"/>
        </w:rPr>
      </w:pPr>
      <w:r>
        <w:rPr>
          <w:rFonts w:ascii="Times New Roman" w:cs="Times New Roman" w:eastAsia="Times New Roman" w:hAnsi="Times New Roman"/>
          <w:sz w:val="18"/>
          <w:szCs w:val="18"/>
          <w:color w:val="auto"/>
        </w:rPr>
        <w:t>based on the results of such audit. Any such audits have not had, and are not expected to have, a material impact on the financial position, operations, or cash flows of the Company.</w:t>
      </w:r>
    </w:p>
    <w:p>
      <w:pPr>
        <w:spacing w:after="0" w:line="120" w:lineRule="exact"/>
        <w:rPr>
          <w:sz w:val="20"/>
          <w:szCs w:val="20"/>
          <w:color w:val="auto"/>
        </w:rPr>
      </w:pPr>
    </w:p>
    <w:p>
      <w:pPr>
        <w:ind w:right="120" w:firstLine="456"/>
        <w:spacing w:after="0" w:line="255" w:lineRule="auto"/>
        <w:rPr>
          <w:sz w:val="20"/>
          <w:szCs w:val="20"/>
          <w:color w:val="auto"/>
        </w:rPr>
      </w:pPr>
      <w:r>
        <w:rPr>
          <w:rFonts w:ascii="Times New Roman" w:cs="Times New Roman" w:eastAsia="Times New Roman" w:hAnsi="Times New Roman"/>
          <w:sz w:val="18"/>
          <w:szCs w:val="18"/>
          <w:color w:val="auto"/>
        </w:rPr>
        <w:t>Various legal actions, claims, assessments and other contingencies arising in the ordinary course of business are pending against the Company and certain of its subsidiaries. These matters are subject to many uncertainties, and it is possible that some of these matters could ultimately be decided, resolved, or settled adversely to the Company. Although the Company is subject to various claims and legal actions that arise in the ordinary course of business, except as described below, the Company is not currently a party to any material legal proceedings or environmental claims. The Company records an accrual when it is probable a liability has been incurred and the amount of loss can be reasonably estimated. The Company does not believe any of these proceedings, individually or in the aggregate, would be expected to have a material effect on results of operations, cash flows or financial condition.</w:t>
      </w:r>
    </w:p>
    <w:p>
      <w:pPr>
        <w:spacing w:after="0" w:line="139"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On August 26, 2009, the Company’s subsidiary, NASDI, LLC (“NASDI”), received a letter stating that the Attorney General for the Commonwealth of Massachusetts is investigating alleged violations of the Massachusetts Solid Waste Act. The Company believes that the Massachusetts Attorney General is investigating illegal dumping activities at a dump site NASDI contracted with to have waste materials disposed of between September 2007 and July 2008. Per the Massachusetts Attorney General’s request, NASDI executed a tolling agreement regarding the matter in 2009 and engaged in further discussions with the Massachusetts Attorney General’s office in the second quarter of 2011, but has had no further contact with the Massachusetts Attorney General’s office since then. The matter remains open, and, to the Company’s knowledge, no proceedings have currently been initiated against NASDI. Should a claim be brought, NASDI intends to defend itself vigorously. Based on consideration of all of the facts and circumstances now known, the Company does not believe this claim will have a material impact on its business, financial position, results of operations or cash flows.</w:t>
      </w:r>
    </w:p>
    <w:p>
      <w:pPr>
        <w:spacing w:after="0" w:line="138" w:lineRule="exact"/>
        <w:rPr>
          <w:sz w:val="20"/>
          <w:szCs w:val="20"/>
          <w:color w:val="auto"/>
        </w:rPr>
      </w:pPr>
    </w:p>
    <w:p>
      <w:pPr>
        <w:ind w:right="120" w:firstLine="456"/>
        <w:spacing w:after="0" w:line="296" w:lineRule="auto"/>
        <w:rPr>
          <w:sz w:val="20"/>
          <w:szCs w:val="20"/>
          <w:color w:val="auto"/>
        </w:rPr>
      </w:pPr>
      <w:r>
        <w:rPr>
          <w:rFonts w:ascii="Times New Roman" w:cs="Times New Roman" w:eastAsia="Times New Roman" w:hAnsi="Times New Roman"/>
          <w:sz w:val="16"/>
          <w:szCs w:val="16"/>
          <w:color w:val="auto"/>
        </w:rPr>
        <w:t>On March 27, 2011, NASDI received a subpoena from a federal grand jury in the District of Massachusetts directing NASDI to furnish certain documents relating to certain projects performed by NASDI since January 2005. The Company conducted an internal investigation into this matter and continues to fully cooperate with the federal grand jury subpoena. Based on the early stage of the U.S. Department of Justice’s investigation and the limited information known to the Company, the Company cannot predict the outcome of the investigation, the U.S. Attorney’s views of the issues being investigated, any action the U.S. Attorney may take, or the impact, if any, that this matter may have on the Company’s business, financial position, results of operations or cash flows.</w:t>
      </w:r>
    </w:p>
    <w:p>
      <w:pPr>
        <w:spacing w:after="0" w:line="108" w:lineRule="exact"/>
        <w:rPr>
          <w:sz w:val="20"/>
          <w:szCs w:val="20"/>
          <w:color w:val="auto"/>
        </w:rPr>
      </w:pPr>
    </w:p>
    <w:p>
      <w:pPr>
        <w:ind w:right="100" w:firstLine="456"/>
        <w:spacing w:after="0" w:line="291" w:lineRule="auto"/>
        <w:rPr>
          <w:sz w:val="20"/>
          <w:szCs w:val="20"/>
          <w:color w:val="auto"/>
        </w:rPr>
      </w:pPr>
      <w:r>
        <w:rPr>
          <w:rFonts w:ascii="Times New Roman" w:cs="Times New Roman" w:eastAsia="Times New Roman" w:hAnsi="Times New Roman"/>
          <w:sz w:val="16"/>
          <w:szCs w:val="16"/>
          <w:color w:val="auto"/>
        </w:rPr>
        <w:t xml:space="preserve">On March 19, 2013, the Company and three of its current and former executives were sued in a securities class action in the Northern District of Illinois captioned </w:t>
      </w:r>
      <w:r>
        <w:rPr>
          <w:rFonts w:ascii="Times New Roman" w:cs="Times New Roman" w:eastAsia="Times New Roman" w:hAnsi="Times New Roman"/>
          <w:sz w:val="16"/>
          <w:szCs w:val="16"/>
          <w:i w:val="1"/>
          <w:iCs w:val="1"/>
          <w:color w:val="auto"/>
        </w:rPr>
        <w:t>United Union of Roofers, Waterproofers &amp; Allied Workers Local Union No. 8 v. Great Lakes Dredge &amp; Dock Corporation et al.,</w:t>
      </w:r>
      <w:r>
        <w:rPr>
          <w:rFonts w:ascii="Times New Roman" w:cs="Times New Roman" w:eastAsia="Times New Roman" w:hAnsi="Times New Roman"/>
          <w:sz w:val="16"/>
          <w:szCs w:val="16"/>
          <w:color w:val="auto"/>
        </w:rPr>
        <w:t xml:space="preserve"> Case No. 1:13-cv-02115. The lawsuit, which was brought on behalf of all purchasers of the Company’s securities between August 7, 2012 and March 14, 2013, primarily alleges that the defendants made false and misleading statements regarding the recognition of revenue in the demolition segment and with regard to the Company’s internal control over financial reporting. This suit was filed following the Company’s announcement on March 14, 2013 that it would restate its second and third quarter 2012 financial statements. A second, similar lawsuit captioned </w:t>
      </w:r>
      <w:r>
        <w:rPr>
          <w:rFonts w:ascii="Times New Roman" w:cs="Times New Roman" w:eastAsia="Times New Roman" w:hAnsi="Times New Roman"/>
          <w:sz w:val="16"/>
          <w:szCs w:val="16"/>
          <w:i w:val="1"/>
          <w:iCs w:val="1"/>
          <w:color w:val="auto"/>
        </w:rPr>
        <w:t>Boozer v. Great Lakes Dredge &amp; Dock Corporation et al.</w:t>
      </w:r>
      <w:r>
        <w:rPr>
          <w:rFonts w:ascii="Times New Roman" w:cs="Times New Roman" w:eastAsia="Times New Roman" w:hAnsi="Times New Roman"/>
          <w:sz w:val="16"/>
          <w:szCs w:val="16"/>
          <w:color w:val="auto"/>
        </w:rPr>
        <w:t>, Case No. 1:13-cv-02339, was filed in the Northern District of Illinois on March 28, 2013. The Company denies liability and intends to vigorously defend these actions.</w:t>
      </w:r>
    </w:p>
    <w:p>
      <w:pPr>
        <w:spacing w:after="0" w:line="113" w:lineRule="exact"/>
        <w:rPr>
          <w:sz w:val="20"/>
          <w:szCs w:val="20"/>
          <w:color w:val="auto"/>
        </w:rPr>
      </w:pPr>
    </w:p>
    <w:p>
      <w:pPr>
        <w:ind w:firstLine="456"/>
        <w:spacing w:after="0" w:line="275" w:lineRule="auto"/>
        <w:rPr>
          <w:sz w:val="20"/>
          <w:szCs w:val="20"/>
          <w:color w:val="auto"/>
        </w:rPr>
      </w:pPr>
      <w:r>
        <w:rPr>
          <w:rFonts w:ascii="Times New Roman" w:cs="Times New Roman" w:eastAsia="Times New Roman" w:hAnsi="Times New Roman"/>
          <w:sz w:val="18"/>
          <w:szCs w:val="18"/>
          <w:color w:val="auto"/>
        </w:rPr>
        <w:t>The Company has not accrued any amounts with respect to the above matters as the Company does not believe, based on information currently known to it, that a loss relating to these matters is probable, and an estimate of a range of potential losses relating to these matters cannot reasonably be made.</w:t>
      </w:r>
    </w:p>
    <w:p>
      <w:pPr>
        <w:spacing w:after="0" w:line="120" w:lineRule="exact"/>
        <w:rPr>
          <w:sz w:val="20"/>
          <w:szCs w:val="20"/>
          <w:color w:val="auto"/>
        </w:rPr>
      </w:pPr>
    </w:p>
    <w:p>
      <w:pPr>
        <w:jc w:val="both"/>
        <w:ind w:right="40" w:firstLine="456"/>
        <w:spacing w:after="0" w:line="258" w:lineRule="auto"/>
        <w:rPr>
          <w:sz w:val="20"/>
          <w:szCs w:val="20"/>
          <w:color w:val="auto"/>
        </w:rPr>
      </w:pPr>
      <w:r>
        <w:rPr>
          <w:rFonts w:ascii="Times New Roman" w:cs="Times New Roman" w:eastAsia="Times New Roman" w:hAnsi="Times New Roman"/>
          <w:sz w:val="18"/>
          <w:szCs w:val="18"/>
          <w:color w:val="auto"/>
        </w:rPr>
        <w:t>During the quarter ended March 31, 2012, a favorable judgment was rendered in the Company’s loss of use claim related to the dredge New York allision in the approach channel to Port Newark, New Jersey. In January 2008, the Company filed suit against the M/V Orange Sun and her owners for damages incurred by the Company in connection with the allision. Following a bench trial in the United States District Court in the Southern District of New York, the Court issued an opinion and order in the Company’s favor, entitling Great Lakes to $11,736 in</w:t>
      </w:r>
    </w:p>
    <w:p>
      <w:pPr>
        <w:spacing w:after="0" w:line="1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84</w:t>
      </w:r>
    </w:p>
    <w:p>
      <w:pPr>
        <w:sectPr>
          <w:pgSz w:w="11900" w:h="16838" w:orient="portrait"/>
          <w:cols w:equalWidth="0" w:num="1">
            <w:col w:w="11400"/>
          </w:cols>
          <w:pgMar w:left="240" w:top="455" w:right="259" w:bottom="1440" w:gutter="0" w:footer="0" w:header="0"/>
        </w:sectPr>
      </w:pPr>
    </w:p>
    <w:bookmarkStart w:id="86" w:name="page87"/>
    <w:bookmarkEnd w:id="8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140"/>
        <w:spacing w:after="0" w:line="262" w:lineRule="auto"/>
        <w:rPr>
          <w:sz w:val="20"/>
          <w:szCs w:val="20"/>
          <w:color w:val="auto"/>
        </w:rPr>
      </w:pPr>
      <w:r>
        <w:rPr>
          <w:rFonts w:ascii="Times New Roman" w:cs="Times New Roman" w:eastAsia="Times New Roman" w:hAnsi="Times New Roman"/>
          <w:sz w:val="18"/>
          <w:szCs w:val="18"/>
          <w:color w:val="auto"/>
        </w:rPr>
        <w:t>damages plus pre-judgment interest. Judgment was rendered in the aggregate amount of $13,272. Defendants timely appealed the judgment to the United States Court of Appeals for the Second Circuit. Briefing on the appeal is now complete, and oral argument is expected to take place in the first half of 2013. The Company cannot be assured when the appeal will be heard or predict the outcome of the appellate process.</w:t>
      </w:r>
    </w:p>
    <w:p>
      <w:pPr>
        <w:spacing w:after="0" w:line="21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Lease obligations</w:t>
      </w:r>
    </w:p>
    <w:p>
      <w:pPr>
        <w:spacing w:after="0" w:line="92"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The Company leases certain operating equipment and office facilities under long-term operating leases expiring at various dates through 2022. The equipment leases contain renewal or purchase options that specify prices at the then fair value upon the expiration of the lease terms. The leases also contain default provisions that are triggered by an acceleration of debt maturity under the terms of the Company’s Credit Agreement, or, in certain instances, cross default to other equipment leases and certain lease arrangements require that the Company maintain certain financial ratios comparable to those required by its Credit Agreement. Additionally, the leases typically contain provisions whereby the Company indemnifies the lessors for the tax treatment attributable to such leases based on the tax rules in place at lease inception. The tax indemnifications do not have a contractual dollar limit. To date, no lessors have asserted any claims against the Company under these tax indemnification provisions.</w:t>
      </w:r>
    </w:p>
    <w:p>
      <w:pPr>
        <w:spacing w:after="0" w:line="141" w:lineRule="exact"/>
        <w:rPr>
          <w:sz w:val="20"/>
          <w:szCs w:val="20"/>
          <w:color w:val="auto"/>
        </w:rPr>
      </w:pPr>
    </w:p>
    <w:tbl>
      <w:tblPr>
        <w:tblLayout w:type="fixed"/>
        <w:tblInd w:w="460" w:type="dxa"/>
        <w:tblCellMar>
          <w:top w:w="0" w:type="dxa"/>
          <w:left w:w="0" w:type="dxa"/>
          <w:bottom w:w="0" w:type="dxa"/>
          <w:right w:w="0" w:type="dxa"/>
        </w:tblCellMar>
      </w:tblPr>
      <w:tr>
        <w:trPr>
          <w:trHeight w:val="228"/>
        </w:trPr>
        <w:tc>
          <w:tcPr>
            <w:tcW w:w="7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Future minimum operating lease payments at December 31, 2012, are as follows:</w:t>
            </w:r>
          </w:p>
        </w:tc>
        <w:tc>
          <w:tcPr>
            <w:tcW w:w="14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1380" w:type="dxa"/>
            <w:vAlign w:val="bottom"/>
            <w:vMerge w:val="restart"/>
          </w:tcPr>
          <w:p>
            <w:pPr>
              <w:spacing w:after="0"/>
              <w:rPr>
                <w:sz w:val="17"/>
                <w:szCs w:val="17"/>
                <w:color w:val="auto"/>
              </w:rPr>
            </w:pPr>
          </w:p>
        </w:tc>
        <w:tc>
          <w:tcPr>
            <w:tcW w:w="57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380" w:type="dxa"/>
            <w:vAlign w:val="bottom"/>
            <w:vMerge w:val="continue"/>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2013</w:t>
            </w:r>
          </w:p>
        </w:tc>
        <w:tc>
          <w:tcPr>
            <w:tcW w:w="1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$19,408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2014</w:t>
            </w:r>
          </w:p>
        </w:tc>
        <w:tc>
          <w:tcPr>
            <w:tcW w:w="1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18,285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2015</w:t>
            </w:r>
          </w:p>
        </w:tc>
        <w:tc>
          <w:tcPr>
            <w:tcW w:w="1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17,298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2016</w:t>
            </w:r>
          </w:p>
        </w:tc>
        <w:tc>
          <w:tcPr>
            <w:tcW w:w="1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16,589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2017</w:t>
            </w:r>
          </w:p>
        </w:tc>
        <w:tc>
          <w:tcPr>
            <w:tcW w:w="1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13,915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380" w:type="dxa"/>
            <w:vAlign w:val="bottom"/>
          </w:tcPr>
          <w:p>
            <w:pPr>
              <w:spacing w:after="0"/>
              <w:rPr>
                <w:sz w:val="19"/>
                <w:szCs w:val="19"/>
                <w:color w:val="auto"/>
              </w:rPr>
            </w:pPr>
          </w:p>
        </w:tc>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140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13,422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minimum operating lease payments</w:t>
            </w:r>
          </w:p>
        </w:tc>
        <w:tc>
          <w:tcPr>
            <w:tcW w:w="1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98,917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right="540" w:firstLine="456"/>
        <w:spacing w:after="0" w:line="275" w:lineRule="auto"/>
        <w:rPr>
          <w:sz w:val="20"/>
          <w:szCs w:val="20"/>
          <w:color w:val="auto"/>
        </w:rPr>
      </w:pPr>
      <w:r>
        <w:rPr>
          <w:rFonts w:ascii="Times New Roman" w:cs="Times New Roman" w:eastAsia="Times New Roman" w:hAnsi="Times New Roman"/>
          <w:sz w:val="18"/>
          <w:szCs w:val="18"/>
          <w:color w:val="auto"/>
        </w:rPr>
        <w:t>Total rent expense under long-term operating lease arrangements for the years ended December 31, 2012, 2011 and 2010 was $19,263, $16,968 and $17,397, respectively. This excludes expenses for equipment and facilities rented on a short-term, as-needed basis.</w:t>
      </w:r>
    </w:p>
    <w:p>
      <w:pPr>
        <w:spacing w:after="0" w:line="239" w:lineRule="exact"/>
        <w:rPr>
          <w:sz w:val="20"/>
          <w:szCs w:val="20"/>
          <w:color w:val="auto"/>
        </w:rPr>
      </w:pPr>
    </w:p>
    <w:p>
      <w:pPr>
        <w:ind w:left="900" w:hanging="446"/>
        <w:spacing w:after="0"/>
        <w:tabs>
          <w:tab w:leader="none" w:pos="900" w:val="left"/>
        </w:tabs>
        <w:numPr>
          <w:ilvl w:val="0"/>
          <w:numId w:val="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RELATED-PARTY TRANSACTIONS</w:t>
      </w:r>
    </w:p>
    <w:p>
      <w:pPr>
        <w:spacing w:after="0" w:line="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The demolition business is operated out of a building owned by a minority interest owner in Yankee and prior to 2011, a profits interest owner in NASDI.</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2012, 2011 and 2010, NASDI and Yankee paid the minority interest owner $449, $483 and $312, respectively, for rent and property taxes.</w:t>
      </w:r>
    </w:p>
    <w:p>
      <w:pPr>
        <w:spacing w:after="0" w:line="159" w:lineRule="exact"/>
        <w:rPr>
          <w:sz w:val="20"/>
          <w:szCs w:val="20"/>
          <w:color w:val="auto"/>
        </w:rPr>
      </w:pPr>
    </w:p>
    <w:p>
      <w:pPr>
        <w:ind w:right="40" w:firstLine="456"/>
        <w:spacing w:after="0" w:line="275" w:lineRule="auto"/>
        <w:rPr>
          <w:sz w:val="20"/>
          <w:szCs w:val="20"/>
          <w:color w:val="auto"/>
        </w:rPr>
      </w:pPr>
      <w:r>
        <w:rPr>
          <w:rFonts w:ascii="Times New Roman" w:cs="Times New Roman" w:eastAsia="Times New Roman" w:hAnsi="Times New Roman"/>
          <w:sz w:val="18"/>
          <w:szCs w:val="18"/>
          <w:color w:val="auto"/>
        </w:rPr>
        <w:t>Our rivers &amp; lakes group operates out of a facility owned by the former owner of Matteson. The Company paid $95 and $103 in rent to the building owner during 2012 and 2011, respectively. As the purchase of Matteson occurred on December 31, 2010, the Company paid no rents in 2010.</w:t>
      </w:r>
    </w:p>
    <w:p>
      <w:pPr>
        <w:spacing w:after="0" w:line="120" w:lineRule="exact"/>
        <w:rPr>
          <w:sz w:val="20"/>
          <w:szCs w:val="20"/>
          <w:color w:val="auto"/>
        </w:rPr>
      </w:pPr>
    </w:p>
    <w:p>
      <w:pPr>
        <w:ind w:right="180" w:firstLine="456"/>
        <w:spacing w:after="0" w:line="275" w:lineRule="auto"/>
        <w:rPr>
          <w:sz w:val="20"/>
          <w:szCs w:val="20"/>
          <w:color w:val="auto"/>
        </w:rPr>
      </w:pPr>
      <w:r>
        <w:rPr>
          <w:rFonts w:ascii="Times New Roman" w:cs="Times New Roman" w:eastAsia="Times New Roman" w:hAnsi="Times New Roman"/>
          <w:sz w:val="18"/>
          <w:szCs w:val="18"/>
          <w:color w:val="auto"/>
        </w:rPr>
        <w:t>Terra Contracting Services, LLC, operates out of facilities owned by the President of Terra Contracting Services, LLC who was also the former owner of Terra Contracting, LLC. As the purchase of Terra occurred on December 31, 2012, the Company paid no rents in 2012.</w:t>
      </w:r>
    </w:p>
    <w:p>
      <w:pPr>
        <w:spacing w:after="0" w:line="239" w:lineRule="exact"/>
        <w:rPr>
          <w:sz w:val="20"/>
          <w:szCs w:val="20"/>
          <w:color w:val="auto"/>
        </w:rPr>
      </w:pPr>
    </w:p>
    <w:p>
      <w:pPr>
        <w:ind w:left="460" w:right="5980" w:hanging="6"/>
        <w:spacing w:after="0" w:line="345" w:lineRule="auto"/>
        <w:tabs>
          <w:tab w:leader="none" w:pos="895" w:val="left"/>
        </w:tabs>
        <w:numPr>
          <w:ilvl w:val="0"/>
          <w:numId w:val="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BUSINESS COMBINATIONS AND REORGANIZATIONS </w:t>
      </w:r>
      <w:r>
        <w:rPr>
          <w:rFonts w:ascii="Times New Roman" w:cs="Times New Roman" w:eastAsia="Times New Roman" w:hAnsi="Times New Roman"/>
          <w:sz w:val="18"/>
          <w:szCs w:val="18"/>
          <w:i w:val="1"/>
          <w:iCs w:val="1"/>
          <w:color w:val="auto"/>
        </w:rPr>
        <w:t>Terra Contracting acquisition</w:t>
      </w:r>
    </w:p>
    <w:p>
      <w:pPr>
        <w:spacing w:after="0" w:line="1" w:lineRule="exact"/>
        <w:rPr>
          <w:sz w:val="20"/>
          <w:szCs w:val="20"/>
          <w:color w:val="auto"/>
        </w:rPr>
      </w:pPr>
    </w:p>
    <w:p>
      <w:pPr>
        <w:ind w:right="220" w:firstLine="456"/>
        <w:spacing w:after="0" w:line="275" w:lineRule="auto"/>
        <w:rPr>
          <w:sz w:val="20"/>
          <w:szCs w:val="20"/>
          <w:color w:val="auto"/>
        </w:rPr>
      </w:pPr>
      <w:r>
        <w:rPr>
          <w:rFonts w:ascii="Times New Roman" w:cs="Times New Roman" w:eastAsia="Times New Roman" w:hAnsi="Times New Roman"/>
          <w:sz w:val="18"/>
          <w:szCs w:val="18"/>
          <w:color w:val="auto"/>
        </w:rPr>
        <w:t>On December 31, 2012, the Company acquired the assets including certain assumed liabilities of Terra Contracting, LLC, a respected provider of a wide variety of essential services for environmental, maintenance</w:t>
      </w:r>
    </w:p>
    <w:p>
      <w:pPr>
        <w:spacing w:after="0" w:line="1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85</w:t>
      </w:r>
    </w:p>
    <w:p>
      <w:pPr>
        <w:sectPr>
          <w:pgSz w:w="11900" w:h="16838" w:orient="portrait"/>
          <w:cols w:equalWidth="0" w:num="1">
            <w:col w:w="11380"/>
          </w:cols>
          <w:pgMar w:left="240" w:top="455" w:right="279" w:bottom="1440" w:gutter="0" w:footer="0" w:header="0"/>
        </w:sectPr>
      </w:pPr>
    </w:p>
    <w:bookmarkStart w:id="87" w:name="page88"/>
    <w:bookmarkEnd w:id="8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and infrastructure-related applications headquartered in Kalamazoo, MI, for a purchase price of approximately $26 million. The Terra acquisition will broaden the Company’s demolition segment with additional services and expertise as well as expand its footprint in the Midwest. Furthermore, the seller may receive cash payments for any of the calendar years ended 2013, 2014 and 2015 if certain earnings based criteria are met. Per the purchase agreement, for each calendar year, the earnout payment amount shall be equal to (i) 25% of the amount, up to $500, by which EBITDA exceeds $4,000 plus (ii) 50% of the amount by which EBITDA exceeds $4,500; provided, that in no event shall seller receive an amount more than $2,000. At December 31, 2012, the fair value of the recorded earnout liability was $1,636, of which $647 is recorded in accrued liabilities and $989 is recorded in other liabilities. After assuming the seller’s indebtedness, the acquisition was funded with a seller note of $10,547 and future contingent consideration. In addition, $2,000 of cash was placed in escrow pursuant to the indemnification clauses in the purchase agreement. The balance of the note was paid in January 2013.</w:t>
      </w:r>
    </w:p>
    <w:p>
      <w:pPr>
        <w:spacing w:after="0" w:line="138" w:lineRule="exact"/>
        <w:rPr>
          <w:sz w:val="20"/>
          <w:szCs w:val="20"/>
          <w:color w:val="auto"/>
        </w:rPr>
      </w:pPr>
    </w:p>
    <w:p>
      <w:pPr>
        <w:ind w:right="40" w:firstLine="456"/>
        <w:spacing w:after="0" w:line="255" w:lineRule="auto"/>
        <w:rPr>
          <w:sz w:val="20"/>
          <w:szCs w:val="20"/>
          <w:color w:val="auto"/>
        </w:rPr>
      </w:pPr>
      <w:r>
        <w:rPr>
          <w:rFonts w:ascii="Times New Roman" w:cs="Times New Roman" w:eastAsia="Times New Roman" w:hAnsi="Times New Roman"/>
          <w:sz w:val="18"/>
          <w:szCs w:val="18"/>
          <w:color w:val="auto"/>
        </w:rPr>
        <w:t>The purchase price has been preliminarily allocated to the assets acquired and liabilities assumed using estimated fair values as of the acquisition date. Tangible assets acquired of $27 million primarily were receivables of $14.6 million and property, plant, and equipment of $11.3 million. Finite-lived intangible assets acquired of $2.7 million were primarily related to a non-compete agreement and also included acquired backlog, patents and trade names. The acquired backlog is being amortized on a straight-line basis over one year while all other finite-lived intangible assets are being amortized on a straight-line basis over five years. Liabilities assumed of $18.3 million, includes primarily $17.5 million of accounts payable. Goodwill of $2.8 million represents the excess of cost over the fair value of the net tangible and intangible assets acquired.</w:t>
      </w:r>
    </w:p>
    <w:p>
      <w:pPr>
        <w:spacing w:after="0" w:line="139" w:lineRule="exact"/>
        <w:rPr>
          <w:sz w:val="20"/>
          <w:szCs w:val="20"/>
          <w:color w:val="auto"/>
        </w:rPr>
      </w:pPr>
    </w:p>
    <w:p>
      <w:pPr>
        <w:ind w:right="460" w:firstLine="456"/>
        <w:spacing w:after="0" w:line="275" w:lineRule="auto"/>
        <w:rPr>
          <w:sz w:val="20"/>
          <w:szCs w:val="20"/>
          <w:color w:val="auto"/>
        </w:rPr>
      </w:pPr>
      <w:r>
        <w:rPr>
          <w:rFonts w:ascii="Times New Roman" w:cs="Times New Roman" w:eastAsia="Times New Roman" w:hAnsi="Times New Roman"/>
          <w:sz w:val="18"/>
          <w:szCs w:val="18"/>
          <w:color w:val="auto"/>
        </w:rPr>
        <w:t>As the acquisition took place on December 31, 2012, no income or earnings of Terra were included in the consolidated statement of operations of the Company for the period ended December 31, 2012.</w:t>
      </w:r>
    </w:p>
    <w:p>
      <w:pPr>
        <w:spacing w:after="0" w:line="19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Matteson acquisition</w:t>
      </w:r>
    </w:p>
    <w:p>
      <w:pPr>
        <w:spacing w:after="0" w:line="92" w:lineRule="exact"/>
        <w:rPr>
          <w:sz w:val="20"/>
          <w:szCs w:val="20"/>
          <w:color w:val="auto"/>
        </w:rPr>
      </w:pPr>
    </w:p>
    <w:p>
      <w:pPr>
        <w:ind w:right="40" w:firstLine="456"/>
        <w:spacing w:after="0" w:line="253" w:lineRule="auto"/>
        <w:rPr>
          <w:sz w:val="20"/>
          <w:szCs w:val="20"/>
          <w:color w:val="auto"/>
        </w:rPr>
      </w:pPr>
      <w:r>
        <w:rPr>
          <w:rFonts w:ascii="Times New Roman" w:cs="Times New Roman" w:eastAsia="Times New Roman" w:hAnsi="Times New Roman"/>
          <w:sz w:val="18"/>
          <w:szCs w:val="18"/>
          <w:color w:val="auto"/>
        </w:rPr>
        <w:t>On December 31, 2010, the Company acquired the assets of L.W. Matteson, Inc., a maintenance dredging, environmental dredging and levee construction company located in Burlington, IA, for a base purchase price of $45 million. The Matteson acquisition expands the Company’s service offering into inland river, lakes and environmental dredging and levee construction using dredge material. The purchase price was subject to an adjustment based upon the closing working capital balance, which resulted in the recognition of additional purchase price of $369. Furthermore, the seller may receive cash payments for any of the calendar years ended 2011, 2012 and 2013 if certain earnings-based criteria are met. Per the purchase agreement, if Business EBITDA for any of these calendar years exceeds $9.0 million but is equal to or less than $12.0 million, the earnout payment shall be an amount equal to the product of (i) the amount by which Business EBITDA for such earnout period exceeds $9.0 million multiplied by (ii) 15%, and if Business EBITDA for such earnout period is greater than $12.0 million, the earnout payment shall be in an amount equal to the sum of (i) $450 plus (ii) the product of (x) the amount by which Business EBITDA for such earnout period exceeds $12.0 million multiplied by (y) 25%. There is no limit to the amount of earnout the seller may receive. At December 31, 2012 and 2011, the fair value of the recorded earnout liability was $0 and $240 which is recorded in other liabilities. No further liability is currently expected as future earnings projections do not warrant any monies to be paid per the contingent earnout calculation.</w:t>
      </w:r>
    </w:p>
    <w:p>
      <w:pPr>
        <w:spacing w:after="0" w:line="13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The acquisition was funded with $37.5 million in cash and a seller note of $7.5 million. The following table summarizes the allocation of purchase price:</w:t>
      </w:r>
    </w:p>
    <w:p>
      <w:pPr>
        <w:spacing w:after="0" w:line="249"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3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4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$36,173</w:t>
            </w:r>
          </w:p>
        </w:tc>
        <w:tc>
          <w:tcPr>
            <w:tcW w:w="120" w:type="dxa"/>
            <w:vAlign w:val="bottom"/>
            <w:shd w:val="clear" w:color="auto" w:fill="CCEEFF"/>
          </w:tcPr>
          <w:p>
            <w:pPr>
              <w:spacing w:after="0"/>
              <w:rPr>
                <w:sz w:val="18"/>
                <w:szCs w:val="18"/>
                <w:color w:val="auto"/>
              </w:rPr>
            </w:pPr>
          </w:p>
        </w:tc>
      </w:tr>
      <w:tr>
        <w:trPr>
          <w:trHeight w:val="216"/>
        </w:trPr>
        <w:tc>
          <w:tcPr>
            <w:tcW w:w="3060" w:type="dxa"/>
            <w:vAlign w:val="bottom"/>
          </w:tcPr>
          <w:p>
            <w:pPr>
              <w:spacing w:after="0"/>
              <w:rPr>
                <w:sz w:val="20"/>
                <w:szCs w:val="20"/>
                <w:color w:val="auto"/>
              </w:rPr>
            </w:pPr>
            <w:r>
              <w:rPr>
                <w:rFonts w:ascii="Times New Roman" w:cs="Times New Roman" w:eastAsia="Times New Roman" w:hAnsi="Times New Roman"/>
                <w:sz w:val="18"/>
                <w:szCs w:val="18"/>
                <w:color w:val="auto"/>
              </w:rPr>
              <w:t>Inventories</w:t>
            </w:r>
          </w:p>
        </w:tc>
        <w:tc>
          <w:tcPr>
            <w:tcW w:w="4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4,637</w:t>
            </w:r>
          </w:p>
        </w:tc>
        <w:tc>
          <w:tcPr>
            <w:tcW w:w="120" w:type="dxa"/>
            <w:vAlign w:val="bottom"/>
          </w:tcPr>
          <w:p>
            <w:pPr>
              <w:spacing w:after="0"/>
              <w:rPr>
                <w:sz w:val="18"/>
                <w:szCs w:val="18"/>
                <w:color w:val="auto"/>
              </w:rPr>
            </w:pPr>
          </w:p>
        </w:tc>
      </w:tr>
      <w:tr>
        <w:trPr>
          <w:trHeight w:val="216"/>
        </w:trPr>
        <w:tc>
          <w:tcPr>
            <w:tcW w:w="3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receivable</w:t>
            </w:r>
          </w:p>
        </w:tc>
        <w:tc>
          <w:tcPr>
            <w:tcW w:w="4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4,173</w:t>
            </w:r>
          </w:p>
        </w:tc>
        <w:tc>
          <w:tcPr>
            <w:tcW w:w="120" w:type="dxa"/>
            <w:vAlign w:val="bottom"/>
            <w:shd w:val="clear" w:color="auto" w:fill="CCEEFF"/>
          </w:tcPr>
          <w:p>
            <w:pPr>
              <w:spacing w:after="0"/>
              <w:rPr>
                <w:sz w:val="18"/>
                <w:szCs w:val="18"/>
                <w:color w:val="auto"/>
              </w:rPr>
            </w:pPr>
          </w:p>
        </w:tc>
      </w:tr>
      <w:tr>
        <w:trPr>
          <w:trHeight w:val="216"/>
        </w:trPr>
        <w:tc>
          <w:tcPr>
            <w:tcW w:w="306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assets</w:t>
            </w:r>
          </w:p>
        </w:tc>
        <w:tc>
          <w:tcPr>
            <w:tcW w:w="4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2,670</w:t>
            </w:r>
          </w:p>
        </w:tc>
        <w:tc>
          <w:tcPr>
            <w:tcW w:w="120" w:type="dxa"/>
            <w:vAlign w:val="bottom"/>
          </w:tcPr>
          <w:p>
            <w:pPr>
              <w:spacing w:after="0"/>
              <w:rPr>
                <w:sz w:val="18"/>
                <w:szCs w:val="18"/>
                <w:color w:val="auto"/>
              </w:rPr>
            </w:pPr>
          </w:p>
        </w:tc>
      </w:tr>
      <w:tr>
        <w:trPr>
          <w:trHeight w:val="216"/>
        </w:trPr>
        <w:tc>
          <w:tcPr>
            <w:tcW w:w="3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assets and liabilities — net</w:t>
            </w:r>
          </w:p>
        </w:tc>
        <w:tc>
          <w:tcPr>
            <w:tcW w:w="47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(644)</w:t>
            </w:r>
          </w:p>
        </w:tc>
      </w:tr>
      <w:tr>
        <w:trPr>
          <w:trHeight w:val="222"/>
        </w:trPr>
        <w:tc>
          <w:tcPr>
            <w:tcW w:w="306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400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5"/>
              </w:rPr>
              <w:t>$</w:t>
            </w:r>
            <w:r>
              <w:rPr>
                <w:rFonts w:ascii="Times New Roman" w:cs="Times New Roman" w:eastAsia="Times New Roman" w:hAnsi="Times New Roman"/>
                <w:sz w:val="18"/>
                <w:szCs w:val="18"/>
                <w:color w:val="auto"/>
                <w:w w:val="95"/>
              </w:rPr>
              <w:t>47,009</w:t>
            </w:r>
          </w:p>
        </w:tc>
        <w:tc>
          <w:tcPr>
            <w:tcW w:w="120" w:type="dxa"/>
            <w:vAlign w:val="bottom"/>
          </w:tcPr>
          <w:p>
            <w:pPr>
              <w:spacing w:after="0"/>
              <w:rPr>
                <w:sz w:val="19"/>
                <w:szCs w:val="19"/>
                <w:color w:val="auto"/>
              </w:rPr>
            </w:pPr>
          </w:p>
        </w:tc>
      </w:tr>
      <w:tr>
        <w:trPr>
          <w:trHeight w:val="371"/>
        </w:trPr>
        <w:tc>
          <w:tcPr>
            <w:tcW w:w="3060" w:type="dxa"/>
            <w:vAlign w:val="bottom"/>
          </w:tcPr>
          <w:p>
            <w:pPr>
              <w:spacing w:after="0"/>
              <w:rPr>
                <w:sz w:val="24"/>
                <w:szCs w:val="24"/>
                <w:color w:val="auto"/>
              </w:rPr>
            </w:pPr>
          </w:p>
        </w:tc>
        <w:tc>
          <w:tcPr>
            <w:tcW w:w="4000" w:type="dxa"/>
            <w:vAlign w:val="bottom"/>
          </w:tcPr>
          <w:p>
            <w:pPr>
              <w:jc w:val="right"/>
              <w:ind w:right="3012"/>
              <w:spacing w:after="0"/>
              <w:rPr>
                <w:sz w:val="20"/>
                <w:szCs w:val="20"/>
                <w:color w:val="auto"/>
              </w:rPr>
            </w:pPr>
            <w:r>
              <w:rPr>
                <w:rFonts w:ascii="Times New Roman" w:cs="Times New Roman" w:eastAsia="Times New Roman" w:hAnsi="Times New Roman"/>
                <w:sz w:val="18"/>
                <w:szCs w:val="18"/>
                <w:color w:val="auto"/>
              </w:rPr>
              <w:t>86</w:t>
            </w: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ectPr>
          <w:pgSz w:w="11900" w:h="16838" w:orient="portrait"/>
          <w:cols w:equalWidth="0" w:num="1">
            <w:col w:w="11400"/>
          </w:cols>
          <w:pgMar w:left="240" w:top="455" w:right="259" w:bottom="1440" w:gutter="0" w:footer="0" w:header="0"/>
        </w:sectPr>
      </w:pPr>
    </w:p>
    <w:bookmarkStart w:id="88" w:name="page89"/>
    <w:bookmarkEnd w:id="8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purchase price was allocated to the assets acquired and liabilities assumed using estimated fair values as of the acquisition date.</w:t>
      </w:r>
    </w:p>
    <w:p>
      <w:pPr>
        <w:spacing w:after="0" w:line="171" w:lineRule="exact"/>
        <w:rPr>
          <w:sz w:val="20"/>
          <w:szCs w:val="20"/>
          <w:color w:val="auto"/>
        </w:rPr>
      </w:pPr>
    </w:p>
    <w:p>
      <w:pPr>
        <w:ind w:right="140" w:firstLine="456"/>
        <w:spacing w:after="0" w:line="275" w:lineRule="auto"/>
        <w:rPr>
          <w:sz w:val="20"/>
          <w:szCs w:val="20"/>
          <w:color w:val="auto"/>
        </w:rPr>
      </w:pPr>
      <w:r>
        <w:rPr>
          <w:rFonts w:ascii="Times New Roman" w:cs="Times New Roman" w:eastAsia="Times New Roman" w:hAnsi="Times New Roman"/>
          <w:sz w:val="18"/>
          <w:szCs w:val="18"/>
          <w:color w:val="auto"/>
        </w:rPr>
        <w:t>As the acquisition took place on December 31, 2010, no income or earnings of Matteson were included in the consolidated statement of operations of the Company for the period ended December 31, 2010.</w:t>
      </w:r>
    </w:p>
    <w:p>
      <w:pPr>
        <w:spacing w:after="0" w:line="120" w:lineRule="exact"/>
        <w:rPr>
          <w:sz w:val="20"/>
          <w:szCs w:val="20"/>
          <w:color w:val="auto"/>
        </w:rPr>
      </w:pPr>
    </w:p>
    <w:p>
      <w:pPr>
        <w:ind w:right="320" w:firstLine="456"/>
        <w:spacing w:after="0" w:line="339" w:lineRule="auto"/>
        <w:rPr>
          <w:sz w:val="20"/>
          <w:szCs w:val="20"/>
          <w:color w:val="auto"/>
        </w:rPr>
      </w:pPr>
      <w:r>
        <w:rPr>
          <w:rFonts w:ascii="Times New Roman" w:cs="Times New Roman" w:eastAsia="Times New Roman" w:hAnsi="Times New Roman"/>
          <w:sz w:val="16"/>
          <w:szCs w:val="16"/>
          <w:color w:val="auto"/>
        </w:rPr>
        <w:t>The following unaudited pro forma consolidated financial information present the consolidated results of operations of the Company as they may have appeared had the acquisition described above occurred as of January 1, 2009 for purposes of the unaudited pro forma consolidated statements of operations.</w:t>
      </w:r>
    </w:p>
    <w:p>
      <w:pPr>
        <w:spacing w:after="0" w:line="74" w:lineRule="exact"/>
        <w:rPr>
          <w:sz w:val="20"/>
          <w:szCs w:val="20"/>
          <w:color w:val="auto"/>
        </w:rPr>
      </w:pPr>
    </w:p>
    <w:p>
      <w:pPr>
        <w:ind w:firstLine="456"/>
        <w:spacing w:after="0" w:line="310" w:lineRule="auto"/>
        <w:rPr>
          <w:sz w:val="20"/>
          <w:szCs w:val="20"/>
          <w:color w:val="auto"/>
        </w:rPr>
      </w:pPr>
      <w:r>
        <w:rPr>
          <w:rFonts w:ascii="Times New Roman" w:cs="Times New Roman" w:eastAsia="Times New Roman" w:hAnsi="Times New Roman"/>
          <w:sz w:val="16"/>
          <w:szCs w:val="16"/>
          <w:color w:val="auto"/>
        </w:rPr>
        <w:t>The unaudited pro forma consolidated financial information are provided for illustrative purposes only and do not purport to present what the actual results of operations would have been had the Matteson transaction actually occurred on the date indicated, nor does it purport to represent results of operations for any future period. The information does not reflect any cost savings or other benefits that may be obtained through synergies among the operations of the Company.</w:t>
      </w:r>
    </w:p>
    <w:p>
      <w:pPr>
        <w:spacing w:after="0" w:line="8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87</w:t>
      </w:r>
    </w:p>
    <w:p>
      <w:pPr>
        <w:sectPr>
          <w:pgSz w:w="11900" w:h="16838" w:orient="portrait"/>
          <w:cols w:equalWidth="0" w:num="1">
            <w:col w:w="11360"/>
          </w:cols>
          <w:pgMar w:left="240" w:top="455" w:right="299" w:bottom="1440" w:gutter="0" w:footer="0" w:header="0"/>
        </w:sectPr>
      </w:pPr>
    </w:p>
    <w:bookmarkStart w:id="89" w:name="page90"/>
    <w:bookmarkEnd w:id="8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left="260" w:right="2760"/>
        <w:spacing w:after="0" w:line="264" w:lineRule="auto"/>
        <w:rPr>
          <w:sz w:val="20"/>
          <w:szCs w:val="20"/>
          <w:color w:val="auto"/>
        </w:rPr>
      </w:pPr>
      <w:r>
        <w:rPr>
          <w:rFonts w:ascii="Times New Roman" w:cs="Times New Roman" w:eastAsia="Times New Roman" w:hAnsi="Times New Roman"/>
          <w:sz w:val="18"/>
          <w:szCs w:val="18"/>
          <w:b w:val="1"/>
          <w:bCs w:val="1"/>
          <w:color w:val="auto"/>
        </w:rPr>
        <w:t>GREAT LAKES DREDGE &amp; DOCK CORPORATION AND SUBSIDIARIES PRO FORMA CONSOLIDATED STATEMENTS OF OPERATIONS FOR THE YEAR ENDED DECEMBER 31, 2010</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10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2010</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0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4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3"/>
              </w:rPr>
              <w:t>(Unaudited)</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 as reported</w:t>
            </w: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686,922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580" w:type="dxa"/>
            <w:vAlign w:val="bottom"/>
          </w:tcPr>
          <w:p>
            <w:pPr>
              <w:spacing w:after="0"/>
              <w:rPr>
                <w:sz w:val="20"/>
                <w:szCs w:val="20"/>
                <w:color w:val="auto"/>
              </w:rPr>
            </w:pPr>
            <w:r>
              <w:rPr>
                <w:rFonts w:ascii="Times New Roman" w:cs="Times New Roman" w:eastAsia="Times New Roman" w:hAnsi="Times New Roman"/>
                <w:sz w:val="18"/>
                <w:szCs w:val="18"/>
                <w:color w:val="auto"/>
              </w:rPr>
              <w:t>Revenue of purchased businesses for the period prior to acquisition</w:t>
            </w:r>
          </w:p>
        </w:tc>
        <w:tc>
          <w:tcPr>
            <w:tcW w:w="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37,183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 forma revenue</w:t>
            </w: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724,105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6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Net income attributable to common stockholders of Great Lakes Dredge &amp; Dock Corporation</w:t>
            </w: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60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34,609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10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of L.W. Matteson, Inc., including pro forma purchase accounting adjustments</w:t>
            </w: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0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 forma net income attributable to common stockholders of Great Lakes Dredge &amp; Dock Corporation</w:t>
            </w: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37,866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Senior management reorganization</w:t>
      </w:r>
    </w:p>
    <w:p>
      <w:pPr>
        <w:spacing w:after="0" w:line="92" w:lineRule="exact"/>
        <w:rPr>
          <w:sz w:val="20"/>
          <w:szCs w:val="20"/>
          <w:color w:val="auto"/>
        </w:rPr>
      </w:pPr>
    </w:p>
    <w:p>
      <w:pPr>
        <w:ind w:right="120" w:firstLine="456"/>
        <w:spacing w:after="0" w:line="262" w:lineRule="auto"/>
        <w:rPr>
          <w:sz w:val="20"/>
          <w:szCs w:val="20"/>
          <w:color w:val="auto"/>
        </w:rPr>
      </w:pPr>
      <w:r>
        <w:rPr>
          <w:rFonts w:ascii="Times New Roman" w:cs="Times New Roman" w:eastAsia="Times New Roman" w:hAnsi="Times New Roman"/>
          <w:sz w:val="18"/>
          <w:szCs w:val="18"/>
          <w:color w:val="auto"/>
        </w:rPr>
        <w:t>In 2010, the Company recorded expense of $6,428 in connection with its severance arrangements with former executives. These payments are being made over a one to three year period per the terms of each former executive’s arrangement and, as of December 31, 2012 and 2011, $310 and $2,335, respectively, remained unpaid and was included in accrued expenses and other liabilities.</w:t>
      </w:r>
    </w:p>
    <w:p>
      <w:pPr>
        <w:spacing w:after="0" w:line="13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William S. Steckel was appointed Senior Vice President and Chief Financial Officer effective August 20, 2012.</w:t>
      </w:r>
    </w:p>
    <w:p>
      <w:pPr>
        <w:spacing w:after="0" w:line="1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Effective March 13, 2013, Mr. Bruce Biemeck separated from the Company and no longer serves as President and Chief Operating Officer.</w:t>
      </w:r>
    </w:p>
    <w:p>
      <w:pPr>
        <w:spacing w:after="0" w:line="15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88</w:t>
      </w:r>
    </w:p>
    <w:p>
      <w:pPr>
        <w:sectPr>
          <w:pgSz w:w="11900" w:h="16838" w:orient="portrait"/>
          <w:cols w:equalWidth="0" w:num="1">
            <w:col w:w="11420"/>
          </w:cols>
          <w:pgMar w:left="240" w:top="455" w:right="239" w:bottom="1440" w:gutter="0" w:footer="0" w:header="0"/>
        </w:sectPr>
      </w:pPr>
    </w:p>
    <w:bookmarkStart w:id="90" w:name="page91"/>
    <w:bookmarkEnd w:id="9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900" w:hanging="446"/>
        <w:spacing w:after="0"/>
        <w:tabs>
          <w:tab w:leader="none" w:pos="900" w:val="left"/>
        </w:tabs>
        <w:numPr>
          <w:ilvl w:val="0"/>
          <w:numId w:val="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SEGMENT INFORMATION</w:t>
      </w:r>
    </w:p>
    <w:p>
      <w:pPr>
        <w:spacing w:after="0" w:line="92"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The Company and its subsidiaries currently operate in two reportable segments: dredging and demolition. The Company’s financial reporting systems present various data for management to run the business, including profit and loss statements prepared according to the segments presented. Management uses operating income to evaluate performance between the two segments. Demolition segment information as of December 31, 2012 includes assets related to Terra. Segment information for 2012, 2011 and 2010, is provided as follows:</w:t>
      </w:r>
    </w:p>
    <w:p>
      <w:pPr>
        <w:spacing w:after="0" w:line="174" w:lineRule="exact"/>
        <w:rPr>
          <w:sz w:val="20"/>
          <w:szCs w:val="20"/>
          <w:color w:val="auto"/>
        </w:rPr>
      </w:pPr>
    </w:p>
    <w:tbl>
      <w:tblPr>
        <w:tblLayout w:type="fixed"/>
        <w:tblInd w:w="920" w:type="dxa"/>
        <w:tblCellMar>
          <w:top w:w="0" w:type="dxa"/>
          <w:left w:w="0" w:type="dxa"/>
          <w:bottom w:w="0" w:type="dxa"/>
          <w:right w:w="0" w:type="dxa"/>
        </w:tblCellMar>
      </w:tblPr>
      <w:tr>
        <w:trPr>
          <w:trHeight w:val="165"/>
        </w:trPr>
        <w:tc>
          <w:tcPr>
            <w:tcW w:w="6260" w:type="dxa"/>
            <w:vAlign w:val="bottom"/>
          </w:tcPr>
          <w:p>
            <w:pPr>
              <w:spacing w:after="0"/>
              <w:rPr>
                <w:sz w:val="14"/>
                <w:szCs w:val="14"/>
                <w:color w:val="auto"/>
              </w:rPr>
            </w:pPr>
          </w:p>
        </w:tc>
        <w:tc>
          <w:tcPr>
            <w:tcW w:w="680" w:type="dxa"/>
            <w:vAlign w:val="bottom"/>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2012</w:t>
            </w:r>
          </w:p>
        </w:tc>
        <w:tc>
          <w:tcPr>
            <w:tcW w:w="580" w:type="dxa"/>
            <w:vAlign w:val="bottom"/>
          </w:tcPr>
          <w:p>
            <w:pPr>
              <w:spacing w:after="0"/>
              <w:rPr>
                <w:sz w:val="14"/>
                <w:szCs w:val="14"/>
                <w:color w:val="auto"/>
              </w:rPr>
            </w:pPr>
          </w:p>
        </w:tc>
        <w:tc>
          <w:tcPr>
            <w:tcW w:w="680" w:type="dxa"/>
            <w:vAlign w:val="bottom"/>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2011</w:t>
            </w:r>
          </w:p>
        </w:tc>
        <w:tc>
          <w:tcPr>
            <w:tcW w:w="300" w:type="dxa"/>
            <w:vAlign w:val="bottom"/>
          </w:tcPr>
          <w:p>
            <w:pPr>
              <w:spacing w:after="0"/>
              <w:rPr>
                <w:sz w:val="14"/>
                <w:szCs w:val="14"/>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2010</w:t>
            </w:r>
          </w:p>
        </w:tc>
        <w:tc>
          <w:tcPr>
            <w:tcW w:w="100" w:type="dxa"/>
            <w:vAlign w:val="bottom"/>
          </w:tcPr>
          <w:p>
            <w:pPr>
              <w:spacing w:after="0"/>
              <w:rPr>
                <w:sz w:val="14"/>
                <w:szCs w:val="14"/>
                <w:color w:val="auto"/>
              </w:rPr>
            </w:pPr>
          </w:p>
        </w:tc>
      </w:tr>
      <w:tr>
        <w:trPr>
          <w:trHeight w:val="196"/>
        </w:trPr>
        <w:tc>
          <w:tcPr>
            <w:tcW w:w="626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Dredging:</w:t>
            </w:r>
          </w:p>
        </w:tc>
        <w:tc>
          <w:tcPr>
            <w:tcW w:w="68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62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Contract revenues</w:t>
            </w:r>
          </w:p>
        </w:tc>
        <w:tc>
          <w:tcPr>
            <w:tcW w:w="126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w w:val="97"/>
              </w:rPr>
              <w:t>$586,855</w:t>
            </w:r>
          </w:p>
        </w:tc>
        <w:tc>
          <w:tcPr>
            <w:tcW w:w="9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w w:val="97"/>
              </w:rPr>
              <w:t>$520,134</w:t>
            </w:r>
          </w:p>
        </w:tc>
        <w:tc>
          <w:tcPr>
            <w:tcW w:w="10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$608,969</w:t>
            </w:r>
          </w:p>
        </w:tc>
      </w:tr>
      <w:tr>
        <w:trPr>
          <w:trHeight w:val="216"/>
        </w:trPr>
        <w:tc>
          <w:tcPr>
            <w:tcW w:w="62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Operating income</w:t>
            </w:r>
          </w:p>
        </w:tc>
        <w:tc>
          <w:tcPr>
            <w:tcW w:w="126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32,947</w:t>
            </w:r>
          </w:p>
        </w:tc>
        <w:tc>
          <w:tcPr>
            <w:tcW w:w="9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53,793</w:t>
            </w:r>
          </w:p>
        </w:tc>
        <w:tc>
          <w:tcPr>
            <w:tcW w:w="10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70,504</w:t>
            </w:r>
          </w:p>
        </w:tc>
      </w:tr>
      <w:tr>
        <w:trPr>
          <w:trHeight w:val="216"/>
        </w:trPr>
        <w:tc>
          <w:tcPr>
            <w:tcW w:w="62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26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37,279</w:t>
            </w:r>
          </w:p>
        </w:tc>
        <w:tc>
          <w:tcPr>
            <w:tcW w:w="9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37,176</w:t>
            </w:r>
          </w:p>
        </w:tc>
        <w:tc>
          <w:tcPr>
            <w:tcW w:w="10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31,532</w:t>
            </w:r>
          </w:p>
        </w:tc>
      </w:tr>
      <w:tr>
        <w:trPr>
          <w:trHeight w:val="216"/>
        </w:trPr>
        <w:tc>
          <w:tcPr>
            <w:tcW w:w="62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Total assets</w:t>
            </w:r>
          </w:p>
        </w:tc>
        <w:tc>
          <w:tcPr>
            <w:tcW w:w="126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757,666</w:t>
            </w:r>
          </w:p>
        </w:tc>
        <w:tc>
          <w:tcPr>
            <w:tcW w:w="9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742,292</w:t>
            </w:r>
          </w:p>
        </w:tc>
        <w:tc>
          <w:tcPr>
            <w:tcW w:w="10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646,158</w:t>
            </w:r>
          </w:p>
        </w:tc>
      </w:tr>
      <w:tr>
        <w:trPr>
          <w:trHeight w:val="216"/>
        </w:trPr>
        <w:tc>
          <w:tcPr>
            <w:tcW w:w="62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Property and equipment—net</w:t>
            </w:r>
          </w:p>
        </w:tc>
        <w:tc>
          <w:tcPr>
            <w:tcW w:w="126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323,082</w:t>
            </w:r>
          </w:p>
        </w:tc>
        <w:tc>
          <w:tcPr>
            <w:tcW w:w="9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298,140</w:t>
            </w:r>
          </w:p>
        </w:tc>
        <w:tc>
          <w:tcPr>
            <w:tcW w:w="10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315,140</w:t>
            </w:r>
          </w:p>
        </w:tc>
      </w:tr>
      <w:tr>
        <w:trPr>
          <w:trHeight w:val="216"/>
        </w:trPr>
        <w:tc>
          <w:tcPr>
            <w:tcW w:w="62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Goodwill</w:t>
            </w:r>
          </w:p>
        </w:tc>
        <w:tc>
          <w:tcPr>
            <w:tcW w:w="126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76,575</w:t>
            </w:r>
          </w:p>
        </w:tc>
        <w:tc>
          <w:tcPr>
            <w:tcW w:w="9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76,575</w:t>
            </w:r>
          </w:p>
        </w:tc>
        <w:tc>
          <w:tcPr>
            <w:tcW w:w="10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76,575</w:t>
            </w:r>
          </w:p>
        </w:tc>
      </w:tr>
      <w:tr>
        <w:trPr>
          <w:trHeight w:val="216"/>
        </w:trPr>
        <w:tc>
          <w:tcPr>
            <w:tcW w:w="62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Investment in joint ventures</w:t>
            </w:r>
          </w:p>
        </w:tc>
        <w:tc>
          <w:tcPr>
            <w:tcW w:w="126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7,047</w:t>
            </w:r>
          </w:p>
        </w:tc>
        <w:tc>
          <w:tcPr>
            <w:tcW w:w="9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6,923</w:t>
            </w:r>
          </w:p>
        </w:tc>
        <w:tc>
          <w:tcPr>
            <w:tcW w:w="10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7,329</w:t>
            </w:r>
          </w:p>
        </w:tc>
      </w:tr>
      <w:tr>
        <w:trPr>
          <w:trHeight w:val="216"/>
        </w:trPr>
        <w:tc>
          <w:tcPr>
            <w:tcW w:w="62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Capital expenditures</w:t>
            </w:r>
          </w:p>
        </w:tc>
        <w:tc>
          <w:tcPr>
            <w:tcW w:w="126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64,598</w:t>
            </w:r>
          </w:p>
        </w:tc>
        <w:tc>
          <w:tcPr>
            <w:tcW w:w="9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22,860</w:t>
            </w:r>
          </w:p>
        </w:tc>
        <w:tc>
          <w:tcPr>
            <w:tcW w:w="10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28,838</w:t>
            </w:r>
          </w:p>
        </w:tc>
      </w:tr>
      <w:tr>
        <w:trPr>
          <w:trHeight w:val="216"/>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Demolition:</w:t>
            </w:r>
          </w:p>
        </w:tc>
        <w:tc>
          <w:tcPr>
            <w:tcW w:w="6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2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Contract revenues</w:t>
            </w:r>
          </w:p>
        </w:tc>
        <w:tc>
          <w:tcPr>
            <w:tcW w:w="126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100,729</w:t>
            </w:r>
          </w:p>
        </w:tc>
        <w:tc>
          <w:tcPr>
            <w:tcW w:w="9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107,199</w:t>
            </w:r>
          </w:p>
        </w:tc>
        <w:tc>
          <w:tcPr>
            <w:tcW w:w="10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77,953</w:t>
            </w:r>
          </w:p>
        </w:tc>
      </w:tr>
      <w:tr>
        <w:trPr>
          <w:trHeight w:val="216"/>
        </w:trPr>
        <w:tc>
          <w:tcPr>
            <w:tcW w:w="62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Operating income (loss)</w:t>
            </w:r>
          </w:p>
        </w:tc>
        <w:tc>
          <w:tcPr>
            <w:tcW w:w="126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(17,442)</w:t>
            </w:r>
          </w:p>
        </w:tc>
        <w:tc>
          <w:tcPr>
            <w:tcW w:w="9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501</w:t>
            </w:r>
          </w:p>
        </w:tc>
        <w:tc>
          <w:tcPr>
            <w:tcW w:w="10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(2,074)</w:t>
            </w:r>
          </w:p>
        </w:tc>
      </w:tr>
      <w:tr>
        <w:trPr>
          <w:trHeight w:val="216"/>
        </w:trPr>
        <w:tc>
          <w:tcPr>
            <w:tcW w:w="62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26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2,755</w:t>
            </w:r>
          </w:p>
        </w:tc>
        <w:tc>
          <w:tcPr>
            <w:tcW w:w="9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3,662</w:t>
            </w:r>
          </w:p>
        </w:tc>
        <w:tc>
          <w:tcPr>
            <w:tcW w:w="10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2,769</w:t>
            </w:r>
          </w:p>
        </w:tc>
      </w:tr>
      <w:tr>
        <w:trPr>
          <w:trHeight w:val="216"/>
        </w:trPr>
        <w:tc>
          <w:tcPr>
            <w:tcW w:w="62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Total assets</w:t>
            </w:r>
          </w:p>
        </w:tc>
        <w:tc>
          <w:tcPr>
            <w:tcW w:w="126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68,729</w:t>
            </w:r>
          </w:p>
        </w:tc>
        <w:tc>
          <w:tcPr>
            <w:tcW w:w="9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46,168</w:t>
            </w:r>
          </w:p>
        </w:tc>
        <w:tc>
          <w:tcPr>
            <w:tcW w:w="10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47,667</w:t>
            </w:r>
          </w:p>
        </w:tc>
      </w:tr>
      <w:tr>
        <w:trPr>
          <w:trHeight w:val="216"/>
        </w:trPr>
        <w:tc>
          <w:tcPr>
            <w:tcW w:w="62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Property and equipment—net</w:t>
            </w:r>
          </w:p>
        </w:tc>
        <w:tc>
          <w:tcPr>
            <w:tcW w:w="126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23,458</w:t>
            </w:r>
          </w:p>
        </w:tc>
        <w:tc>
          <w:tcPr>
            <w:tcW w:w="9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12,380</w:t>
            </w:r>
          </w:p>
        </w:tc>
        <w:tc>
          <w:tcPr>
            <w:tcW w:w="10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8,091</w:t>
            </w:r>
          </w:p>
        </w:tc>
      </w:tr>
      <w:tr>
        <w:trPr>
          <w:trHeight w:val="216"/>
        </w:trPr>
        <w:tc>
          <w:tcPr>
            <w:tcW w:w="62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Goodwill</w:t>
            </w:r>
          </w:p>
        </w:tc>
        <w:tc>
          <w:tcPr>
            <w:tcW w:w="126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24,224</w:t>
            </w:r>
          </w:p>
        </w:tc>
        <w:tc>
          <w:tcPr>
            <w:tcW w:w="9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21,474</w:t>
            </w:r>
          </w:p>
        </w:tc>
        <w:tc>
          <w:tcPr>
            <w:tcW w:w="10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21,474</w:t>
            </w:r>
          </w:p>
        </w:tc>
      </w:tr>
      <w:tr>
        <w:trPr>
          <w:trHeight w:val="216"/>
        </w:trPr>
        <w:tc>
          <w:tcPr>
            <w:tcW w:w="62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Capital expenditures</w:t>
            </w:r>
          </w:p>
        </w:tc>
        <w:tc>
          <w:tcPr>
            <w:tcW w:w="126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1,969</w:t>
            </w:r>
          </w:p>
        </w:tc>
        <w:tc>
          <w:tcPr>
            <w:tcW w:w="9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7,852</w:t>
            </w:r>
          </w:p>
        </w:tc>
        <w:tc>
          <w:tcPr>
            <w:tcW w:w="10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1,025</w:t>
            </w:r>
          </w:p>
        </w:tc>
      </w:tr>
      <w:tr>
        <w:trPr>
          <w:trHeight w:val="216"/>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6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2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Contract revenues</w:t>
            </w:r>
          </w:p>
        </w:tc>
        <w:tc>
          <w:tcPr>
            <w:tcW w:w="126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687,584</w:t>
            </w:r>
          </w:p>
        </w:tc>
        <w:tc>
          <w:tcPr>
            <w:tcW w:w="9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627,333</w:t>
            </w:r>
          </w:p>
        </w:tc>
        <w:tc>
          <w:tcPr>
            <w:tcW w:w="10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686,922</w:t>
            </w:r>
          </w:p>
        </w:tc>
      </w:tr>
      <w:tr>
        <w:trPr>
          <w:trHeight w:val="216"/>
        </w:trPr>
        <w:tc>
          <w:tcPr>
            <w:tcW w:w="62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Operating income</w:t>
            </w:r>
          </w:p>
        </w:tc>
        <w:tc>
          <w:tcPr>
            <w:tcW w:w="126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15,505</w:t>
            </w:r>
          </w:p>
        </w:tc>
        <w:tc>
          <w:tcPr>
            <w:tcW w:w="9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54,294</w:t>
            </w:r>
          </w:p>
        </w:tc>
        <w:tc>
          <w:tcPr>
            <w:tcW w:w="10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68,430</w:t>
            </w:r>
          </w:p>
        </w:tc>
      </w:tr>
      <w:tr>
        <w:trPr>
          <w:trHeight w:val="216"/>
        </w:trPr>
        <w:tc>
          <w:tcPr>
            <w:tcW w:w="62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26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40,034</w:t>
            </w:r>
          </w:p>
        </w:tc>
        <w:tc>
          <w:tcPr>
            <w:tcW w:w="9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40,838</w:t>
            </w:r>
          </w:p>
        </w:tc>
        <w:tc>
          <w:tcPr>
            <w:tcW w:w="10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34,301</w:t>
            </w:r>
          </w:p>
        </w:tc>
      </w:tr>
      <w:tr>
        <w:trPr>
          <w:trHeight w:val="216"/>
        </w:trPr>
        <w:tc>
          <w:tcPr>
            <w:tcW w:w="62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Total assets</w:t>
            </w:r>
          </w:p>
        </w:tc>
        <w:tc>
          <w:tcPr>
            <w:tcW w:w="126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826,395</w:t>
            </w:r>
          </w:p>
        </w:tc>
        <w:tc>
          <w:tcPr>
            <w:tcW w:w="9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788,460</w:t>
            </w:r>
          </w:p>
        </w:tc>
        <w:tc>
          <w:tcPr>
            <w:tcW w:w="10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693,825</w:t>
            </w:r>
          </w:p>
        </w:tc>
      </w:tr>
      <w:tr>
        <w:trPr>
          <w:trHeight w:val="216"/>
        </w:trPr>
        <w:tc>
          <w:tcPr>
            <w:tcW w:w="62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Property and equipment—net</w:t>
            </w:r>
          </w:p>
        </w:tc>
        <w:tc>
          <w:tcPr>
            <w:tcW w:w="126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346,540</w:t>
            </w:r>
          </w:p>
        </w:tc>
        <w:tc>
          <w:tcPr>
            <w:tcW w:w="9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310,520</w:t>
            </w:r>
          </w:p>
        </w:tc>
        <w:tc>
          <w:tcPr>
            <w:tcW w:w="10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323,231</w:t>
            </w:r>
          </w:p>
        </w:tc>
      </w:tr>
      <w:tr>
        <w:trPr>
          <w:trHeight w:val="216"/>
        </w:trPr>
        <w:tc>
          <w:tcPr>
            <w:tcW w:w="62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Goodwill</w:t>
            </w:r>
          </w:p>
        </w:tc>
        <w:tc>
          <w:tcPr>
            <w:tcW w:w="126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100,799</w:t>
            </w:r>
          </w:p>
        </w:tc>
        <w:tc>
          <w:tcPr>
            <w:tcW w:w="9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98,049</w:t>
            </w:r>
          </w:p>
        </w:tc>
        <w:tc>
          <w:tcPr>
            <w:tcW w:w="10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98,049</w:t>
            </w:r>
          </w:p>
        </w:tc>
      </w:tr>
      <w:tr>
        <w:trPr>
          <w:trHeight w:val="216"/>
        </w:trPr>
        <w:tc>
          <w:tcPr>
            <w:tcW w:w="62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Investment in joint ventures</w:t>
            </w:r>
          </w:p>
        </w:tc>
        <w:tc>
          <w:tcPr>
            <w:tcW w:w="126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7,047</w:t>
            </w:r>
          </w:p>
        </w:tc>
        <w:tc>
          <w:tcPr>
            <w:tcW w:w="9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6,923</w:t>
            </w:r>
          </w:p>
        </w:tc>
        <w:tc>
          <w:tcPr>
            <w:tcW w:w="10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7,329</w:t>
            </w:r>
          </w:p>
        </w:tc>
      </w:tr>
      <w:tr>
        <w:trPr>
          <w:trHeight w:val="228"/>
        </w:trPr>
        <w:tc>
          <w:tcPr>
            <w:tcW w:w="62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Capital expenditures</w:t>
            </w:r>
          </w:p>
        </w:tc>
        <w:tc>
          <w:tcPr>
            <w:tcW w:w="126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66,567</w:t>
            </w:r>
          </w:p>
        </w:tc>
        <w:tc>
          <w:tcPr>
            <w:tcW w:w="9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30,712</w:t>
            </w:r>
          </w:p>
        </w:tc>
        <w:tc>
          <w:tcPr>
            <w:tcW w:w="10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29,863</w:t>
            </w:r>
          </w:p>
        </w:tc>
      </w:tr>
    </w:tbl>
    <w:p>
      <w:pPr>
        <w:spacing w:after="0" w:line="135" w:lineRule="exact"/>
        <w:rPr>
          <w:sz w:val="20"/>
          <w:szCs w:val="20"/>
          <w:color w:val="auto"/>
        </w:rPr>
      </w:pPr>
    </w:p>
    <w:p>
      <w:pPr>
        <w:ind w:right="100" w:firstLine="456"/>
        <w:spacing w:after="0" w:line="275" w:lineRule="auto"/>
        <w:rPr>
          <w:sz w:val="20"/>
          <w:szCs w:val="20"/>
          <w:color w:val="auto"/>
        </w:rPr>
      </w:pPr>
      <w:r>
        <w:rPr>
          <w:rFonts w:ascii="Times New Roman" w:cs="Times New Roman" w:eastAsia="Times New Roman" w:hAnsi="Times New Roman"/>
          <w:sz w:val="18"/>
          <w:szCs w:val="18"/>
          <w:color w:val="auto"/>
        </w:rPr>
        <w:t>Dredging contract revenues for the year ended December 31, 2012 are net of $1,374 in intersegment revenues. Demolition contract revenues for the year ended December 31, 2012 are net of $75 in intersegment revenues.</w:t>
      </w:r>
    </w:p>
    <w:p>
      <w:pPr>
        <w:spacing w:after="0" w:line="12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Company classifies the revenue related to its dredging projects into the following types of work:</w:t>
      </w:r>
    </w:p>
    <w:p>
      <w:pPr>
        <w:spacing w:after="0" w:line="209" w:lineRule="exact"/>
        <w:rPr>
          <w:sz w:val="20"/>
          <w:szCs w:val="20"/>
          <w:color w:val="auto"/>
        </w:rPr>
      </w:pPr>
    </w:p>
    <w:tbl>
      <w:tblPr>
        <w:tblLayout w:type="fixed"/>
        <w:tblInd w:w="920" w:type="dxa"/>
        <w:tblCellMar>
          <w:top w:w="0" w:type="dxa"/>
          <w:left w:w="0" w:type="dxa"/>
          <w:bottom w:w="0" w:type="dxa"/>
          <w:right w:w="0" w:type="dxa"/>
        </w:tblCellMar>
      </w:tblPr>
      <w:tr>
        <w:trPr>
          <w:trHeight w:val="165"/>
        </w:trPr>
        <w:tc>
          <w:tcPr>
            <w:tcW w:w="3340" w:type="dxa"/>
            <w:vAlign w:val="bottom"/>
          </w:tcPr>
          <w:p>
            <w:pPr>
              <w:spacing w:after="0"/>
              <w:rPr>
                <w:sz w:val="14"/>
                <w:szCs w:val="14"/>
                <w:color w:val="auto"/>
              </w:rPr>
            </w:pPr>
          </w:p>
        </w:tc>
        <w:tc>
          <w:tcPr>
            <w:tcW w:w="3660" w:type="dxa"/>
            <w:vAlign w:val="bottom"/>
            <w:gridSpan w:val="2"/>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2012</w:t>
            </w:r>
          </w:p>
        </w:tc>
        <w:tc>
          <w:tcPr>
            <w:tcW w:w="260" w:type="dxa"/>
            <w:vAlign w:val="bottom"/>
          </w:tcPr>
          <w:p>
            <w:pPr>
              <w:spacing w:after="0"/>
              <w:rPr>
                <w:sz w:val="14"/>
                <w:szCs w:val="14"/>
                <w:color w:val="auto"/>
              </w:rPr>
            </w:pPr>
          </w:p>
        </w:tc>
        <w:tc>
          <w:tcPr>
            <w:tcW w:w="980" w:type="dxa"/>
            <w:vAlign w:val="bottom"/>
            <w:gridSpan w:val="2"/>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2011</w:t>
            </w:r>
          </w:p>
        </w:tc>
        <w:tc>
          <w:tcPr>
            <w:tcW w:w="520" w:type="dxa"/>
            <w:vAlign w:val="bottom"/>
          </w:tcPr>
          <w:p>
            <w:pPr>
              <w:spacing w:after="0"/>
              <w:rPr>
                <w:sz w:val="14"/>
                <w:szCs w:val="14"/>
                <w:color w:val="auto"/>
              </w:rPr>
            </w:pPr>
          </w:p>
        </w:tc>
        <w:tc>
          <w:tcPr>
            <w:tcW w:w="720" w:type="dxa"/>
            <w:vAlign w:val="bottom"/>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2010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3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 dredging — U.S.</w:t>
            </w:r>
          </w:p>
        </w:tc>
        <w:tc>
          <w:tcPr>
            <w:tcW w:w="29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1"/>
              </w:rPr>
              <w:t>$ 175,317</w:t>
            </w:r>
          </w:p>
        </w:tc>
        <w:tc>
          <w:tcPr>
            <w:tcW w:w="2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$ 156,251</w:t>
            </w:r>
          </w:p>
        </w:tc>
        <w:tc>
          <w:tcPr>
            <w:tcW w:w="52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$ 300,873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Capital dredging — foreign</w:t>
            </w:r>
          </w:p>
        </w:tc>
        <w:tc>
          <w:tcPr>
            <w:tcW w:w="392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112,242</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77,232</w:t>
            </w:r>
          </w:p>
        </w:tc>
        <w:tc>
          <w:tcPr>
            <w:tcW w:w="52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82,898</w:t>
            </w:r>
          </w:p>
        </w:tc>
        <w:tc>
          <w:tcPr>
            <w:tcW w:w="0" w:type="dxa"/>
            <w:vAlign w:val="bottom"/>
          </w:tcPr>
          <w:p>
            <w:pPr>
              <w:spacing w:after="0"/>
              <w:rPr>
                <w:sz w:val="1"/>
                <w:szCs w:val="1"/>
                <w:color w:val="auto"/>
              </w:rPr>
            </w:pPr>
          </w:p>
        </w:tc>
      </w:tr>
      <w:tr>
        <w:trPr>
          <w:trHeight w:val="216"/>
        </w:trPr>
        <w:tc>
          <w:tcPr>
            <w:tcW w:w="3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Coastal protection dredging</w:t>
            </w:r>
          </w:p>
        </w:tc>
        <w:tc>
          <w:tcPr>
            <w:tcW w:w="392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126,873</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135,164</w:t>
            </w:r>
          </w:p>
        </w:tc>
        <w:tc>
          <w:tcPr>
            <w:tcW w:w="5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106,163</w:t>
            </w:r>
          </w:p>
        </w:tc>
        <w:tc>
          <w:tcPr>
            <w:tcW w:w="0" w:type="dxa"/>
            <w:vAlign w:val="bottom"/>
          </w:tcPr>
          <w:p>
            <w:pPr>
              <w:spacing w:after="0"/>
              <w:rPr>
                <w:sz w:val="1"/>
                <w:szCs w:val="1"/>
                <w:color w:val="auto"/>
              </w:rPr>
            </w:pPr>
          </w:p>
        </w:tc>
      </w:tr>
      <w:tr>
        <w:trPr>
          <w:trHeight w:val="216"/>
        </w:trPr>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Maintenance dredging</w:t>
            </w:r>
          </w:p>
        </w:tc>
        <w:tc>
          <w:tcPr>
            <w:tcW w:w="392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136,550</w:t>
            </w:r>
          </w:p>
        </w:tc>
        <w:tc>
          <w:tcPr>
            <w:tcW w:w="1500" w:type="dxa"/>
            <w:vAlign w:val="bottom"/>
            <w:gridSpan w:val="3"/>
          </w:tcPr>
          <w:p>
            <w:pPr>
              <w:jc w:val="right"/>
              <w:ind w:right="520"/>
              <w:spacing w:after="0"/>
              <w:rPr>
                <w:sz w:val="20"/>
                <w:szCs w:val="20"/>
                <w:color w:val="auto"/>
              </w:rPr>
            </w:pPr>
            <w:r>
              <w:rPr>
                <w:rFonts w:ascii="Times New Roman" w:cs="Times New Roman" w:eastAsia="Times New Roman" w:hAnsi="Times New Roman"/>
                <w:sz w:val="18"/>
                <w:szCs w:val="18"/>
                <w:color w:val="auto"/>
              </w:rPr>
              <w:t>116,016</w:t>
            </w: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119,035</w:t>
            </w:r>
          </w:p>
        </w:tc>
        <w:tc>
          <w:tcPr>
            <w:tcW w:w="0" w:type="dxa"/>
            <w:vAlign w:val="bottom"/>
          </w:tcPr>
          <w:p>
            <w:pPr>
              <w:spacing w:after="0"/>
              <w:rPr>
                <w:sz w:val="1"/>
                <w:szCs w:val="1"/>
                <w:color w:val="auto"/>
              </w:rPr>
            </w:pPr>
          </w:p>
        </w:tc>
      </w:tr>
      <w:tr>
        <w:trPr>
          <w:trHeight w:val="216"/>
        </w:trPr>
        <w:tc>
          <w:tcPr>
            <w:tcW w:w="3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Rivers &amp; lakes</w:t>
            </w:r>
          </w:p>
        </w:tc>
        <w:tc>
          <w:tcPr>
            <w:tcW w:w="392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35,873</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35,471</w:t>
            </w:r>
          </w:p>
        </w:tc>
        <w:tc>
          <w:tcPr>
            <w:tcW w:w="5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2"/>
        </w:trPr>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Total dredging</w:t>
            </w:r>
          </w:p>
        </w:tc>
        <w:tc>
          <w:tcPr>
            <w:tcW w:w="298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1"/>
              </w:rPr>
              <w:t>$ 586,855</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$ 520,134</w:t>
            </w:r>
          </w:p>
        </w:tc>
        <w:tc>
          <w:tcPr>
            <w:tcW w:w="52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$ 608,969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2980" w:type="dxa"/>
            <w:vAlign w:val="bottom"/>
            <w:vMerge w:val="restart"/>
          </w:tcPr>
          <w:p>
            <w:pPr>
              <w:jc w:val="right"/>
              <w:ind w:right="1356"/>
              <w:spacing w:after="0"/>
              <w:rPr>
                <w:sz w:val="20"/>
                <w:szCs w:val="20"/>
                <w:color w:val="auto"/>
              </w:rPr>
            </w:pPr>
            <w:r>
              <w:rPr>
                <w:rFonts w:ascii="Times New Roman" w:cs="Times New Roman" w:eastAsia="Times New Roman" w:hAnsi="Times New Roman"/>
                <w:sz w:val="18"/>
                <w:szCs w:val="18"/>
                <w:color w:val="auto"/>
              </w:rPr>
              <w:t>89</w:t>
            </w:r>
          </w:p>
        </w:tc>
        <w:tc>
          <w:tcPr>
            <w:tcW w:w="6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3340" w:type="dxa"/>
            <w:vAlign w:val="bottom"/>
          </w:tcPr>
          <w:p>
            <w:pPr>
              <w:spacing w:after="0"/>
              <w:rPr>
                <w:sz w:val="24"/>
                <w:szCs w:val="24"/>
                <w:color w:val="auto"/>
              </w:rPr>
            </w:pPr>
          </w:p>
        </w:tc>
        <w:tc>
          <w:tcPr>
            <w:tcW w:w="2980" w:type="dxa"/>
            <w:vAlign w:val="bottom"/>
            <w:vMerge w:val="continue"/>
          </w:tcPr>
          <w:p>
            <w:pPr>
              <w:spacing w:after="0"/>
              <w:rPr>
                <w:sz w:val="24"/>
                <w:szCs w:val="24"/>
                <w:color w:val="auto"/>
              </w:rPr>
            </w:pP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00"/>
          </w:cols>
          <w:pgMar w:left="240" w:top="455" w:right="359" w:bottom="1440" w:gutter="0" w:footer="0" w:header="0"/>
        </w:sectPr>
      </w:pPr>
    </w:p>
    <w:bookmarkStart w:id="91" w:name="page92"/>
    <w:bookmarkEnd w:id="9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The Company derived revenues and gross profit from foreign project operations for the years ended December 31, 2012, 2011, and 2010, as follows:</w:t>
      </w:r>
    </w:p>
    <w:p>
      <w:pPr>
        <w:spacing w:after="0" w:line="209" w:lineRule="exact"/>
        <w:rPr>
          <w:sz w:val="20"/>
          <w:szCs w:val="20"/>
          <w:color w:val="auto"/>
        </w:rPr>
      </w:pPr>
    </w:p>
    <w:tbl>
      <w:tblPr>
        <w:tblLayout w:type="fixed"/>
        <w:tblInd w:w="920" w:type="dxa"/>
        <w:tblCellMar>
          <w:top w:w="0" w:type="dxa"/>
          <w:left w:w="0" w:type="dxa"/>
          <w:bottom w:w="0" w:type="dxa"/>
          <w:right w:w="0" w:type="dxa"/>
        </w:tblCellMar>
      </w:tblPr>
      <w:tr>
        <w:trPr>
          <w:trHeight w:val="165"/>
        </w:trPr>
        <w:tc>
          <w:tcPr>
            <w:tcW w:w="400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ind w:right="157"/>
              <w:spacing w:after="0"/>
              <w:rPr>
                <w:sz w:val="20"/>
                <w:szCs w:val="20"/>
                <w:color w:val="auto"/>
              </w:rPr>
            </w:pPr>
            <w:r>
              <w:rPr>
                <w:rFonts w:ascii="Times New Roman" w:cs="Times New Roman" w:eastAsia="Times New Roman" w:hAnsi="Times New Roman"/>
                <w:sz w:val="14"/>
                <w:szCs w:val="14"/>
                <w:b w:val="1"/>
                <w:bCs w:val="1"/>
                <w:color w:val="auto"/>
              </w:rPr>
              <w:t>2011</w:t>
            </w:r>
          </w:p>
        </w:tc>
        <w:tc>
          <w:tcPr>
            <w:tcW w:w="360" w:type="dxa"/>
            <w:vAlign w:val="bottom"/>
          </w:tcPr>
          <w:p>
            <w:pPr>
              <w:spacing w:after="0"/>
              <w:rPr>
                <w:sz w:val="14"/>
                <w:szCs w:val="14"/>
                <w:color w:val="auto"/>
              </w:rPr>
            </w:pPr>
          </w:p>
        </w:tc>
        <w:tc>
          <w:tcPr>
            <w:tcW w:w="940" w:type="dxa"/>
            <w:vAlign w:val="bottom"/>
            <w:gridSpan w:val="2"/>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2011</w:t>
            </w: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ind w:right="117"/>
              <w:spacing w:after="0"/>
              <w:rPr>
                <w:sz w:val="20"/>
                <w:szCs w:val="20"/>
                <w:color w:val="auto"/>
              </w:rPr>
            </w:pPr>
            <w:r>
              <w:rPr>
                <w:rFonts w:ascii="Times New Roman" w:cs="Times New Roman" w:eastAsia="Times New Roman" w:hAnsi="Times New Roman"/>
                <w:sz w:val="14"/>
                <w:szCs w:val="14"/>
                <w:b w:val="1"/>
                <w:bCs w:val="1"/>
                <w:color w:val="auto"/>
              </w:rPr>
              <w:t>2010</w:t>
            </w:r>
          </w:p>
        </w:tc>
        <w:tc>
          <w:tcPr>
            <w:tcW w:w="100" w:type="dxa"/>
            <w:vAlign w:val="bottom"/>
          </w:tcPr>
          <w:p>
            <w:pPr>
              <w:spacing w:after="0"/>
              <w:rPr>
                <w:sz w:val="14"/>
                <w:szCs w:val="14"/>
                <w:color w:val="auto"/>
              </w:rPr>
            </w:pPr>
          </w:p>
        </w:tc>
      </w:tr>
      <w:tr>
        <w:trPr>
          <w:trHeight w:val="210"/>
        </w:trPr>
        <w:tc>
          <w:tcPr>
            <w:tcW w:w="40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Contract revenues</w:t>
            </w:r>
          </w:p>
        </w:tc>
        <w:tc>
          <w:tcPr>
            <w:tcW w:w="2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112,242</w:t>
            </w:r>
          </w:p>
        </w:tc>
        <w:tc>
          <w:tcPr>
            <w:tcW w:w="3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$ 77,232</w:t>
            </w:r>
          </w:p>
        </w:tc>
        <w:tc>
          <w:tcPr>
            <w:tcW w:w="6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82,898</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Costs of contract revenues</w:t>
            </w:r>
          </w:p>
        </w:tc>
        <w:tc>
          <w:tcPr>
            <w:tcW w:w="2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w w:val="96"/>
              </w:rPr>
              <w:t>(104,038)</w:t>
            </w:r>
          </w:p>
        </w:tc>
        <w:tc>
          <w:tcPr>
            <w:tcW w:w="1580" w:type="dxa"/>
            <w:vAlign w:val="bottom"/>
            <w:gridSpan w:val="3"/>
          </w:tcPr>
          <w:p>
            <w:pPr>
              <w:jc w:val="right"/>
              <w:ind w:right="580"/>
              <w:spacing w:after="0"/>
              <w:rPr>
                <w:sz w:val="20"/>
                <w:szCs w:val="20"/>
                <w:color w:val="auto"/>
              </w:rPr>
            </w:pPr>
            <w:r>
              <w:rPr>
                <w:rFonts w:ascii="Times New Roman" w:cs="Times New Roman" w:eastAsia="Times New Roman" w:hAnsi="Times New Roman"/>
                <w:sz w:val="18"/>
                <w:szCs w:val="18"/>
                <w:color w:val="auto"/>
              </w:rPr>
              <w:t>(63,256)</w:t>
            </w: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7"/>
              </w:rPr>
              <w:t>(76,708)</w:t>
            </w:r>
          </w:p>
        </w:tc>
      </w:tr>
      <w:tr>
        <w:trPr>
          <w:trHeight w:val="27"/>
        </w:trPr>
        <w:tc>
          <w:tcPr>
            <w:tcW w:w="40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2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8,204</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$ 13,976</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6,190</w:t>
            </w:r>
          </w:p>
        </w:tc>
      </w:tr>
      <w:tr>
        <w:trPr>
          <w:trHeight w:val="20"/>
        </w:trPr>
        <w:tc>
          <w:tcPr>
            <w:tcW w:w="40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1"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In 2011 and 2010, the majority of the Company’s foreign revenue came from projects in the Middle East, primarily Bahrain. In 2012, foreign revenues were primarily from projects in the Middle East as well as for the Wheatstone LNG project in Western Australia. The majority of the Company’s long-lived assets are marine vessels and related equipment. At any point in time, the Company may employ certain assets outside of the U.S., as needed, to perform work on the Company’s foreign projects. As of December 31, 2012 and 2011, long-lived assets with a net book value of $88,003 and $96,376, respectively, were located outside of the U.S.</w:t>
      </w:r>
    </w:p>
    <w:p>
      <w:pPr>
        <w:spacing w:after="0" w:line="139" w:lineRule="exact"/>
        <w:rPr>
          <w:sz w:val="20"/>
          <w:szCs w:val="20"/>
          <w:color w:val="auto"/>
        </w:rPr>
      </w:pPr>
    </w:p>
    <w:p>
      <w:pPr>
        <w:ind w:right="400" w:firstLine="456"/>
        <w:spacing w:after="0" w:line="254" w:lineRule="auto"/>
        <w:rPr>
          <w:sz w:val="20"/>
          <w:szCs w:val="20"/>
          <w:color w:val="auto"/>
        </w:rPr>
      </w:pPr>
      <w:r>
        <w:rPr>
          <w:rFonts w:ascii="Times New Roman" w:cs="Times New Roman" w:eastAsia="Times New Roman" w:hAnsi="Times New Roman"/>
          <w:sz w:val="18"/>
          <w:szCs w:val="18"/>
          <w:color w:val="auto"/>
        </w:rPr>
        <w:t>The Company’s primary dredging customer is the U.S. Army Corps of Engineers (the “Corps”), which has responsibility for federally funded projects related to waterway navigation and flood control. In 2012, 2011 and 2010, 59.8%, 43.1% and 53.5%, respectively, of contract revenues were earned from dredging contracts with federal government agencies, including the Corps, as well as other federal entities such as the U.S. Coast Guard and U.S. Navy. At December 31, 2012 and 2011, approximately 26.0% and 36.9%, respectively, of accounts receivable, including contract revenues in excess of billings and retainage, were due on dredging contracts with federal government agencies. The Company depends on its ability to continue to obtain federal government dredging contracts, and indirectly, on the amount of federal funding for new and current government dredging projects. Therefore, the Company’s dredging operations can be influenced by the level and timing of federal funding.</w:t>
      </w:r>
    </w:p>
    <w:p>
      <w:pPr>
        <w:spacing w:after="0" w:line="141" w:lineRule="exact"/>
        <w:rPr>
          <w:sz w:val="20"/>
          <w:szCs w:val="20"/>
          <w:color w:val="auto"/>
        </w:rPr>
      </w:pPr>
    </w:p>
    <w:p>
      <w:pPr>
        <w:ind w:right="200" w:firstLine="456"/>
        <w:spacing w:after="0" w:line="256" w:lineRule="auto"/>
        <w:rPr>
          <w:sz w:val="20"/>
          <w:szCs w:val="20"/>
          <w:color w:val="auto"/>
        </w:rPr>
      </w:pPr>
      <w:r>
        <w:rPr>
          <w:rFonts w:ascii="Times New Roman" w:cs="Times New Roman" w:eastAsia="Times New Roman" w:hAnsi="Times New Roman"/>
          <w:sz w:val="18"/>
          <w:szCs w:val="18"/>
          <w:color w:val="auto"/>
        </w:rPr>
        <w:t>In addition, the Company’s work overseas is primarily with the government of Bahrain which accounted for 11.7%, 7.6% and 8.1% of total revenue in 2012, 2011 and 2010, respectively. At December 31, 2012 and 2011, approximately 19.6% and 21.4%, respectively, of accounts receivable, including retainage and contract revenues in excess of billings, were due on dredging contracts with the government of Bahrain. There is a dependence on future projects in the Bahrain region, as vessels are currently located there. However, certain of the vessels located in Bahrain can be moved back to the U.S. or all can be moved to other international markets as opportunities arise.</w:t>
      </w:r>
    </w:p>
    <w:p>
      <w:pPr>
        <w:spacing w:after="0" w:line="258" w:lineRule="exact"/>
        <w:rPr>
          <w:sz w:val="20"/>
          <w:szCs w:val="20"/>
          <w:color w:val="auto"/>
        </w:rPr>
      </w:pPr>
    </w:p>
    <w:p>
      <w:pPr>
        <w:ind w:left="900" w:hanging="446"/>
        <w:spacing w:after="0"/>
        <w:tabs>
          <w:tab w:leader="none" w:pos="900" w:val="left"/>
        </w:tabs>
        <w:numPr>
          <w:ilvl w:val="0"/>
          <w:numId w:val="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SUBSIDIARY GUARANTORS</w:t>
      </w:r>
    </w:p>
    <w:p>
      <w:pPr>
        <w:spacing w:after="0" w:line="92" w:lineRule="exact"/>
        <w:rPr>
          <w:sz w:val="20"/>
          <w:szCs w:val="20"/>
          <w:color w:val="auto"/>
        </w:rPr>
      </w:pPr>
    </w:p>
    <w:p>
      <w:pPr>
        <w:ind w:right="180"/>
        <w:spacing w:after="0" w:line="339" w:lineRule="auto"/>
        <w:rPr>
          <w:sz w:val="20"/>
          <w:szCs w:val="20"/>
          <w:color w:val="auto"/>
        </w:rPr>
      </w:pPr>
      <w:r>
        <w:rPr>
          <w:rFonts w:ascii="Times New Roman" w:cs="Times New Roman" w:eastAsia="Times New Roman" w:hAnsi="Times New Roman"/>
          <w:sz w:val="16"/>
          <w:szCs w:val="16"/>
          <w:color w:val="auto"/>
        </w:rPr>
        <w:t>The Company’s long-term debt at December 31, 2012 includes $250,000 of 7.375% senior notes due February 1, 2019. The Company’s obligations under these senior unsecured notes are guaranteed by the Company’s 100% owned domestic subsidiaries. Such guarantees are full, unconditional and joint and several.</w:t>
      </w:r>
    </w:p>
    <w:p>
      <w:pPr>
        <w:spacing w:after="0" w:line="74" w:lineRule="exact"/>
        <w:rPr>
          <w:sz w:val="20"/>
          <w:szCs w:val="20"/>
          <w:color w:val="auto"/>
        </w:rPr>
      </w:pPr>
    </w:p>
    <w:p>
      <w:pPr>
        <w:ind w:right="520"/>
        <w:spacing w:after="0" w:line="275" w:lineRule="auto"/>
        <w:rPr>
          <w:sz w:val="20"/>
          <w:szCs w:val="20"/>
          <w:color w:val="auto"/>
        </w:rPr>
      </w:pPr>
      <w:r>
        <w:rPr>
          <w:rFonts w:ascii="Times New Roman" w:cs="Times New Roman" w:eastAsia="Times New Roman" w:hAnsi="Times New Roman"/>
          <w:sz w:val="18"/>
          <w:szCs w:val="18"/>
          <w:color w:val="auto"/>
        </w:rPr>
        <w:t>The following supplemental financial information sets forth for the Company’s subsidiary guarantors (on a combined basis), the Company’s non-guarantor subsidiaries (on a combined basis) and Great Lakes Dredge &amp; Dock Corporation, exclusive of its subsidiaries (“GLDD Corporation”):</w:t>
      </w:r>
    </w:p>
    <w:p>
      <w:pPr>
        <w:spacing w:after="0" w:line="39" w:lineRule="exact"/>
        <w:rPr>
          <w:sz w:val="20"/>
          <w:szCs w:val="20"/>
          <w:color w:val="auto"/>
        </w:rPr>
      </w:pPr>
    </w:p>
    <w:p>
      <w:pPr>
        <w:ind w:left="900" w:hanging="446"/>
        <w:spacing w:after="0"/>
        <w:tabs>
          <w:tab w:leader="none" w:pos="9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balance sheets as of December 31, 2012 and 2011;</w:t>
      </w:r>
    </w:p>
    <w:p>
      <w:pPr>
        <w:spacing w:after="0" w:line="9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statements of operations and comprehensive income for the years ended December 31, 2012, 2011 and 2010; and</w:t>
      </w:r>
    </w:p>
    <w:p>
      <w:pPr>
        <w:spacing w:after="0" w:line="9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statements of cash flows for the years ended December 31, 2012, 2011 and 2010.</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90</w:t>
      </w:r>
    </w:p>
    <w:p>
      <w:pPr>
        <w:sectPr>
          <w:pgSz w:w="11900" w:h="16838" w:orient="portrait"/>
          <w:cols w:equalWidth="0" w:num="1">
            <w:col w:w="11400"/>
          </w:cols>
          <w:pgMar w:left="240" w:top="455" w:right="259" w:bottom="1440" w:gutter="0" w:footer="0" w:header="0"/>
        </w:sectPr>
      </w:pPr>
    </w:p>
    <w:bookmarkStart w:id="92" w:name="page93"/>
    <w:bookmarkEnd w:id="9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GREAT LAKES DREDGE &amp; DOCK CORPORATION AND SUBSIDIARIES</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CONSOLIDATING BALANCE SHEET</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OF DECEMBER 31, 2012</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5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Non-</w:t>
            </w: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8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Subsidiary</w:t>
            </w:r>
          </w:p>
        </w:tc>
        <w:tc>
          <w:tcPr>
            <w:tcW w:w="300" w:type="dxa"/>
            <w:vAlign w:val="bottom"/>
          </w:tcPr>
          <w:p>
            <w:pPr>
              <w:spacing w:after="0"/>
              <w:rPr>
                <w:sz w:val="12"/>
                <w:szCs w:val="12"/>
                <w:color w:val="auto"/>
              </w:rPr>
            </w:pPr>
          </w:p>
        </w:tc>
        <w:tc>
          <w:tcPr>
            <w:tcW w:w="7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Guarantor</w:t>
            </w: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tcPr>
          <w:p>
            <w:pPr>
              <w:jc w:val="right"/>
              <w:ind w:right="520"/>
              <w:spacing w:after="0" w:line="149" w:lineRule="exact"/>
              <w:rPr>
                <w:sz w:val="20"/>
                <w:szCs w:val="20"/>
                <w:color w:val="auto"/>
              </w:rPr>
            </w:pPr>
            <w:r>
              <w:rPr>
                <w:rFonts w:ascii="Times New Roman" w:cs="Times New Roman" w:eastAsia="Times New Roman" w:hAnsi="Times New Roman"/>
                <w:sz w:val="14"/>
                <w:szCs w:val="14"/>
                <w:b w:val="1"/>
                <w:bCs w:val="1"/>
                <w:color w:val="auto"/>
                <w:w w:val="98"/>
              </w:rPr>
              <w:t>GLDD</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8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4500" w:type="dxa"/>
            <w:vAlign w:val="bottom"/>
          </w:tcPr>
          <w:p>
            <w:pPr>
              <w:spacing w:after="0"/>
              <w:rPr>
                <w:sz w:val="14"/>
                <w:szCs w:val="14"/>
                <w:color w:val="auto"/>
              </w:rPr>
            </w:pPr>
          </w:p>
        </w:tc>
        <w:tc>
          <w:tcPr>
            <w:tcW w:w="1680" w:type="dxa"/>
            <w:vAlign w:val="bottom"/>
            <w:gridSpan w:val="4"/>
          </w:tcPr>
          <w:p>
            <w:pPr>
              <w:ind w:left="700"/>
              <w:spacing w:after="0"/>
              <w:rPr>
                <w:sz w:val="20"/>
                <w:szCs w:val="20"/>
                <w:color w:val="auto"/>
              </w:rPr>
            </w:pPr>
            <w:r>
              <w:rPr>
                <w:rFonts w:ascii="Times New Roman" w:cs="Times New Roman" w:eastAsia="Times New Roman" w:hAnsi="Times New Roman"/>
                <w:sz w:val="14"/>
                <w:szCs w:val="14"/>
                <w:b w:val="1"/>
                <w:bCs w:val="1"/>
                <w:color w:val="auto"/>
              </w:rPr>
              <w:t>Guarantors</w:t>
            </w:r>
          </w:p>
        </w:tc>
        <w:tc>
          <w:tcPr>
            <w:tcW w:w="300" w:type="dxa"/>
            <w:vAlign w:val="bottom"/>
          </w:tcPr>
          <w:p>
            <w:pPr>
              <w:spacing w:after="0"/>
              <w:rPr>
                <w:sz w:val="14"/>
                <w:szCs w:val="14"/>
                <w:color w:val="auto"/>
              </w:rPr>
            </w:pPr>
          </w:p>
        </w:tc>
        <w:tc>
          <w:tcPr>
            <w:tcW w:w="7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w w:val="95"/>
              </w:rPr>
              <w:t>Subsidiaries</w:t>
            </w:r>
          </w:p>
        </w:tc>
        <w:tc>
          <w:tcPr>
            <w:tcW w:w="600" w:type="dxa"/>
            <w:vAlign w:val="bottom"/>
          </w:tcPr>
          <w:p>
            <w:pPr>
              <w:spacing w:after="0"/>
              <w:rPr>
                <w:sz w:val="14"/>
                <w:szCs w:val="14"/>
                <w:color w:val="auto"/>
              </w:rPr>
            </w:pPr>
          </w:p>
        </w:tc>
        <w:tc>
          <w:tcPr>
            <w:tcW w:w="10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Corporation</w:t>
            </w:r>
          </w:p>
        </w:tc>
        <w:tc>
          <w:tcPr>
            <w:tcW w:w="280" w:type="dxa"/>
            <w:vAlign w:val="bottom"/>
          </w:tcPr>
          <w:p>
            <w:pPr>
              <w:spacing w:after="0"/>
              <w:rPr>
                <w:sz w:val="14"/>
                <w:szCs w:val="14"/>
                <w:color w:val="auto"/>
              </w:rPr>
            </w:pPr>
          </w:p>
        </w:tc>
        <w:tc>
          <w:tcPr>
            <w:tcW w:w="13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140" w:type="dxa"/>
            <w:vAlign w:val="bottom"/>
          </w:tcPr>
          <w:p>
            <w:pPr>
              <w:spacing w:after="0"/>
              <w:rPr>
                <w:sz w:val="14"/>
                <w:szCs w:val="14"/>
                <w:color w:val="auto"/>
              </w:rPr>
            </w:pPr>
          </w:p>
        </w:tc>
        <w:tc>
          <w:tcPr>
            <w:tcW w:w="74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Totals</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50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ASSETS</w:t>
            </w:r>
          </w:p>
        </w:tc>
        <w:tc>
          <w:tcPr>
            <w:tcW w:w="7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80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24,272</w:t>
            </w:r>
          </w:p>
        </w:tc>
        <w:tc>
          <w:tcPr>
            <w:tcW w:w="46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74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618"/>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24,440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Accounts receivable — net</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w w:val="95"/>
              </w:rPr>
              <w:t>147,610</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1,532</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618"/>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149,142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Receivables from affiliates</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w w:val="95"/>
              </w:rPr>
              <w:t>102,968</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7,680</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38,115</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78"/>
              <w:spacing w:after="0"/>
              <w:rPr>
                <w:sz w:val="20"/>
                <w:szCs w:val="20"/>
                <w:color w:val="auto"/>
              </w:rPr>
            </w:pPr>
            <w:r>
              <w:rPr>
                <w:rFonts w:ascii="Times New Roman" w:cs="Times New Roman" w:eastAsia="Times New Roman" w:hAnsi="Times New Roman"/>
                <w:sz w:val="18"/>
                <w:szCs w:val="18"/>
                <w:color w:val="auto"/>
                <w:w w:val="96"/>
              </w:rPr>
              <w:t>(148,763)</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Contract revenues in excess of billings</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69,649</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478"/>
              <w:spacing w:after="0"/>
              <w:rPr>
                <w:sz w:val="20"/>
                <w:szCs w:val="20"/>
                <w:color w:val="auto"/>
              </w:rPr>
            </w:pPr>
            <w:r>
              <w:rPr>
                <w:rFonts w:ascii="Times New Roman" w:cs="Times New Roman" w:eastAsia="Times New Roman" w:hAnsi="Times New Roman"/>
                <w:sz w:val="18"/>
                <w:szCs w:val="18"/>
                <w:color w:val="auto"/>
              </w:rPr>
              <w:t>(80)</w:t>
            </w:r>
          </w:p>
        </w:tc>
        <w:tc>
          <w:tcPr>
            <w:tcW w:w="14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69,574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Inventories</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28,726</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18"/>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28,726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Prepaid expenses</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9,452</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618"/>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9,554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Other current assets</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17,695</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14,531</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18"/>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32,254</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50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Total current assets</w:t>
            </w:r>
          </w:p>
        </w:tc>
        <w:tc>
          <w:tcPr>
            <w:tcW w:w="7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400,372</w:t>
            </w: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9,413</w:t>
            </w:r>
          </w:p>
        </w:tc>
        <w:tc>
          <w:tcPr>
            <w:tcW w:w="6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52,748</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7"/>
              </w:rPr>
              <w:t>(148,843)</w:t>
            </w:r>
          </w:p>
        </w:tc>
        <w:tc>
          <w:tcPr>
            <w:tcW w:w="6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313,690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EQUIPMENT—Net</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w w:val="95"/>
              </w:rPr>
              <w:t>346,503</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18"/>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346,540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w w:val="95"/>
              </w:rPr>
              <w:t>100,550</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618"/>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100,799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INTANGIBLE ASSETS—Net</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3,137</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18"/>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INVENTORIES — Noncurrent</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37,392</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618"/>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37,392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INVESTMENTS IN JOINT VENTURES</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7,047</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18"/>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7,047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INVESTMENTS IN SUBSIDIARIES</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2,127</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618,070</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478"/>
              <w:spacing w:after="0"/>
              <w:rPr>
                <w:sz w:val="20"/>
                <w:szCs w:val="20"/>
                <w:color w:val="auto"/>
              </w:rPr>
            </w:pPr>
            <w:r>
              <w:rPr>
                <w:rFonts w:ascii="Times New Roman" w:cs="Times New Roman" w:eastAsia="Times New Roman" w:hAnsi="Times New Roman"/>
                <w:sz w:val="18"/>
                <w:szCs w:val="18"/>
                <w:color w:val="auto"/>
                <w:w w:val="96"/>
              </w:rPr>
              <w:t>(620,197)</w:t>
            </w:r>
          </w:p>
        </w:tc>
        <w:tc>
          <w:tcPr>
            <w:tcW w:w="14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11,350</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6,343</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18"/>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17,695</w:t>
            </w:r>
          </w:p>
        </w:tc>
        <w:tc>
          <w:tcPr>
            <w:tcW w:w="0" w:type="dxa"/>
            <w:vAlign w:val="bottom"/>
          </w:tcPr>
          <w:p>
            <w:pPr>
              <w:spacing w:after="0"/>
              <w:rPr>
                <w:sz w:val="1"/>
                <w:szCs w:val="1"/>
                <w:color w:val="auto"/>
              </w:rPr>
            </w:pPr>
          </w:p>
        </w:tc>
      </w:tr>
      <w:tr>
        <w:trPr>
          <w:trHeight w:val="223"/>
        </w:trPr>
        <w:tc>
          <w:tcPr>
            <w:tcW w:w="4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7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908,478</w:t>
            </w: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9,796</w:t>
            </w:r>
          </w:p>
        </w:tc>
        <w:tc>
          <w:tcPr>
            <w:tcW w:w="60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677,161</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(769,040</w:t>
            </w:r>
          </w:p>
        </w:tc>
        <w:tc>
          <w:tcPr>
            <w:tcW w:w="620" w:type="dxa"/>
            <w:vAlign w:val="bottom"/>
          </w:tcPr>
          <w:p>
            <w:pPr>
              <w:jc w:val="right"/>
              <w:ind w:right="478"/>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826,395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AND EQUITY</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Accounts payable</w:t>
            </w:r>
          </w:p>
        </w:tc>
        <w:tc>
          <w:tcPr>
            <w:tcW w:w="80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w w:val="95"/>
              </w:rPr>
              <w:t>122,191</w:t>
            </w:r>
          </w:p>
        </w:tc>
        <w:tc>
          <w:tcPr>
            <w:tcW w:w="46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891</w:t>
            </w:r>
          </w:p>
        </w:tc>
        <w:tc>
          <w:tcPr>
            <w:tcW w:w="74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618"/>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123,082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Payables to affiliates</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w w:val="95"/>
              </w:rPr>
              <w:t>105,303</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4,843</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38,647</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478"/>
              <w:spacing w:after="0"/>
              <w:rPr>
                <w:sz w:val="20"/>
                <w:szCs w:val="20"/>
                <w:color w:val="auto"/>
              </w:rPr>
            </w:pPr>
            <w:r>
              <w:rPr>
                <w:rFonts w:ascii="Times New Roman" w:cs="Times New Roman" w:eastAsia="Times New Roman" w:hAnsi="Times New Roman"/>
                <w:sz w:val="18"/>
                <w:szCs w:val="18"/>
                <w:color w:val="auto"/>
                <w:w w:val="96"/>
              </w:rPr>
              <w:t>(148,793)</w:t>
            </w:r>
          </w:p>
        </w:tc>
        <w:tc>
          <w:tcPr>
            <w:tcW w:w="14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Accrued expenses</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29,417</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677</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8,396</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18"/>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38,490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Billings in excess of contract revenues</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11,207</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478"/>
              <w:spacing w:after="0"/>
              <w:rPr>
                <w:sz w:val="20"/>
                <w:szCs w:val="20"/>
                <w:color w:val="auto"/>
              </w:rPr>
            </w:pPr>
            <w:r>
              <w:rPr>
                <w:rFonts w:ascii="Times New Roman" w:cs="Times New Roman" w:eastAsia="Times New Roman" w:hAnsi="Times New Roman"/>
                <w:sz w:val="18"/>
                <w:szCs w:val="18"/>
                <w:color w:val="auto"/>
              </w:rPr>
              <w:t>(50)</w:t>
            </w:r>
          </w:p>
        </w:tc>
        <w:tc>
          <w:tcPr>
            <w:tcW w:w="14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11,280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Current portion of long term debt</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13,098</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18"/>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13,098</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50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7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281,216</w:t>
            </w: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6,534</w:t>
            </w:r>
          </w:p>
        </w:tc>
        <w:tc>
          <w:tcPr>
            <w:tcW w:w="6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47,043</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7"/>
              </w:rPr>
              <w:t>(148,843)</w:t>
            </w:r>
          </w:p>
        </w:tc>
        <w:tc>
          <w:tcPr>
            <w:tcW w:w="6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185,950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7 3/8% SENIOR NOTES</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250,000</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18"/>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DEFERRED INCOME TAXES</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623</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106,144</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618"/>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106,767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9,704</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18"/>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10,253</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50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Total liabilities</w:t>
            </w:r>
          </w:p>
        </w:tc>
        <w:tc>
          <w:tcPr>
            <w:tcW w:w="7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291,543</w:t>
            </w: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6,534</w:t>
            </w:r>
          </w:p>
        </w:tc>
        <w:tc>
          <w:tcPr>
            <w:tcW w:w="6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403,736</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7"/>
              </w:rPr>
              <w:t>(148,843)</w:t>
            </w:r>
          </w:p>
        </w:tc>
        <w:tc>
          <w:tcPr>
            <w:tcW w:w="6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552,970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Great Lakes Dredge &amp; Dock Corporation Equity</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w w:val="95"/>
              </w:rPr>
              <w:t>616,935</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3,262</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273,635</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78"/>
              <w:spacing w:after="0"/>
              <w:rPr>
                <w:sz w:val="20"/>
                <w:szCs w:val="20"/>
                <w:color w:val="auto"/>
              </w:rPr>
            </w:pPr>
            <w:r>
              <w:rPr>
                <w:rFonts w:ascii="Times New Roman" w:cs="Times New Roman" w:eastAsia="Times New Roman" w:hAnsi="Times New Roman"/>
                <w:sz w:val="18"/>
                <w:szCs w:val="18"/>
                <w:color w:val="auto"/>
                <w:w w:val="96"/>
              </w:rPr>
              <w:t>(620,197)</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273,635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NONCONTROLLING INTERESTS</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(210)</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618"/>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5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EQUITY</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616,935</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3,262</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273,425</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78"/>
              <w:spacing w:after="0"/>
              <w:rPr>
                <w:sz w:val="20"/>
                <w:szCs w:val="20"/>
                <w:color w:val="auto"/>
              </w:rPr>
            </w:pPr>
            <w:r>
              <w:rPr>
                <w:rFonts w:ascii="Times New Roman" w:cs="Times New Roman" w:eastAsia="Times New Roman" w:hAnsi="Times New Roman"/>
                <w:sz w:val="18"/>
                <w:szCs w:val="18"/>
                <w:color w:val="auto"/>
                <w:w w:val="96"/>
              </w:rPr>
              <w:t>(620,197)</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273,425</w:t>
            </w:r>
          </w:p>
        </w:tc>
        <w:tc>
          <w:tcPr>
            <w:tcW w:w="0" w:type="dxa"/>
            <w:vAlign w:val="bottom"/>
          </w:tcPr>
          <w:p>
            <w:pPr>
              <w:spacing w:after="0"/>
              <w:rPr>
                <w:sz w:val="1"/>
                <w:szCs w:val="1"/>
                <w:color w:val="auto"/>
              </w:rPr>
            </w:pPr>
          </w:p>
        </w:tc>
      </w:tr>
      <w:tr>
        <w:trPr>
          <w:trHeight w:val="223"/>
        </w:trPr>
        <w:tc>
          <w:tcPr>
            <w:tcW w:w="4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7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908,478</w:t>
            </w: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9,796</w:t>
            </w:r>
          </w:p>
        </w:tc>
        <w:tc>
          <w:tcPr>
            <w:tcW w:w="60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677,161</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(769,040</w:t>
            </w:r>
          </w:p>
        </w:tc>
        <w:tc>
          <w:tcPr>
            <w:tcW w:w="620" w:type="dxa"/>
            <w:vAlign w:val="bottom"/>
          </w:tcPr>
          <w:p>
            <w:pPr>
              <w:jc w:val="right"/>
              <w:ind w:right="478"/>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826,395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45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91</w:t>
            </w: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5" w:right="239" w:bottom="1440" w:gutter="0" w:footer="0" w:header="0"/>
        </w:sectPr>
      </w:pPr>
    </w:p>
    <w:bookmarkStart w:id="93" w:name="page94"/>
    <w:bookmarkEnd w:id="9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GREAT LAKES DREDGE &amp; DOCK CORPORATION AND SUBSIDIARIES</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CONSOLIDATING BALANCE SHEET</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OF DECEMBER 31, 2011</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Non-</w:t>
            </w: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49"/>
        </w:trPr>
        <w:tc>
          <w:tcPr>
            <w:tcW w:w="20" w:type="dxa"/>
            <w:vAlign w:val="bottom"/>
          </w:tcPr>
          <w:p>
            <w:pPr>
              <w:spacing w:after="0"/>
              <w:rPr>
                <w:sz w:val="12"/>
                <w:szCs w:val="12"/>
                <w:color w:val="auto"/>
              </w:rPr>
            </w:pPr>
          </w:p>
        </w:tc>
        <w:tc>
          <w:tcPr>
            <w:tcW w:w="5560" w:type="dxa"/>
            <w:vAlign w:val="bottom"/>
          </w:tcPr>
          <w:p>
            <w:pPr>
              <w:spacing w:after="0"/>
              <w:rPr>
                <w:sz w:val="12"/>
                <w:szCs w:val="12"/>
                <w:color w:val="auto"/>
              </w:rPr>
            </w:pPr>
          </w:p>
        </w:tc>
        <w:tc>
          <w:tcPr>
            <w:tcW w:w="66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w w:val="95"/>
              </w:rPr>
              <w:t>Subsidiary</w:t>
            </w:r>
          </w:p>
        </w:tc>
        <w:tc>
          <w:tcPr>
            <w:tcW w:w="540" w:type="dxa"/>
            <w:vAlign w:val="bottom"/>
          </w:tcPr>
          <w:p>
            <w:pPr>
              <w:spacing w:after="0"/>
              <w:rPr>
                <w:sz w:val="12"/>
                <w:szCs w:val="12"/>
                <w:color w:val="auto"/>
              </w:rPr>
            </w:pPr>
          </w:p>
        </w:tc>
        <w:tc>
          <w:tcPr>
            <w:tcW w:w="980" w:type="dxa"/>
            <w:vAlign w:val="bottom"/>
            <w:gridSpan w:val="3"/>
          </w:tcPr>
          <w:p>
            <w:pPr>
              <w:jc w:val="right"/>
              <w:ind w:right="320"/>
              <w:spacing w:after="0" w:line="149" w:lineRule="exact"/>
              <w:rPr>
                <w:sz w:val="20"/>
                <w:szCs w:val="20"/>
                <w:color w:val="auto"/>
              </w:rPr>
            </w:pPr>
            <w:r>
              <w:rPr>
                <w:rFonts w:ascii="Times New Roman" w:cs="Times New Roman" w:eastAsia="Times New Roman" w:hAnsi="Times New Roman"/>
                <w:sz w:val="14"/>
                <w:szCs w:val="14"/>
                <w:b w:val="1"/>
                <w:bCs w:val="1"/>
                <w:color w:val="auto"/>
                <w:w w:val="99"/>
              </w:rPr>
              <w:t>Guarantor</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jc w:val="right"/>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GLDD</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Consolidated</w:t>
            </w:r>
          </w:p>
        </w:tc>
      </w:tr>
      <w:tr>
        <w:trPr>
          <w:trHeight w:val="165"/>
        </w:trPr>
        <w:tc>
          <w:tcPr>
            <w:tcW w:w="20" w:type="dxa"/>
            <w:vAlign w:val="bottom"/>
          </w:tcPr>
          <w:p>
            <w:pPr>
              <w:spacing w:after="0"/>
              <w:rPr>
                <w:sz w:val="14"/>
                <w:szCs w:val="14"/>
                <w:color w:val="auto"/>
              </w:rPr>
            </w:pPr>
          </w:p>
        </w:tc>
        <w:tc>
          <w:tcPr>
            <w:tcW w:w="5560" w:type="dxa"/>
            <w:vAlign w:val="bottom"/>
          </w:tcPr>
          <w:p>
            <w:pPr>
              <w:spacing w:after="0"/>
              <w:rPr>
                <w:sz w:val="14"/>
                <w:szCs w:val="14"/>
                <w:color w:val="auto"/>
              </w:rPr>
            </w:pPr>
          </w:p>
        </w:tc>
        <w:tc>
          <w:tcPr>
            <w:tcW w:w="6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w w:val="91"/>
              </w:rPr>
              <w:t>Guarantors</w:t>
            </w:r>
          </w:p>
        </w:tc>
        <w:tc>
          <w:tcPr>
            <w:tcW w:w="540" w:type="dxa"/>
            <w:vAlign w:val="bottom"/>
          </w:tcPr>
          <w:p>
            <w:pPr>
              <w:spacing w:after="0"/>
              <w:rPr>
                <w:sz w:val="14"/>
                <w:szCs w:val="14"/>
                <w:color w:val="auto"/>
              </w:rPr>
            </w:pPr>
          </w:p>
        </w:tc>
        <w:tc>
          <w:tcPr>
            <w:tcW w:w="9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260" w:type="dxa"/>
            <w:vAlign w:val="bottom"/>
          </w:tcPr>
          <w:p>
            <w:pPr>
              <w:spacing w:after="0"/>
              <w:rPr>
                <w:sz w:val="14"/>
                <w:szCs w:val="14"/>
                <w:color w:val="auto"/>
              </w:rPr>
            </w:pPr>
          </w:p>
        </w:tc>
        <w:tc>
          <w:tcPr>
            <w:tcW w:w="9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Corporation</w:t>
            </w:r>
          </w:p>
        </w:tc>
        <w:tc>
          <w:tcPr>
            <w:tcW w:w="280" w:type="dxa"/>
            <w:vAlign w:val="bottom"/>
          </w:tcPr>
          <w:p>
            <w:pPr>
              <w:spacing w:after="0"/>
              <w:rPr>
                <w:sz w:val="14"/>
                <w:szCs w:val="14"/>
                <w:color w:val="auto"/>
              </w:rPr>
            </w:pPr>
          </w:p>
        </w:tc>
        <w:tc>
          <w:tcPr>
            <w:tcW w:w="1040" w:type="dxa"/>
            <w:vAlign w:val="bottom"/>
            <w:gridSpan w:val="3"/>
          </w:tcPr>
          <w:p>
            <w:pPr>
              <w:jc w:val="right"/>
              <w:ind w:right="218"/>
              <w:spacing w:after="0"/>
              <w:rPr>
                <w:sz w:val="20"/>
                <w:szCs w:val="20"/>
                <w:color w:val="auto"/>
              </w:rPr>
            </w:pPr>
            <w:r>
              <w:rPr>
                <w:rFonts w:ascii="Times New Roman" w:cs="Times New Roman" w:eastAsia="Times New Roman" w:hAnsi="Times New Roman"/>
                <w:sz w:val="14"/>
                <w:szCs w:val="14"/>
                <w:b w:val="1"/>
                <w:bCs w:val="1"/>
                <w:color w:val="auto"/>
                <w:w w:val="94"/>
              </w:rPr>
              <w:t>Eliminations</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Totals</w:t>
            </w:r>
          </w:p>
        </w:tc>
      </w:tr>
      <w:tr>
        <w:trPr>
          <w:trHeight w:val="196"/>
        </w:trPr>
        <w:tc>
          <w:tcPr>
            <w:tcW w:w="20" w:type="dxa"/>
            <w:vAlign w:val="bottom"/>
          </w:tcPr>
          <w:p>
            <w:pPr>
              <w:spacing w:after="0"/>
              <w:rPr>
                <w:sz w:val="17"/>
                <w:szCs w:val="17"/>
                <w:color w:val="auto"/>
              </w:rPr>
            </w:pPr>
          </w:p>
        </w:tc>
        <w:tc>
          <w:tcPr>
            <w:tcW w:w="556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ASSETS</w:t>
            </w:r>
          </w:p>
        </w:tc>
        <w:tc>
          <w:tcPr>
            <w:tcW w:w="8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108,985</w:t>
            </w:r>
          </w:p>
        </w:tc>
        <w:tc>
          <w:tcPr>
            <w:tcW w:w="68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4,303</w:t>
            </w:r>
          </w:p>
        </w:tc>
        <w:tc>
          <w:tcPr>
            <w:tcW w:w="3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318"/>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113,288</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5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Accounts receivable — net</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118,530</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1,738</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18"/>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120,268</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Receivables from affiliates</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79,683</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7,729</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49,724</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58"/>
              <w:spacing w:after="0"/>
              <w:rPr>
                <w:sz w:val="20"/>
                <w:szCs w:val="20"/>
                <w:color w:val="auto"/>
              </w:rPr>
            </w:pPr>
            <w:r>
              <w:rPr>
                <w:rFonts w:ascii="Times New Roman" w:cs="Times New Roman" w:eastAsia="Times New Roman" w:hAnsi="Times New Roman"/>
                <w:sz w:val="18"/>
                <w:szCs w:val="18"/>
                <w:color w:val="auto"/>
                <w:w w:val="96"/>
              </w:rPr>
              <w:t>(137,136)</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55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Contract revenues in excess of billings</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26,323</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153</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58"/>
              <w:spacing w:after="0"/>
              <w:rPr>
                <w:sz w:val="20"/>
                <w:szCs w:val="20"/>
                <w:color w:val="auto"/>
              </w:rPr>
            </w:pPr>
            <w:r>
              <w:rPr>
                <w:rFonts w:ascii="Times New Roman" w:cs="Times New Roman" w:eastAsia="Times New Roman" w:hAnsi="Times New Roman"/>
                <w:sz w:val="18"/>
                <w:szCs w:val="18"/>
                <w:color w:val="auto"/>
              </w:rPr>
              <w:t>(64)</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26,412</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Inventories</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33,426</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18"/>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33,426</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5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Prepaid expenses</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3,847</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132</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18"/>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3,979</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Other current assets</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12,082</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125</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16,198</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18"/>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28,405</w:t>
            </w:r>
          </w:p>
        </w:tc>
        <w:tc>
          <w:tcPr>
            <w:tcW w:w="100" w:type="dxa"/>
            <w:vAlign w:val="bottom"/>
            <w:shd w:val="clear" w:color="auto" w:fill="CCEEFF"/>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556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Total current assets</w:t>
            </w:r>
          </w:p>
        </w:tc>
        <w:tc>
          <w:tcPr>
            <w:tcW w:w="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382,876</w:t>
            </w:r>
          </w:p>
        </w:tc>
        <w:tc>
          <w:tcPr>
            <w:tcW w:w="5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14,048</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66,054</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7"/>
              </w:rPr>
              <w:t>(137,200)</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325,778</w:t>
            </w:r>
          </w:p>
        </w:tc>
        <w:tc>
          <w:tcPr>
            <w:tcW w:w="100" w:type="dxa"/>
            <w:vAlign w:val="bottom"/>
          </w:tcPr>
          <w:p>
            <w:pPr>
              <w:spacing w:after="0"/>
              <w:rPr>
                <w:sz w:val="19"/>
                <w:szCs w:val="19"/>
                <w:color w:val="auto"/>
              </w:rPr>
            </w:pPr>
          </w:p>
        </w:tc>
      </w:tr>
      <w:tr>
        <w:trPr>
          <w:trHeight w:val="217"/>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EQUIPMENT—Net</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310,459</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61</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18"/>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310,520</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97,799</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250</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18"/>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98,049</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INTANGIBLE ASSETS—Net</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139</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18"/>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814</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INVENTORIES — Noncurrent</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30,103</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18"/>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30,103</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INVESTMENTS IN JOINT VENTURES</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6,923</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18"/>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6,923</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INVESTMENTS IN SUBSIDIARIES</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4,385</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w w:val="99"/>
              </w:rPr>
              <w:t>627,754</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58"/>
              <w:spacing w:after="0"/>
              <w:rPr>
                <w:sz w:val="20"/>
                <w:szCs w:val="20"/>
                <w:color w:val="auto"/>
              </w:rPr>
            </w:pPr>
            <w:r>
              <w:rPr>
                <w:rFonts w:ascii="Times New Roman" w:cs="Times New Roman" w:eastAsia="Times New Roman" w:hAnsi="Times New Roman"/>
                <w:sz w:val="18"/>
                <w:szCs w:val="18"/>
                <w:color w:val="auto"/>
                <w:w w:val="96"/>
              </w:rPr>
              <w:t>(632,139)</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10,729</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5,547</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58"/>
              <w:spacing w:after="0"/>
              <w:rPr>
                <w:sz w:val="20"/>
                <w:szCs w:val="20"/>
                <w:color w:val="auto"/>
              </w:rPr>
            </w:pPr>
            <w:r>
              <w:rPr>
                <w:rFonts w:ascii="Times New Roman" w:cs="Times New Roman" w:eastAsia="Times New Roman" w:hAnsi="Times New Roman"/>
                <w:sz w:val="18"/>
                <w:szCs w:val="18"/>
                <w:color w:val="auto"/>
              </w:rPr>
              <w:t>(6)</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16,273</w:t>
            </w:r>
          </w:p>
        </w:tc>
        <w:tc>
          <w:tcPr>
            <w:tcW w:w="100" w:type="dxa"/>
            <w:vAlign w:val="bottom"/>
            <w:shd w:val="clear" w:color="auto" w:fill="CCEEFF"/>
          </w:tcPr>
          <w:p>
            <w:pPr>
              <w:spacing w:after="0"/>
              <w:rPr>
                <w:sz w:val="18"/>
                <w:szCs w:val="18"/>
                <w:color w:val="auto"/>
              </w:rPr>
            </w:pPr>
          </w:p>
        </w:tc>
      </w:tr>
      <w:tr>
        <w:trPr>
          <w:trHeight w:val="223"/>
        </w:trPr>
        <w:tc>
          <w:tcPr>
            <w:tcW w:w="5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u w:val="single" w:color="auto"/>
                <w:color w:val="auto"/>
                <w:w w:val="74"/>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843,949</w:t>
            </w:r>
          </w:p>
        </w:tc>
        <w:tc>
          <w:tcPr>
            <w:tcW w:w="54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14,501</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699,355</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(769,345</w:t>
            </w:r>
          </w:p>
        </w:tc>
        <w:tc>
          <w:tcPr>
            <w:tcW w:w="300" w:type="dxa"/>
            <w:vAlign w:val="bottom"/>
          </w:tcPr>
          <w:p>
            <w:pPr>
              <w:jc w:val="right"/>
              <w:ind w:right="158"/>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788,460</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AND EQUITY</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Accounts payable</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81,971</w:t>
            </w:r>
          </w:p>
        </w:tc>
        <w:tc>
          <w:tcPr>
            <w:tcW w:w="68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774</w:t>
            </w:r>
          </w:p>
        </w:tc>
        <w:tc>
          <w:tcPr>
            <w:tcW w:w="3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318"/>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82,745</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5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Payables to affiliates</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85,865</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7,234</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44,053</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58"/>
              <w:spacing w:after="0"/>
              <w:rPr>
                <w:sz w:val="20"/>
                <w:szCs w:val="20"/>
                <w:color w:val="auto"/>
              </w:rPr>
            </w:pPr>
            <w:r>
              <w:rPr>
                <w:rFonts w:ascii="Times New Roman" w:cs="Times New Roman" w:eastAsia="Times New Roman" w:hAnsi="Times New Roman"/>
                <w:sz w:val="18"/>
                <w:szCs w:val="18"/>
                <w:color w:val="auto"/>
                <w:w w:val="96"/>
              </w:rPr>
              <w:t>(137,152)</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Accrued expenses</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22,445</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629</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8,047</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18"/>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31,121</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5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Billings in excess of contract revenues</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13,607</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68</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58"/>
              <w:spacing w:after="0"/>
              <w:rPr>
                <w:sz w:val="20"/>
                <w:szCs w:val="20"/>
                <w:color w:val="auto"/>
              </w:rPr>
            </w:pPr>
            <w:r>
              <w:rPr>
                <w:rFonts w:ascii="Times New Roman" w:cs="Times New Roman" w:eastAsia="Times New Roman" w:hAnsi="Times New Roman"/>
                <w:sz w:val="18"/>
                <w:szCs w:val="18"/>
                <w:color w:val="auto"/>
              </w:rPr>
              <w:t>(48)</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13,627</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Current portion of long term debt</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3,033</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18"/>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3,033</w:t>
            </w:r>
          </w:p>
        </w:tc>
        <w:tc>
          <w:tcPr>
            <w:tcW w:w="100" w:type="dxa"/>
            <w:vAlign w:val="bottom"/>
            <w:shd w:val="clear" w:color="auto" w:fill="CCEEFF"/>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556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206,921</w:t>
            </w:r>
          </w:p>
        </w:tc>
        <w:tc>
          <w:tcPr>
            <w:tcW w:w="5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8,705</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52,100</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7"/>
              </w:rPr>
              <w:t>(137,200)</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130,526</w:t>
            </w:r>
          </w:p>
        </w:tc>
        <w:tc>
          <w:tcPr>
            <w:tcW w:w="100" w:type="dxa"/>
            <w:vAlign w:val="bottom"/>
          </w:tcPr>
          <w:p>
            <w:pPr>
              <w:spacing w:after="0"/>
              <w:rPr>
                <w:sz w:val="19"/>
                <w:szCs w:val="19"/>
                <w:color w:val="auto"/>
              </w:rPr>
            </w:pPr>
          </w:p>
        </w:tc>
      </w:tr>
      <w:tr>
        <w:trPr>
          <w:trHeight w:val="217"/>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 TERM NOTE PAYABLE</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18"/>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7 3/4% SENIOR SUBORDINATED NOTES</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w w:val="99"/>
              </w:rPr>
              <w:t>250,000</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18"/>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250,000</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INCOME TAXES</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w w:val="99"/>
              </w:rPr>
              <w:t>103,959</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58"/>
              <w:spacing w:after="0"/>
              <w:rPr>
                <w:sz w:val="20"/>
                <w:szCs w:val="20"/>
                <w:color w:val="auto"/>
              </w:rPr>
            </w:pPr>
            <w:r>
              <w:rPr>
                <w:rFonts w:ascii="Times New Roman" w:cs="Times New Roman" w:eastAsia="Times New Roman" w:hAnsi="Times New Roman"/>
                <w:sz w:val="18"/>
                <w:szCs w:val="18"/>
                <w:color w:val="auto"/>
              </w:rPr>
              <w:t>(6)</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104,352</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7,786</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759</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18"/>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8,545</w:t>
            </w:r>
          </w:p>
        </w:tc>
        <w:tc>
          <w:tcPr>
            <w:tcW w:w="100" w:type="dxa"/>
            <w:vAlign w:val="bottom"/>
          </w:tcPr>
          <w:p>
            <w:pPr>
              <w:spacing w:after="0"/>
              <w:rPr>
                <w:sz w:val="18"/>
                <w:szCs w:val="18"/>
                <w:color w:val="auto"/>
              </w:rPr>
            </w:pPr>
          </w:p>
        </w:tc>
      </w:tr>
      <w:tr>
        <w:trPr>
          <w:trHeight w:val="27"/>
        </w:trPr>
        <w:tc>
          <w:tcPr>
            <w:tcW w:w="20" w:type="dxa"/>
            <w:vAlign w:val="bottom"/>
          </w:tcPr>
          <w:p>
            <w:pPr>
              <w:spacing w:after="0"/>
              <w:rPr>
                <w:sz w:val="2"/>
                <w:szCs w:val="2"/>
                <w:color w:val="auto"/>
              </w:rPr>
            </w:pPr>
          </w:p>
        </w:tc>
        <w:tc>
          <w:tcPr>
            <w:tcW w:w="55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Total liabilities</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217,606</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8,705</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w w:val="99"/>
              </w:rPr>
              <w:t>406,818</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58"/>
              <w:spacing w:after="0"/>
              <w:rPr>
                <w:sz w:val="20"/>
                <w:szCs w:val="20"/>
                <w:color w:val="auto"/>
              </w:rPr>
            </w:pPr>
            <w:r>
              <w:rPr>
                <w:rFonts w:ascii="Times New Roman" w:cs="Times New Roman" w:eastAsia="Times New Roman" w:hAnsi="Times New Roman"/>
                <w:sz w:val="18"/>
                <w:szCs w:val="18"/>
                <w:color w:val="auto"/>
                <w:w w:val="96"/>
              </w:rPr>
              <w:t>(137,206)</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495,923</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Total Great Lakes Dredge &amp; Dock Corporation Equity</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626,343</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5,796</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w w:val="99"/>
              </w:rPr>
              <w:t>291,969</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58"/>
              <w:spacing w:after="0"/>
              <w:rPr>
                <w:sz w:val="20"/>
                <w:szCs w:val="20"/>
                <w:color w:val="auto"/>
              </w:rPr>
            </w:pPr>
            <w:r>
              <w:rPr>
                <w:rFonts w:ascii="Times New Roman" w:cs="Times New Roman" w:eastAsia="Times New Roman" w:hAnsi="Times New Roman"/>
                <w:sz w:val="18"/>
                <w:szCs w:val="18"/>
                <w:color w:val="auto"/>
                <w:w w:val="96"/>
              </w:rPr>
              <w:t>(632,139)</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291,969</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NONCONTROLLING INTERESTS</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568</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18"/>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w:t>
            </w:r>
          </w:p>
        </w:tc>
        <w:tc>
          <w:tcPr>
            <w:tcW w:w="100" w:type="dxa"/>
            <w:vAlign w:val="bottom"/>
            <w:shd w:val="clear" w:color="auto" w:fill="CCEEFF"/>
          </w:tcPr>
          <w:p>
            <w:pPr>
              <w:spacing w:after="0"/>
              <w:rPr>
                <w:sz w:val="18"/>
                <w:szCs w:val="18"/>
                <w:color w:val="auto"/>
              </w:rPr>
            </w:pPr>
          </w:p>
        </w:tc>
      </w:tr>
      <w:tr>
        <w:trPr>
          <w:trHeight w:val="230"/>
        </w:trPr>
        <w:tc>
          <w:tcPr>
            <w:tcW w:w="5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EQUITY</w:t>
            </w:r>
          </w:p>
        </w:tc>
        <w:tc>
          <w:tcPr>
            <w:tcW w:w="8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626,343</w:t>
            </w:r>
          </w:p>
        </w:tc>
        <w:tc>
          <w:tcPr>
            <w:tcW w:w="54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5,796</w:t>
            </w: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292,537</w:t>
            </w: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7"/>
              </w:rPr>
              <w:t>(632,139)</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292,537</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u w:val="single" w:color="auto"/>
                <w:color w:val="auto"/>
                <w:w w:val="74"/>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843,949</w:t>
            </w:r>
          </w:p>
        </w:tc>
        <w:tc>
          <w:tcPr>
            <w:tcW w:w="68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14,501</w:t>
            </w:r>
          </w:p>
        </w:tc>
        <w:tc>
          <w:tcPr>
            <w:tcW w:w="3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w w:val="99"/>
              </w:rPr>
              <w:t>699,355</w:t>
            </w: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158"/>
              <w:spacing w:after="0"/>
              <w:rPr>
                <w:sz w:val="20"/>
                <w:szCs w:val="20"/>
                <w:color w:val="auto"/>
              </w:rPr>
            </w:pPr>
            <w:r>
              <w:rPr>
                <w:rFonts w:ascii="Times New Roman" w:cs="Times New Roman" w:eastAsia="Times New Roman" w:hAnsi="Times New Roman"/>
                <w:sz w:val="18"/>
                <w:szCs w:val="18"/>
                <w:color w:val="auto"/>
                <w:w w:val="96"/>
              </w:rPr>
              <w:t>(769,345)</w:t>
            </w:r>
          </w:p>
        </w:tc>
        <w:tc>
          <w:tcPr>
            <w:tcW w:w="3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788,460</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5560" w:type="dxa"/>
            <w:vAlign w:val="bottom"/>
          </w:tcPr>
          <w:p>
            <w:pPr>
              <w:spacing w:after="0"/>
              <w:rPr>
                <w:sz w:val="24"/>
                <w:szCs w:val="24"/>
                <w:color w:val="auto"/>
              </w:rPr>
            </w:pPr>
          </w:p>
        </w:tc>
        <w:tc>
          <w:tcPr>
            <w:tcW w:w="6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92</w:t>
            </w: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455" w:right="239" w:bottom="1440" w:gutter="0" w:footer="0" w:header="0"/>
        </w:sectPr>
      </w:pPr>
    </w:p>
    <w:bookmarkStart w:id="94" w:name="page95"/>
    <w:bookmarkEnd w:id="9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GREAT LAKES DREDGE &amp; DOCK CORPORATION AND SUBSIDIARIES</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CONSOLIDATING STATEMENT OF OPERATIONS AND COMPREHENSIVE INCOME</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YEAR ENDED DECEMBER 31, 2012</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gridSpan w:val="2"/>
          </w:tcPr>
          <w:p>
            <w:pPr>
              <w:jc w:val="right"/>
              <w:ind w:right="800"/>
              <w:spacing w:after="0"/>
              <w:rPr>
                <w:sz w:val="20"/>
                <w:szCs w:val="20"/>
                <w:color w:val="auto"/>
              </w:rPr>
            </w:pPr>
            <w:r>
              <w:rPr>
                <w:rFonts w:ascii="Times New Roman" w:cs="Times New Roman" w:eastAsia="Times New Roman" w:hAnsi="Times New Roman"/>
                <w:sz w:val="14"/>
                <w:szCs w:val="14"/>
                <w:b w:val="1"/>
                <w:bCs w:val="1"/>
                <w:color w:val="auto"/>
              </w:rPr>
              <w:t>Non-</w:t>
            </w: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49"/>
        </w:trPr>
        <w:tc>
          <w:tcPr>
            <w:tcW w:w="5260" w:type="dxa"/>
            <w:vAlign w:val="bottom"/>
          </w:tcPr>
          <w:p>
            <w:pPr>
              <w:spacing w:after="0"/>
              <w:rPr>
                <w:sz w:val="12"/>
                <w:szCs w:val="12"/>
                <w:color w:val="auto"/>
              </w:rPr>
            </w:pPr>
          </w:p>
        </w:tc>
        <w:tc>
          <w:tcPr>
            <w:tcW w:w="1320" w:type="dxa"/>
            <w:vAlign w:val="bottom"/>
            <w:gridSpan w:val="3"/>
          </w:tcPr>
          <w:p>
            <w:pPr>
              <w:jc w:val="right"/>
              <w:ind w:right="640"/>
              <w:spacing w:after="0" w:line="149" w:lineRule="exact"/>
              <w:rPr>
                <w:sz w:val="20"/>
                <w:szCs w:val="20"/>
                <w:color w:val="auto"/>
              </w:rPr>
            </w:pPr>
            <w:r>
              <w:rPr>
                <w:rFonts w:ascii="Times New Roman" w:cs="Times New Roman" w:eastAsia="Times New Roman" w:hAnsi="Times New Roman"/>
                <w:sz w:val="14"/>
                <w:szCs w:val="14"/>
                <w:b w:val="1"/>
                <w:bCs w:val="1"/>
                <w:color w:val="auto"/>
              </w:rPr>
              <w:t>Subsidiary</w:t>
            </w:r>
          </w:p>
        </w:tc>
        <w:tc>
          <w:tcPr>
            <w:tcW w:w="1300" w:type="dxa"/>
            <w:vAlign w:val="bottom"/>
            <w:gridSpan w:val="3"/>
          </w:tcPr>
          <w:p>
            <w:pPr>
              <w:jc w:val="right"/>
              <w:ind w:right="640"/>
              <w:spacing w:after="0" w:line="149" w:lineRule="exact"/>
              <w:rPr>
                <w:sz w:val="20"/>
                <w:szCs w:val="20"/>
                <w:color w:val="auto"/>
              </w:rPr>
            </w:pPr>
            <w:r>
              <w:rPr>
                <w:rFonts w:ascii="Times New Roman" w:cs="Times New Roman" w:eastAsia="Times New Roman" w:hAnsi="Times New Roman"/>
                <w:sz w:val="14"/>
                <w:szCs w:val="14"/>
                <w:b w:val="1"/>
                <w:bCs w:val="1"/>
                <w:color w:val="auto"/>
                <w:w w:val="99"/>
              </w:rPr>
              <w:t>Guarantor</w:t>
            </w:r>
          </w:p>
        </w:tc>
        <w:tc>
          <w:tcPr>
            <w:tcW w:w="140" w:type="dxa"/>
            <w:vAlign w:val="bottom"/>
          </w:tcPr>
          <w:p>
            <w:pPr>
              <w:spacing w:after="0"/>
              <w:rPr>
                <w:sz w:val="12"/>
                <w:szCs w:val="12"/>
                <w:color w:val="auto"/>
              </w:rPr>
            </w:pPr>
          </w:p>
        </w:tc>
        <w:tc>
          <w:tcPr>
            <w:tcW w:w="1180" w:type="dxa"/>
            <w:vAlign w:val="bottom"/>
            <w:gridSpan w:val="2"/>
          </w:tcPr>
          <w:p>
            <w:pPr>
              <w:jc w:val="right"/>
              <w:ind w:right="760"/>
              <w:spacing w:after="0" w:line="149" w:lineRule="exact"/>
              <w:rPr>
                <w:sz w:val="20"/>
                <w:szCs w:val="20"/>
                <w:color w:val="auto"/>
              </w:rPr>
            </w:pPr>
            <w:r>
              <w:rPr>
                <w:rFonts w:ascii="Times New Roman" w:cs="Times New Roman" w:eastAsia="Times New Roman" w:hAnsi="Times New Roman"/>
                <w:sz w:val="14"/>
                <w:szCs w:val="14"/>
                <w:b w:val="1"/>
                <w:bCs w:val="1"/>
                <w:color w:val="auto"/>
                <w:w w:val="98"/>
              </w:rPr>
              <w:t>GLDD</w:t>
            </w: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8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Consolidated</w:t>
            </w:r>
          </w:p>
        </w:tc>
      </w:tr>
      <w:tr>
        <w:trPr>
          <w:trHeight w:val="165"/>
        </w:trPr>
        <w:tc>
          <w:tcPr>
            <w:tcW w:w="5260" w:type="dxa"/>
            <w:vAlign w:val="bottom"/>
          </w:tcPr>
          <w:p>
            <w:pPr>
              <w:spacing w:after="0"/>
              <w:rPr>
                <w:sz w:val="14"/>
                <w:szCs w:val="14"/>
                <w:color w:val="auto"/>
              </w:rPr>
            </w:pPr>
          </w:p>
        </w:tc>
        <w:tc>
          <w:tcPr>
            <w:tcW w:w="1320" w:type="dxa"/>
            <w:vAlign w:val="bottom"/>
            <w:gridSpan w:val="3"/>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w w:val="97"/>
              </w:rPr>
              <w:t>Guarantors</w:t>
            </w:r>
          </w:p>
        </w:tc>
        <w:tc>
          <w:tcPr>
            <w:tcW w:w="13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13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Corporation</w:t>
            </w:r>
          </w:p>
        </w:tc>
        <w:tc>
          <w:tcPr>
            <w:tcW w:w="13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120" w:type="dxa"/>
            <w:vAlign w:val="bottom"/>
          </w:tcPr>
          <w:p>
            <w:pPr>
              <w:spacing w:after="0"/>
              <w:rPr>
                <w:sz w:val="14"/>
                <w:szCs w:val="14"/>
                <w:color w:val="auto"/>
              </w:rPr>
            </w:pPr>
          </w:p>
        </w:tc>
        <w:tc>
          <w:tcPr>
            <w:tcW w:w="76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Totals</w:t>
            </w:r>
          </w:p>
        </w:tc>
      </w:tr>
      <w:tr>
        <w:trPr>
          <w:trHeight w:val="210"/>
        </w:trPr>
        <w:tc>
          <w:tcPr>
            <w:tcW w:w="52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Contract revenues</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686,280</w:t>
            </w:r>
          </w:p>
        </w:tc>
        <w:tc>
          <w:tcPr>
            <w:tcW w:w="5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7,844</w:t>
            </w:r>
          </w:p>
        </w:tc>
        <w:tc>
          <w:tcPr>
            <w:tcW w:w="6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(6,540)</w:t>
            </w:r>
          </w:p>
        </w:tc>
        <w:tc>
          <w:tcPr>
            <w:tcW w:w="6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687,584</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Costs of contract revenues</w:t>
            </w:r>
          </w:p>
        </w:tc>
        <w:tc>
          <w:tcPr>
            <w:tcW w:w="100" w:type="dxa"/>
            <w:vAlign w:val="bottom"/>
          </w:tcPr>
          <w:p>
            <w:pPr>
              <w:spacing w:after="0"/>
              <w:rPr>
                <w:sz w:val="18"/>
                <w:szCs w:val="18"/>
                <w:color w:val="auto"/>
              </w:rPr>
            </w:pPr>
          </w:p>
        </w:tc>
        <w:tc>
          <w:tcPr>
            <w:tcW w:w="122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w w:val="93"/>
              </w:rPr>
              <w:t>(616,243)</w:t>
            </w:r>
          </w:p>
        </w:tc>
        <w:tc>
          <w:tcPr>
            <w:tcW w:w="140" w:type="dxa"/>
            <w:vAlign w:val="bottom"/>
          </w:tcPr>
          <w:p>
            <w:pPr>
              <w:spacing w:after="0"/>
              <w:rPr>
                <w:sz w:val="18"/>
                <w:szCs w:val="18"/>
                <w:color w:val="auto"/>
              </w:rPr>
            </w:pPr>
          </w:p>
        </w:tc>
        <w:tc>
          <w:tcPr>
            <w:tcW w:w="116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(9,482)</w:t>
            </w:r>
          </w:p>
        </w:tc>
        <w:tc>
          <w:tcPr>
            <w:tcW w:w="140" w:type="dxa"/>
            <w:vAlign w:val="bottom"/>
          </w:tcPr>
          <w:p>
            <w:pPr>
              <w:spacing w:after="0"/>
              <w:rPr>
                <w:sz w:val="18"/>
                <w:szCs w:val="18"/>
                <w:color w:val="auto"/>
              </w:rPr>
            </w:pPr>
          </w:p>
        </w:tc>
        <w:tc>
          <w:tcPr>
            <w:tcW w:w="118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6,540</w:t>
            </w: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9"/>
              </w:rPr>
              <w:t>(619,185)</w:t>
            </w:r>
          </w:p>
        </w:tc>
      </w:tr>
      <w:tr>
        <w:trPr>
          <w:trHeight w:val="27"/>
        </w:trPr>
        <w:tc>
          <w:tcPr>
            <w:tcW w:w="5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526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Gross profit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70,037</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(1,638)</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68,399</w:t>
            </w:r>
          </w:p>
        </w:tc>
      </w:tr>
      <w:tr>
        <w:trPr>
          <w:trHeight w:val="216"/>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2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49,562</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752</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3,145</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53,459</w:t>
            </w:r>
          </w:p>
        </w:tc>
      </w:tr>
      <w:tr>
        <w:trPr>
          <w:trHeight w:val="216"/>
        </w:trPr>
        <w:tc>
          <w:tcPr>
            <w:tcW w:w="52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Gain on sale of assets—net</w:t>
            </w:r>
          </w:p>
        </w:tc>
        <w:tc>
          <w:tcPr>
            <w:tcW w:w="100" w:type="dxa"/>
            <w:vAlign w:val="bottom"/>
          </w:tcPr>
          <w:p>
            <w:pPr>
              <w:spacing w:after="0"/>
              <w:rPr>
                <w:sz w:val="18"/>
                <w:szCs w:val="18"/>
                <w:color w:val="auto"/>
              </w:rPr>
            </w:pPr>
          </w:p>
        </w:tc>
        <w:tc>
          <w:tcPr>
            <w:tcW w:w="122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(660)</w:t>
            </w:r>
          </w:p>
        </w:tc>
        <w:tc>
          <w:tcPr>
            <w:tcW w:w="140" w:type="dxa"/>
            <w:vAlign w:val="bottom"/>
          </w:tcPr>
          <w:p>
            <w:pPr>
              <w:spacing w:after="0"/>
              <w:rPr>
                <w:sz w:val="18"/>
                <w:szCs w:val="18"/>
                <w:color w:val="auto"/>
              </w:rPr>
            </w:pPr>
          </w:p>
        </w:tc>
        <w:tc>
          <w:tcPr>
            <w:tcW w:w="116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(565)</w:t>
            </w:r>
          </w:p>
        </w:tc>
      </w:tr>
      <w:tr>
        <w:trPr>
          <w:trHeight w:val="27"/>
        </w:trPr>
        <w:tc>
          <w:tcPr>
            <w:tcW w:w="5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526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Operating income (loss)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21,135</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(2,390)</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(3,240)</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15,505</w:t>
            </w:r>
          </w:p>
        </w:tc>
      </w:tr>
      <w:tr>
        <w:trPr>
          <w:trHeight w:val="216"/>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expense—net</w:t>
            </w:r>
          </w:p>
        </w:tc>
        <w:tc>
          <w:tcPr>
            <w:tcW w:w="100" w:type="dxa"/>
            <w:vAlign w:val="bottom"/>
          </w:tcPr>
          <w:p>
            <w:pPr>
              <w:spacing w:after="0"/>
              <w:rPr>
                <w:sz w:val="18"/>
                <w:szCs w:val="18"/>
                <w:color w:val="auto"/>
              </w:rPr>
            </w:pPr>
          </w:p>
        </w:tc>
        <w:tc>
          <w:tcPr>
            <w:tcW w:w="122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(577)</w:t>
            </w:r>
          </w:p>
        </w:tc>
        <w:tc>
          <w:tcPr>
            <w:tcW w:w="140" w:type="dxa"/>
            <w:vAlign w:val="bottom"/>
          </w:tcPr>
          <w:p>
            <w:pPr>
              <w:spacing w:after="0"/>
              <w:rPr>
                <w:sz w:val="18"/>
                <w:szCs w:val="18"/>
                <w:color w:val="auto"/>
              </w:rPr>
            </w:pPr>
          </w:p>
        </w:tc>
        <w:tc>
          <w:tcPr>
            <w:tcW w:w="116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(133)</w:t>
            </w:r>
          </w:p>
        </w:tc>
        <w:tc>
          <w:tcPr>
            <w:tcW w:w="140" w:type="dxa"/>
            <w:vAlign w:val="bottom"/>
          </w:tcPr>
          <w:p>
            <w:pPr>
              <w:spacing w:after="0"/>
              <w:rPr>
                <w:sz w:val="18"/>
                <w:szCs w:val="18"/>
                <w:color w:val="auto"/>
              </w:rPr>
            </w:pPr>
          </w:p>
        </w:tc>
        <w:tc>
          <w:tcPr>
            <w:tcW w:w="118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(20,212)</w:t>
            </w:r>
          </w:p>
        </w:tc>
        <w:tc>
          <w:tcPr>
            <w:tcW w:w="140" w:type="dxa"/>
            <w:vAlign w:val="bottom"/>
          </w:tcPr>
          <w:p>
            <w:pPr>
              <w:spacing w:after="0"/>
              <w:rPr>
                <w:sz w:val="18"/>
                <w:szCs w:val="18"/>
                <w:color w:val="auto"/>
              </w:rPr>
            </w:pPr>
          </w:p>
        </w:tc>
        <w:tc>
          <w:tcPr>
            <w:tcW w:w="120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(20,922)</w:t>
            </w:r>
          </w:p>
        </w:tc>
      </w:tr>
      <w:tr>
        <w:trPr>
          <w:trHeight w:val="216"/>
        </w:trPr>
        <w:tc>
          <w:tcPr>
            <w:tcW w:w="5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in earnings (loss) of subsidiaries</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(1,871)</w:t>
            </w: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25,525</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(23,654)</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Equity in earnings of joint ventures</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18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20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124</w:t>
            </w:r>
          </w:p>
        </w:tc>
      </w:tr>
      <w:tr>
        <w:trPr>
          <w:trHeight w:val="216"/>
        </w:trPr>
        <w:tc>
          <w:tcPr>
            <w:tcW w:w="5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on foreign currency transactions—net</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(118)</w:t>
            </w: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(118)</w:t>
            </w:r>
          </w:p>
        </w:tc>
      </w:tr>
      <w:tr>
        <w:trPr>
          <w:trHeight w:val="222"/>
        </w:trPr>
        <w:tc>
          <w:tcPr>
            <w:tcW w:w="526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18,693</w:t>
            </w:r>
          </w:p>
        </w:tc>
        <w:tc>
          <w:tcPr>
            <w:tcW w:w="5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(2,523)</w:t>
            </w:r>
          </w:p>
        </w:tc>
        <w:tc>
          <w:tcPr>
            <w:tcW w:w="6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2,073</w:t>
            </w:r>
          </w:p>
        </w:tc>
        <w:tc>
          <w:tcPr>
            <w:tcW w:w="5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4"/>
              </w:rPr>
              <w:t>(23,654)</w:t>
            </w:r>
          </w:p>
        </w:tc>
        <w:tc>
          <w:tcPr>
            <w:tcW w:w="6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(5,411)</w:t>
            </w:r>
          </w:p>
        </w:tc>
        <w:tc>
          <w:tcPr>
            <w:tcW w:w="100" w:type="dxa"/>
            <w:vAlign w:val="bottom"/>
          </w:tcPr>
          <w:p>
            <w:pPr>
              <w:spacing w:after="0"/>
              <w:rPr>
                <w:sz w:val="19"/>
                <w:szCs w:val="19"/>
                <w:color w:val="auto"/>
              </w:rPr>
            </w:pPr>
          </w:p>
        </w:tc>
      </w:tr>
      <w:tr>
        <w:trPr>
          <w:trHeight w:val="217"/>
        </w:trPr>
        <w:tc>
          <w:tcPr>
            <w:tcW w:w="5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(provision) benefit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7,484</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(5,413)</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2,071</w:t>
            </w:r>
          </w:p>
        </w:tc>
      </w:tr>
      <w:tr>
        <w:trPr>
          <w:trHeight w:val="223"/>
        </w:trPr>
        <w:tc>
          <w:tcPr>
            <w:tcW w:w="526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Net income (loss)</w:t>
            </w: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26,177</w:t>
            </w:r>
          </w:p>
        </w:tc>
        <w:tc>
          <w:tcPr>
            <w:tcW w:w="5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(2,523)</w:t>
            </w:r>
          </w:p>
        </w:tc>
        <w:tc>
          <w:tcPr>
            <w:tcW w:w="6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(3,340)</w:t>
            </w:r>
          </w:p>
        </w:tc>
        <w:tc>
          <w:tcPr>
            <w:tcW w:w="5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4"/>
              </w:rPr>
              <w:t>(23,654)</w:t>
            </w:r>
          </w:p>
        </w:tc>
        <w:tc>
          <w:tcPr>
            <w:tcW w:w="6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(3,340)</w:t>
            </w:r>
          </w:p>
        </w:tc>
        <w:tc>
          <w:tcPr>
            <w:tcW w:w="100" w:type="dxa"/>
            <w:vAlign w:val="bottom"/>
          </w:tcPr>
          <w:p>
            <w:pPr>
              <w:spacing w:after="0"/>
              <w:rPr>
                <w:sz w:val="19"/>
                <w:szCs w:val="19"/>
                <w:color w:val="auto"/>
              </w:rPr>
            </w:pPr>
          </w:p>
        </w:tc>
      </w:tr>
      <w:tr>
        <w:trPr>
          <w:trHeight w:val="217"/>
        </w:trPr>
        <w:tc>
          <w:tcPr>
            <w:tcW w:w="526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Net loss attributable to noncontrolling interests</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645</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645</w:t>
            </w:r>
          </w:p>
        </w:tc>
      </w:tr>
      <w:tr>
        <w:trPr>
          <w:trHeight w:val="209"/>
        </w:trPr>
        <w:tc>
          <w:tcPr>
            <w:tcW w:w="526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Net income (loss) attributable to Great Lakes</w:t>
            </w:r>
          </w:p>
        </w:tc>
        <w:tc>
          <w:tcPr>
            <w:tcW w:w="10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29"/>
        </w:trPr>
        <w:tc>
          <w:tcPr>
            <w:tcW w:w="526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Dredge &amp; Dock Corporation</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26,177</w:t>
            </w:r>
          </w:p>
        </w:tc>
        <w:tc>
          <w:tcPr>
            <w:tcW w:w="580" w:type="dxa"/>
            <w:vAlign w:val="bottom"/>
          </w:tcPr>
          <w:p>
            <w:pPr>
              <w:spacing w:after="0"/>
              <w:rPr>
                <w:sz w:val="19"/>
                <w:szCs w:val="19"/>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(2,523)</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(2,695)</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(23,654)</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(2,695)</w:t>
            </w:r>
          </w:p>
        </w:tc>
      </w:tr>
      <w:tr>
        <w:trPr>
          <w:trHeight w:val="20"/>
        </w:trPr>
        <w:tc>
          <w:tcPr>
            <w:tcW w:w="5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5260" w:type="dxa"/>
            <w:vAlign w:val="bottom"/>
            <w:shd w:val="clear" w:color="auto" w:fill="CCEEFF"/>
          </w:tcPr>
          <w:p>
            <w:pPr>
              <w:spacing w:after="0" w:line="197" w:lineRule="exact"/>
              <w:rPr>
                <w:sz w:val="20"/>
                <w:szCs w:val="20"/>
                <w:color w:val="auto"/>
              </w:rPr>
            </w:pPr>
            <w:r>
              <w:rPr>
                <w:rFonts w:ascii="Times New Roman" w:cs="Times New Roman" w:eastAsia="Times New Roman" w:hAnsi="Times New Roman"/>
                <w:sz w:val="18"/>
                <w:szCs w:val="18"/>
                <w:color w:val="auto"/>
              </w:rPr>
              <w:t>Comprehensive income (loss) attributable to Great Lakes Dredge &amp;</w:t>
            </w: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5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Dock Corporation</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25,800</w:t>
            </w:r>
          </w:p>
        </w:tc>
        <w:tc>
          <w:tcPr>
            <w:tcW w:w="5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(2,529)</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(3,078)</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(23,271)</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(3,078)</w:t>
            </w:r>
          </w:p>
        </w:tc>
      </w:tr>
      <w:tr>
        <w:trPr>
          <w:trHeight w:val="20"/>
        </w:trPr>
        <w:tc>
          <w:tcPr>
            <w:tcW w:w="5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57"/>
        </w:trPr>
        <w:tc>
          <w:tcPr>
            <w:tcW w:w="5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93</w:t>
            </w: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455" w:right="239" w:bottom="1440" w:gutter="0" w:footer="0" w:header="0"/>
        </w:sectPr>
      </w:pPr>
    </w:p>
    <w:bookmarkStart w:id="95" w:name="page96"/>
    <w:bookmarkEnd w:id="9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GREAT LAKES DREDGE &amp; DOCK CORPORATION AND SUBSIDIARIES</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CONSOLIDATING STATEMENT OF OPERATIONS AND COMPREHENSIVE INCOME</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YEAR ENDED DECEMBER 31, 2011</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gridSpan w:val="2"/>
          </w:tcPr>
          <w:p>
            <w:pPr>
              <w:jc w:val="right"/>
              <w:ind w:right="800"/>
              <w:spacing w:after="0"/>
              <w:rPr>
                <w:sz w:val="20"/>
                <w:szCs w:val="20"/>
                <w:color w:val="auto"/>
              </w:rPr>
            </w:pPr>
            <w:r>
              <w:rPr>
                <w:rFonts w:ascii="Times New Roman" w:cs="Times New Roman" w:eastAsia="Times New Roman" w:hAnsi="Times New Roman"/>
                <w:sz w:val="14"/>
                <w:szCs w:val="14"/>
                <w:b w:val="1"/>
                <w:bCs w:val="1"/>
                <w:color w:val="auto"/>
              </w:rPr>
              <w:t>Non-</w:t>
            </w: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5260" w:type="dxa"/>
            <w:vAlign w:val="bottom"/>
          </w:tcPr>
          <w:p>
            <w:pPr>
              <w:spacing w:after="0"/>
              <w:rPr>
                <w:sz w:val="12"/>
                <w:szCs w:val="12"/>
                <w:color w:val="auto"/>
              </w:rPr>
            </w:pPr>
          </w:p>
        </w:tc>
        <w:tc>
          <w:tcPr>
            <w:tcW w:w="1320" w:type="dxa"/>
            <w:vAlign w:val="bottom"/>
            <w:gridSpan w:val="3"/>
          </w:tcPr>
          <w:p>
            <w:pPr>
              <w:jc w:val="right"/>
              <w:ind w:right="640"/>
              <w:spacing w:after="0" w:line="149" w:lineRule="exact"/>
              <w:rPr>
                <w:sz w:val="20"/>
                <w:szCs w:val="20"/>
                <w:color w:val="auto"/>
              </w:rPr>
            </w:pPr>
            <w:r>
              <w:rPr>
                <w:rFonts w:ascii="Times New Roman" w:cs="Times New Roman" w:eastAsia="Times New Roman" w:hAnsi="Times New Roman"/>
                <w:sz w:val="14"/>
                <w:szCs w:val="14"/>
                <w:b w:val="1"/>
                <w:bCs w:val="1"/>
                <w:color w:val="auto"/>
              </w:rPr>
              <w:t>Subsidiary</w:t>
            </w:r>
          </w:p>
        </w:tc>
        <w:tc>
          <w:tcPr>
            <w:tcW w:w="1300" w:type="dxa"/>
            <w:vAlign w:val="bottom"/>
            <w:gridSpan w:val="3"/>
          </w:tcPr>
          <w:p>
            <w:pPr>
              <w:jc w:val="right"/>
              <w:ind w:right="640"/>
              <w:spacing w:after="0" w:line="149" w:lineRule="exact"/>
              <w:rPr>
                <w:sz w:val="20"/>
                <w:szCs w:val="20"/>
                <w:color w:val="auto"/>
              </w:rPr>
            </w:pPr>
            <w:r>
              <w:rPr>
                <w:rFonts w:ascii="Times New Roman" w:cs="Times New Roman" w:eastAsia="Times New Roman" w:hAnsi="Times New Roman"/>
                <w:sz w:val="14"/>
                <w:szCs w:val="14"/>
                <w:b w:val="1"/>
                <w:bCs w:val="1"/>
                <w:color w:val="auto"/>
                <w:w w:val="99"/>
              </w:rPr>
              <w:t>Guarantor</w:t>
            </w:r>
          </w:p>
        </w:tc>
        <w:tc>
          <w:tcPr>
            <w:tcW w:w="140" w:type="dxa"/>
            <w:vAlign w:val="bottom"/>
          </w:tcPr>
          <w:p>
            <w:pPr>
              <w:spacing w:after="0"/>
              <w:rPr>
                <w:sz w:val="12"/>
                <w:szCs w:val="12"/>
                <w:color w:val="auto"/>
              </w:rPr>
            </w:pPr>
          </w:p>
        </w:tc>
        <w:tc>
          <w:tcPr>
            <w:tcW w:w="1180" w:type="dxa"/>
            <w:vAlign w:val="bottom"/>
            <w:gridSpan w:val="2"/>
          </w:tcPr>
          <w:p>
            <w:pPr>
              <w:jc w:val="right"/>
              <w:ind w:right="760"/>
              <w:spacing w:after="0" w:line="149" w:lineRule="exact"/>
              <w:rPr>
                <w:sz w:val="20"/>
                <w:szCs w:val="20"/>
                <w:color w:val="auto"/>
              </w:rPr>
            </w:pPr>
            <w:r>
              <w:rPr>
                <w:rFonts w:ascii="Times New Roman" w:cs="Times New Roman" w:eastAsia="Times New Roman" w:hAnsi="Times New Roman"/>
                <w:sz w:val="14"/>
                <w:szCs w:val="14"/>
                <w:b w:val="1"/>
                <w:bCs w:val="1"/>
                <w:color w:val="auto"/>
                <w:w w:val="98"/>
              </w:rPr>
              <w:t>GLDD</w:t>
            </w: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8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165"/>
        </w:trPr>
        <w:tc>
          <w:tcPr>
            <w:tcW w:w="5260" w:type="dxa"/>
            <w:vAlign w:val="bottom"/>
          </w:tcPr>
          <w:p>
            <w:pPr>
              <w:spacing w:after="0"/>
              <w:rPr>
                <w:sz w:val="14"/>
                <w:szCs w:val="14"/>
                <w:color w:val="auto"/>
              </w:rPr>
            </w:pPr>
          </w:p>
        </w:tc>
        <w:tc>
          <w:tcPr>
            <w:tcW w:w="1320" w:type="dxa"/>
            <w:vAlign w:val="bottom"/>
            <w:gridSpan w:val="3"/>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w w:val="97"/>
              </w:rPr>
              <w:t>Guarantors</w:t>
            </w:r>
          </w:p>
        </w:tc>
        <w:tc>
          <w:tcPr>
            <w:tcW w:w="13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13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Corporation</w:t>
            </w:r>
          </w:p>
        </w:tc>
        <w:tc>
          <w:tcPr>
            <w:tcW w:w="13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120" w:type="dxa"/>
            <w:vAlign w:val="bottom"/>
          </w:tcPr>
          <w:p>
            <w:pPr>
              <w:spacing w:after="0"/>
              <w:rPr>
                <w:sz w:val="14"/>
                <w:szCs w:val="14"/>
                <w:color w:val="auto"/>
              </w:rPr>
            </w:pPr>
          </w:p>
        </w:tc>
        <w:tc>
          <w:tcPr>
            <w:tcW w:w="76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Totals</w:t>
            </w:r>
          </w:p>
        </w:tc>
        <w:tc>
          <w:tcPr>
            <w:tcW w:w="0" w:type="dxa"/>
            <w:vAlign w:val="bottom"/>
          </w:tcPr>
          <w:p>
            <w:pPr>
              <w:spacing w:after="0"/>
              <w:rPr>
                <w:sz w:val="1"/>
                <w:szCs w:val="1"/>
                <w:color w:val="auto"/>
              </w:rPr>
            </w:pPr>
          </w:p>
        </w:tc>
      </w:tr>
      <w:tr>
        <w:trPr>
          <w:trHeight w:val="210"/>
        </w:trPr>
        <w:tc>
          <w:tcPr>
            <w:tcW w:w="52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Contract revenues</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619,643</w:t>
            </w:r>
          </w:p>
        </w:tc>
        <w:tc>
          <w:tcPr>
            <w:tcW w:w="5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19,941</w:t>
            </w:r>
          </w:p>
        </w:tc>
        <w:tc>
          <w:tcPr>
            <w:tcW w:w="6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(12,251)</w:t>
            </w:r>
          </w:p>
        </w:tc>
        <w:tc>
          <w:tcPr>
            <w:tcW w:w="6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627,333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Costs of contract revenues</w:t>
            </w:r>
          </w:p>
        </w:tc>
        <w:tc>
          <w:tcPr>
            <w:tcW w:w="100" w:type="dxa"/>
            <w:vAlign w:val="bottom"/>
          </w:tcPr>
          <w:p>
            <w:pPr>
              <w:spacing w:after="0"/>
              <w:rPr>
                <w:sz w:val="18"/>
                <w:szCs w:val="18"/>
                <w:color w:val="auto"/>
              </w:rPr>
            </w:pPr>
          </w:p>
        </w:tc>
        <w:tc>
          <w:tcPr>
            <w:tcW w:w="122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w w:val="93"/>
              </w:rPr>
              <w:t>(527,769)</w:t>
            </w:r>
          </w:p>
        </w:tc>
        <w:tc>
          <w:tcPr>
            <w:tcW w:w="120" w:type="dxa"/>
            <w:vAlign w:val="bottom"/>
          </w:tcPr>
          <w:p>
            <w:pPr>
              <w:spacing w:after="0"/>
              <w:rPr>
                <w:sz w:val="18"/>
                <w:szCs w:val="18"/>
                <w:color w:val="auto"/>
              </w:rPr>
            </w:pPr>
          </w:p>
        </w:tc>
        <w:tc>
          <w:tcPr>
            <w:tcW w:w="118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(18,798)</w:t>
            </w:r>
          </w:p>
        </w:tc>
        <w:tc>
          <w:tcPr>
            <w:tcW w:w="140" w:type="dxa"/>
            <w:vAlign w:val="bottom"/>
          </w:tcPr>
          <w:p>
            <w:pPr>
              <w:spacing w:after="0"/>
              <w:rPr>
                <w:sz w:val="18"/>
                <w:szCs w:val="18"/>
                <w:color w:val="auto"/>
              </w:rPr>
            </w:pPr>
          </w:p>
        </w:tc>
        <w:tc>
          <w:tcPr>
            <w:tcW w:w="118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12,251</w:t>
            </w: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9"/>
              </w:rPr>
              <w:t>(534,316)</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26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Gross profit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91,874</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1,143</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93,017</w:t>
            </w:r>
          </w:p>
        </w:tc>
        <w:tc>
          <w:tcPr>
            <w:tcW w:w="0" w:type="dxa"/>
            <w:vAlign w:val="bottom"/>
          </w:tcPr>
          <w:p>
            <w:pPr>
              <w:spacing w:after="0"/>
              <w:rPr>
                <w:sz w:val="1"/>
                <w:szCs w:val="1"/>
                <w:color w:val="auto"/>
              </w:rPr>
            </w:pPr>
          </w:p>
        </w:tc>
      </w:tr>
      <w:tr>
        <w:trPr>
          <w:trHeight w:val="216"/>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46,285</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797</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3,352</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50,434</w:t>
            </w:r>
          </w:p>
        </w:tc>
        <w:tc>
          <w:tcPr>
            <w:tcW w:w="0" w:type="dxa"/>
            <w:vAlign w:val="bottom"/>
          </w:tcPr>
          <w:p>
            <w:pPr>
              <w:spacing w:after="0"/>
              <w:rPr>
                <w:sz w:val="1"/>
                <w:szCs w:val="1"/>
                <w:color w:val="auto"/>
              </w:rPr>
            </w:pPr>
          </w:p>
        </w:tc>
      </w:tr>
      <w:tr>
        <w:trPr>
          <w:trHeight w:val="216"/>
        </w:trPr>
        <w:tc>
          <w:tcPr>
            <w:tcW w:w="52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Gain on sale of assets—net</w:t>
            </w:r>
          </w:p>
        </w:tc>
        <w:tc>
          <w:tcPr>
            <w:tcW w:w="100" w:type="dxa"/>
            <w:vAlign w:val="bottom"/>
          </w:tcPr>
          <w:p>
            <w:pPr>
              <w:spacing w:after="0"/>
              <w:rPr>
                <w:sz w:val="18"/>
                <w:szCs w:val="18"/>
                <w:color w:val="auto"/>
              </w:rPr>
            </w:pPr>
          </w:p>
        </w:tc>
        <w:tc>
          <w:tcPr>
            <w:tcW w:w="122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(11,722)</w:t>
            </w:r>
          </w:p>
        </w:tc>
        <w:tc>
          <w:tcPr>
            <w:tcW w:w="120" w:type="dxa"/>
            <w:vAlign w:val="bottom"/>
          </w:tcPr>
          <w:p>
            <w:pPr>
              <w:spacing w:after="0"/>
              <w:rPr>
                <w:sz w:val="18"/>
                <w:szCs w:val="18"/>
                <w:color w:val="auto"/>
              </w:rPr>
            </w:pPr>
          </w:p>
        </w:tc>
        <w:tc>
          <w:tcPr>
            <w:tcW w:w="118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(11,711)</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26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Operating income (loss)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57,311</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346</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(3,363)</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54,294</w:t>
            </w:r>
          </w:p>
        </w:tc>
        <w:tc>
          <w:tcPr>
            <w:tcW w:w="0" w:type="dxa"/>
            <w:vAlign w:val="bottom"/>
          </w:tcPr>
          <w:p>
            <w:pPr>
              <w:spacing w:after="0"/>
              <w:rPr>
                <w:sz w:val="1"/>
                <w:szCs w:val="1"/>
                <w:color w:val="auto"/>
              </w:rPr>
            </w:pPr>
          </w:p>
        </w:tc>
      </w:tr>
      <w:tr>
        <w:trPr>
          <w:trHeight w:val="216"/>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expense—net</w:t>
            </w:r>
          </w:p>
        </w:tc>
        <w:tc>
          <w:tcPr>
            <w:tcW w:w="100" w:type="dxa"/>
            <w:vAlign w:val="bottom"/>
          </w:tcPr>
          <w:p>
            <w:pPr>
              <w:spacing w:after="0"/>
              <w:rPr>
                <w:sz w:val="18"/>
                <w:szCs w:val="18"/>
                <w:color w:val="auto"/>
              </w:rPr>
            </w:pPr>
          </w:p>
        </w:tc>
        <w:tc>
          <w:tcPr>
            <w:tcW w:w="122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(780)</w:t>
            </w:r>
          </w:p>
        </w:tc>
        <w:tc>
          <w:tcPr>
            <w:tcW w:w="120" w:type="dxa"/>
            <w:vAlign w:val="bottom"/>
          </w:tcPr>
          <w:p>
            <w:pPr>
              <w:spacing w:after="0"/>
              <w:rPr>
                <w:sz w:val="18"/>
                <w:szCs w:val="18"/>
                <w:color w:val="auto"/>
              </w:rPr>
            </w:pPr>
          </w:p>
        </w:tc>
        <w:tc>
          <w:tcPr>
            <w:tcW w:w="118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(156)</w:t>
            </w:r>
          </w:p>
        </w:tc>
        <w:tc>
          <w:tcPr>
            <w:tcW w:w="140" w:type="dxa"/>
            <w:vAlign w:val="bottom"/>
          </w:tcPr>
          <w:p>
            <w:pPr>
              <w:spacing w:after="0"/>
              <w:rPr>
                <w:sz w:val="18"/>
                <w:szCs w:val="18"/>
                <w:color w:val="auto"/>
              </w:rPr>
            </w:pPr>
          </w:p>
        </w:tc>
        <w:tc>
          <w:tcPr>
            <w:tcW w:w="118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(20,729)</w:t>
            </w:r>
          </w:p>
        </w:tc>
        <w:tc>
          <w:tcPr>
            <w:tcW w:w="140" w:type="dxa"/>
            <w:vAlign w:val="bottom"/>
          </w:tcPr>
          <w:p>
            <w:pPr>
              <w:spacing w:after="0"/>
              <w:rPr>
                <w:sz w:val="18"/>
                <w:szCs w:val="18"/>
                <w:color w:val="auto"/>
              </w:rPr>
            </w:pPr>
          </w:p>
        </w:tc>
        <w:tc>
          <w:tcPr>
            <w:tcW w:w="120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(21,665)</w:t>
            </w:r>
          </w:p>
        </w:tc>
        <w:tc>
          <w:tcPr>
            <w:tcW w:w="0" w:type="dxa"/>
            <w:vAlign w:val="bottom"/>
          </w:tcPr>
          <w:p>
            <w:pPr>
              <w:spacing w:after="0"/>
              <w:rPr>
                <w:sz w:val="1"/>
                <w:szCs w:val="1"/>
                <w:color w:val="auto"/>
              </w:rPr>
            </w:pPr>
          </w:p>
        </w:tc>
      </w:tr>
      <w:tr>
        <w:trPr>
          <w:trHeight w:val="216"/>
        </w:trPr>
        <w:tc>
          <w:tcPr>
            <w:tcW w:w="5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in earnings (loss) of subsidiaries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2,075</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56,442</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(58,517)</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Equity in earnings of joint ventures</w:t>
            </w:r>
          </w:p>
        </w:tc>
        <w:tc>
          <w:tcPr>
            <w:tcW w:w="100" w:type="dxa"/>
            <w:vAlign w:val="bottom"/>
          </w:tcPr>
          <w:p>
            <w:pPr>
              <w:spacing w:after="0"/>
              <w:rPr>
                <w:sz w:val="18"/>
                <w:szCs w:val="18"/>
                <w:color w:val="auto"/>
              </w:rPr>
            </w:pPr>
          </w:p>
        </w:tc>
        <w:tc>
          <w:tcPr>
            <w:tcW w:w="122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(406)</w:t>
            </w:r>
          </w:p>
        </w:tc>
        <w:tc>
          <w:tcPr>
            <w:tcW w:w="120" w:type="dxa"/>
            <w:vAlign w:val="bottom"/>
          </w:tcPr>
          <w:p>
            <w:pPr>
              <w:spacing w:after="0"/>
              <w:rPr>
                <w:sz w:val="18"/>
                <w:szCs w:val="18"/>
                <w:color w:val="auto"/>
              </w:rPr>
            </w:pPr>
          </w:p>
        </w:tc>
        <w:tc>
          <w:tcPr>
            <w:tcW w:w="118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18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20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(406)</w:t>
            </w:r>
          </w:p>
        </w:tc>
        <w:tc>
          <w:tcPr>
            <w:tcW w:w="0" w:type="dxa"/>
            <w:vAlign w:val="bottom"/>
          </w:tcPr>
          <w:p>
            <w:pPr>
              <w:spacing w:after="0"/>
              <w:rPr>
                <w:sz w:val="1"/>
                <w:szCs w:val="1"/>
                <w:color w:val="auto"/>
              </w:rPr>
            </w:pPr>
          </w:p>
        </w:tc>
      </w:tr>
      <w:tr>
        <w:trPr>
          <w:trHeight w:val="216"/>
        </w:trPr>
        <w:tc>
          <w:tcPr>
            <w:tcW w:w="5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on foreign currency transactions—net</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(264)</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(18)</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(282)</w:t>
            </w:r>
          </w:p>
        </w:tc>
        <w:tc>
          <w:tcPr>
            <w:tcW w:w="0" w:type="dxa"/>
            <w:vAlign w:val="bottom"/>
          </w:tcPr>
          <w:p>
            <w:pPr>
              <w:spacing w:after="0"/>
              <w:rPr>
                <w:sz w:val="1"/>
                <w:szCs w:val="1"/>
                <w:color w:val="auto"/>
              </w:rPr>
            </w:pPr>
          </w:p>
        </w:tc>
      </w:tr>
      <w:tr>
        <w:trPr>
          <w:trHeight w:val="216"/>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100" w:type="dxa"/>
            <w:vAlign w:val="bottom"/>
          </w:tcPr>
          <w:p>
            <w:pPr>
              <w:spacing w:after="0"/>
              <w:rPr>
                <w:sz w:val="18"/>
                <w:szCs w:val="18"/>
                <w:color w:val="auto"/>
              </w:rPr>
            </w:pPr>
          </w:p>
        </w:tc>
        <w:tc>
          <w:tcPr>
            <w:tcW w:w="6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(5,145)</w:t>
            </w:r>
          </w:p>
        </w:tc>
        <w:tc>
          <w:tcPr>
            <w:tcW w:w="140" w:type="dxa"/>
            <w:vAlign w:val="bottom"/>
          </w:tcPr>
          <w:p>
            <w:pPr>
              <w:spacing w:after="0"/>
              <w:rPr>
                <w:sz w:val="18"/>
                <w:szCs w:val="18"/>
                <w:color w:val="auto"/>
              </w:rPr>
            </w:pPr>
          </w:p>
        </w:tc>
        <w:tc>
          <w:tcPr>
            <w:tcW w:w="120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(5,145)</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26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57,936</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172</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27,205</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(58,517)</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26,796</w:t>
            </w:r>
          </w:p>
        </w:tc>
        <w:tc>
          <w:tcPr>
            <w:tcW w:w="0" w:type="dxa"/>
            <w:vAlign w:val="bottom"/>
          </w:tcPr>
          <w:p>
            <w:pPr>
              <w:spacing w:after="0"/>
              <w:rPr>
                <w:sz w:val="1"/>
                <w:szCs w:val="1"/>
                <w:color w:val="auto"/>
              </w:rPr>
            </w:pPr>
          </w:p>
        </w:tc>
      </w:tr>
      <w:tr>
        <w:trPr>
          <w:trHeight w:val="216"/>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Income tax (provision) benefit</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5</w:t>
            </w:r>
          </w:p>
        </w:tc>
        <w:tc>
          <w:tcPr>
            <w:tcW w:w="140" w:type="dxa"/>
            <w:vAlign w:val="bottom"/>
          </w:tcPr>
          <w:p>
            <w:pPr>
              <w:spacing w:after="0"/>
              <w:rPr>
                <w:sz w:val="18"/>
                <w:szCs w:val="18"/>
                <w:color w:val="auto"/>
              </w:rPr>
            </w:pPr>
          </w:p>
        </w:tc>
        <w:tc>
          <w:tcPr>
            <w:tcW w:w="118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(9,954)</w:t>
            </w:r>
          </w:p>
        </w:tc>
        <w:tc>
          <w:tcPr>
            <w:tcW w:w="140" w:type="dxa"/>
            <w:vAlign w:val="bottom"/>
          </w:tcPr>
          <w:p>
            <w:pPr>
              <w:spacing w:after="0"/>
              <w:rPr>
                <w:sz w:val="18"/>
                <w:szCs w:val="18"/>
                <w:color w:val="auto"/>
              </w:rPr>
            </w:pPr>
          </w:p>
        </w:tc>
        <w:tc>
          <w:tcPr>
            <w:tcW w:w="120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(9,545)</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26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Net income (loss)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58,340</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177</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17,251</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(58,517)</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17,251</w:t>
            </w:r>
          </w:p>
        </w:tc>
        <w:tc>
          <w:tcPr>
            <w:tcW w:w="0" w:type="dxa"/>
            <w:vAlign w:val="bottom"/>
          </w:tcPr>
          <w:p>
            <w:pPr>
              <w:spacing w:after="0"/>
              <w:rPr>
                <w:sz w:val="1"/>
                <w:szCs w:val="1"/>
                <w:color w:val="auto"/>
              </w:rPr>
            </w:pPr>
          </w:p>
        </w:tc>
      </w:tr>
      <w:tr>
        <w:trPr>
          <w:trHeight w:val="223"/>
        </w:trPr>
        <w:tc>
          <w:tcPr>
            <w:tcW w:w="526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100" w:type="dxa"/>
            <w:vAlign w:val="bottom"/>
          </w:tcPr>
          <w:p>
            <w:pPr>
              <w:spacing w:after="0"/>
              <w:rPr>
                <w:sz w:val="19"/>
                <w:szCs w:val="19"/>
                <w:color w:val="auto"/>
              </w:rPr>
            </w:pPr>
          </w:p>
        </w:tc>
        <w:tc>
          <w:tcPr>
            <w:tcW w:w="122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18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8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(723)</w:t>
            </w:r>
          </w:p>
        </w:tc>
        <w:tc>
          <w:tcPr>
            <w:tcW w:w="140" w:type="dxa"/>
            <w:vAlign w:val="bottom"/>
          </w:tcPr>
          <w:p>
            <w:pPr>
              <w:spacing w:after="0"/>
              <w:rPr>
                <w:sz w:val="19"/>
                <w:szCs w:val="19"/>
                <w:color w:val="auto"/>
              </w:rPr>
            </w:pPr>
          </w:p>
        </w:tc>
        <w:tc>
          <w:tcPr>
            <w:tcW w:w="120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(723)</w:t>
            </w:r>
          </w:p>
        </w:tc>
        <w:tc>
          <w:tcPr>
            <w:tcW w:w="0" w:type="dxa"/>
            <w:vAlign w:val="bottom"/>
          </w:tcPr>
          <w:p>
            <w:pPr>
              <w:spacing w:after="0"/>
              <w:rPr>
                <w:sz w:val="1"/>
                <w:szCs w:val="1"/>
                <w:color w:val="auto"/>
              </w:rPr>
            </w:pPr>
          </w:p>
        </w:tc>
      </w:tr>
      <w:tr>
        <w:trPr>
          <w:trHeight w:val="202"/>
        </w:trPr>
        <w:tc>
          <w:tcPr>
            <w:tcW w:w="5260" w:type="dxa"/>
            <w:vAlign w:val="bottom"/>
            <w:shd w:val="clear" w:color="auto" w:fill="CCEEFF"/>
          </w:tcPr>
          <w:p>
            <w:pPr>
              <w:ind w:left="880"/>
              <w:spacing w:after="0" w:line="201" w:lineRule="exact"/>
              <w:rPr>
                <w:sz w:val="20"/>
                <w:szCs w:val="20"/>
                <w:color w:val="auto"/>
              </w:rPr>
            </w:pPr>
            <w:r>
              <w:rPr>
                <w:rFonts w:ascii="Times New Roman" w:cs="Times New Roman" w:eastAsia="Times New Roman" w:hAnsi="Times New Roman"/>
                <w:sz w:val="18"/>
                <w:szCs w:val="18"/>
                <w:color w:val="auto"/>
              </w:rPr>
              <w:t>Net income (loss) attributable to Great Lakes</w:t>
            </w:r>
          </w:p>
        </w:tc>
        <w:tc>
          <w:tcPr>
            <w:tcW w:w="10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260" w:type="dxa"/>
            <w:vAlign w:val="bottom"/>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Dredge &amp; Dock Corporation</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58,340</w:t>
            </w:r>
          </w:p>
        </w:tc>
        <w:tc>
          <w:tcPr>
            <w:tcW w:w="5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177</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16,528</w:t>
            </w:r>
          </w:p>
        </w:tc>
        <w:tc>
          <w:tcPr>
            <w:tcW w:w="5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(58,517)</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16,528</w:t>
            </w:r>
          </w:p>
        </w:tc>
        <w:tc>
          <w:tcPr>
            <w:tcW w:w="0" w:type="dxa"/>
            <w:vAlign w:val="bottom"/>
          </w:tcPr>
          <w:p>
            <w:pPr>
              <w:spacing w:after="0"/>
              <w:rPr>
                <w:sz w:val="1"/>
                <w:szCs w:val="1"/>
                <w:color w:val="auto"/>
              </w:rPr>
            </w:pPr>
          </w:p>
        </w:tc>
      </w:tr>
      <w:tr>
        <w:trPr>
          <w:trHeight w:val="20"/>
        </w:trPr>
        <w:tc>
          <w:tcPr>
            <w:tcW w:w="52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Comprehensive income (loss) attributable to Great Lakes Dredge &amp;</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52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Dock Corporation</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57,986</w:t>
            </w:r>
          </w:p>
        </w:tc>
        <w:tc>
          <w:tcPr>
            <w:tcW w:w="58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177</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16,174</w:t>
            </w:r>
          </w:p>
        </w:tc>
        <w:tc>
          <w:tcPr>
            <w:tcW w:w="580" w:type="dxa"/>
            <w:vAlign w:val="bottom"/>
          </w:tcPr>
          <w:p>
            <w:pPr>
              <w:spacing w:after="0"/>
              <w:rPr>
                <w:sz w:val="19"/>
                <w:szCs w:val="19"/>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(58,163)</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16,174</w:t>
            </w: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5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94</w:t>
            </w: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5" w:right="239" w:bottom="1440" w:gutter="0" w:footer="0" w:header="0"/>
        </w:sectPr>
      </w:pPr>
    </w:p>
    <w:bookmarkStart w:id="96" w:name="page97"/>
    <w:bookmarkEnd w:id="9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GREAT LAKES DREDGE &amp; DOCK CORPORATION AND SUBSIDIARIES</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CONSOLIDATING STATEMENT OF OPERATIONS AND COMPREHENSIVE INCOME</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YEAR ENDED DECEMBER 31, 2010</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gridSpan w:val="2"/>
          </w:tcPr>
          <w:p>
            <w:pPr>
              <w:jc w:val="right"/>
              <w:ind w:right="800"/>
              <w:spacing w:after="0"/>
              <w:rPr>
                <w:sz w:val="20"/>
                <w:szCs w:val="20"/>
                <w:color w:val="auto"/>
              </w:rPr>
            </w:pPr>
            <w:r>
              <w:rPr>
                <w:rFonts w:ascii="Times New Roman" w:cs="Times New Roman" w:eastAsia="Times New Roman" w:hAnsi="Times New Roman"/>
                <w:sz w:val="14"/>
                <w:szCs w:val="14"/>
                <w:b w:val="1"/>
                <w:bCs w:val="1"/>
                <w:color w:val="auto"/>
              </w:rPr>
              <w:t>Non-</w:t>
            </w: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49"/>
        </w:trPr>
        <w:tc>
          <w:tcPr>
            <w:tcW w:w="5260" w:type="dxa"/>
            <w:vAlign w:val="bottom"/>
          </w:tcPr>
          <w:p>
            <w:pPr>
              <w:spacing w:after="0"/>
              <w:rPr>
                <w:sz w:val="12"/>
                <w:szCs w:val="12"/>
                <w:color w:val="auto"/>
              </w:rPr>
            </w:pPr>
          </w:p>
        </w:tc>
        <w:tc>
          <w:tcPr>
            <w:tcW w:w="1320" w:type="dxa"/>
            <w:vAlign w:val="bottom"/>
            <w:gridSpan w:val="3"/>
          </w:tcPr>
          <w:p>
            <w:pPr>
              <w:jc w:val="right"/>
              <w:ind w:right="640"/>
              <w:spacing w:after="0" w:line="149" w:lineRule="exact"/>
              <w:rPr>
                <w:sz w:val="20"/>
                <w:szCs w:val="20"/>
                <w:color w:val="auto"/>
              </w:rPr>
            </w:pPr>
            <w:r>
              <w:rPr>
                <w:rFonts w:ascii="Times New Roman" w:cs="Times New Roman" w:eastAsia="Times New Roman" w:hAnsi="Times New Roman"/>
                <w:sz w:val="14"/>
                <w:szCs w:val="14"/>
                <w:b w:val="1"/>
                <w:bCs w:val="1"/>
                <w:color w:val="auto"/>
              </w:rPr>
              <w:t>Subsidiary</w:t>
            </w:r>
          </w:p>
        </w:tc>
        <w:tc>
          <w:tcPr>
            <w:tcW w:w="1300" w:type="dxa"/>
            <w:vAlign w:val="bottom"/>
            <w:gridSpan w:val="3"/>
          </w:tcPr>
          <w:p>
            <w:pPr>
              <w:jc w:val="right"/>
              <w:ind w:right="640"/>
              <w:spacing w:after="0" w:line="149" w:lineRule="exact"/>
              <w:rPr>
                <w:sz w:val="20"/>
                <w:szCs w:val="20"/>
                <w:color w:val="auto"/>
              </w:rPr>
            </w:pPr>
            <w:r>
              <w:rPr>
                <w:rFonts w:ascii="Times New Roman" w:cs="Times New Roman" w:eastAsia="Times New Roman" w:hAnsi="Times New Roman"/>
                <w:sz w:val="14"/>
                <w:szCs w:val="14"/>
                <w:b w:val="1"/>
                <w:bCs w:val="1"/>
                <w:color w:val="auto"/>
                <w:w w:val="99"/>
              </w:rPr>
              <w:t>Guarantor</w:t>
            </w:r>
          </w:p>
        </w:tc>
        <w:tc>
          <w:tcPr>
            <w:tcW w:w="140" w:type="dxa"/>
            <w:vAlign w:val="bottom"/>
          </w:tcPr>
          <w:p>
            <w:pPr>
              <w:spacing w:after="0"/>
              <w:rPr>
                <w:sz w:val="12"/>
                <w:szCs w:val="12"/>
                <w:color w:val="auto"/>
              </w:rPr>
            </w:pPr>
          </w:p>
        </w:tc>
        <w:tc>
          <w:tcPr>
            <w:tcW w:w="1180" w:type="dxa"/>
            <w:vAlign w:val="bottom"/>
            <w:gridSpan w:val="2"/>
          </w:tcPr>
          <w:p>
            <w:pPr>
              <w:jc w:val="right"/>
              <w:ind w:right="760"/>
              <w:spacing w:after="0" w:line="149" w:lineRule="exact"/>
              <w:rPr>
                <w:sz w:val="20"/>
                <w:szCs w:val="20"/>
                <w:color w:val="auto"/>
              </w:rPr>
            </w:pPr>
            <w:r>
              <w:rPr>
                <w:rFonts w:ascii="Times New Roman" w:cs="Times New Roman" w:eastAsia="Times New Roman" w:hAnsi="Times New Roman"/>
                <w:sz w:val="14"/>
                <w:szCs w:val="14"/>
                <w:b w:val="1"/>
                <w:bCs w:val="1"/>
                <w:color w:val="auto"/>
                <w:w w:val="98"/>
              </w:rPr>
              <w:t>GLDD</w:t>
            </w: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8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Consolidated</w:t>
            </w:r>
          </w:p>
        </w:tc>
      </w:tr>
      <w:tr>
        <w:trPr>
          <w:trHeight w:val="165"/>
        </w:trPr>
        <w:tc>
          <w:tcPr>
            <w:tcW w:w="5260" w:type="dxa"/>
            <w:vAlign w:val="bottom"/>
          </w:tcPr>
          <w:p>
            <w:pPr>
              <w:spacing w:after="0"/>
              <w:rPr>
                <w:sz w:val="14"/>
                <w:szCs w:val="14"/>
                <w:color w:val="auto"/>
              </w:rPr>
            </w:pPr>
          </w:p>
        </w:tc>
        <w:tc>
          <w:tcPr>
            <w:tcW w:w="1320" w:type="dxa"/>
            <w:vAlign w:val="bottom"/>
            <w:gridSpan w:val="3"/>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w w:val="97"/>
              </w:rPr>
              <w:t>Guarantors</w:t>
            </w:r>
          </w:p>
        </w:tc>
        <w:tc>
          <w:tcPr>
            <w:tcW w:w="13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13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Corporation</w:t>
            </w:r>
          </w:p>
        </w:tc>
        <w:tc>
          <w:tcPr>
            <w:tcW w:w="13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120" w:type="dxa"/>
            <w:vAlign w:val="bottom"/>
          </w:tcPr>
          <w:p>
            <w:pPr>
              <w:spacing w:after="0"/>
              <w:rPr>
                <w:sz w:val="14"/>
                <w:szCs w:val="14"/>
                <w:color w:val="auto"/>
              </w:rPr>
            </w:pPr>
          </w:p>
        </w:tc>
        <w:tc>
          <w:tcPr>
            <w:tcW w:w="76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Totals</w:t>
            </w:r>
          </w:p>
        </w:tc>
      </w:tr>
      <w:tr>
        <w:trPr>
          <w:trHeight w:val="210"/>
        </w:trPr>
        <w:tc>
          <w:tcPr>
            <w:tcW w:w="52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Contract revenues</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683,460</w:t>
            </w:r>
          </w:p>
        </w:tc>
        <w:tc>
          <w:tcPr>
            <w:tcW w:w="5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8,538</w:t>
            </w:r>
          </w:p>
        </w:tc>
        <w:tc>
          <w:tcPr>
            <w:tcW w:w="6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(5,076)</w:t>
            </w:r>
          </w:p>
        </w:tc>
        <w:tc>
          <w:tcPr>
            <w:tcW w:w="6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686,922</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Costs of contract revenues</w:t>
            </w:r>
          </w:p>
        </w:tc>
        <w:tc>
          <w:tcPr>
            <w:tcW w:w="100" w:type="dxa"/>
            <w:vAlign w:val="bottom"/>
          </w:tcPr>
          <w:p>
            <w:pPr>
              <w:spacing w:after="0"/>
              <w:rPr>
                <w:sz w:val="18"/>
                <w:szCs w:val="18"/>
                <w:color w:val="auto"/>
              </w:rPr>
            </w:pPr>
          </w:p>
        </w:tc>
        <w:tc>
          <w:tcPr>
            <w:tcW w:w="122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w w:val="93"/>
              </w:rPr>
              <w:t>(559,754)</w:t>
            </w:r>
          </w:p>
        </w:tc>
        <w:tc>
          <w:tcPr>
            <w:tcW w:w="140" w:type="dxa"/>
            <w:vAlign w:val="bottom"/>
          </w:tcPr>
          <w:p>
            <w:pPr>
              <w:spacing w:after="0"/>
              <w:rPr>
                <w:sz w:val="18"/>
                <w:szCs w:val="18"/>
                <w:color w:val="auto"/>
              </w:rPr>
            </w:pPr>
          </w:p>
        </w:tc>
        <w:tc>
          <w:tcPr>
            <w:tcW w:w="116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(9,462)</w:t>
            </w:r>
          </w:p>
        </w:tc>
        <w:tc>
          <w:tcPr>
            <w:tcW w:w="140" w:type="dxa"/>
            <w:vAlign w:val="bottom"/>
          </w:tcPr>
          <w:p>
            <w:pPr>
              <w:spacing w:after="0"/>
              <w:rPr>
                <w:sz w:val="18"/>
                <w:szCs w:val="18"/>
                <w:color w:val="auto"/>
              </w:rPr>
            </w:pPr>
          </w:p>
        </w:tc>
        <w:tc>
          <w:tcPr>
            <w:tcW w:w="118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5,076</w:t>
            </w: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9"/>
              </w:rPr>
              <w:t>(564,140)</w:t>
            </w:r>
          </w:p>
        </w:tc>
      </w:tr>
      <w:tr>
        <w:trPr>
          <w:trHeight w:val="27"/>
        </w:trPr>
        <w:tc>
          <w:tcPr>
            <w:tcW w:w="5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526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Gross profit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123,706</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(924)</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122,782</w:t>
            </w:r>
          </w:p>
        </w:tc>
      </w:tr>
      <w:tr>
        <w:trPr>
          <w:trHeight w:val="216"/>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2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50,084</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702</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3,566</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54,352</w:t>
            </w:r>
          </w:p>
        </w:tc>
      </w:tr>
      <w:tr>
        <w:trPr>
          <w:trHeight w:val="223"/>
        </w:trPr>
        <w:tc>
          <w:tcPr>
            <w:tcW w:w="52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GAIN ON SALE OF ASSETS—Net</w:t>
            </w: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r>
      <w:tr>
        <w:trPr>
          <w:trHeight w:val="216"/>
        </w:trPr>
        <w:tc>
          <w:tcPr>
            <w:tcW w:w="526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Operating income (loss)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73,622</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(1,626)</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(3,566)</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68,430</w:t>
            </w:r>
          </w:p>
        </w:tc>
      </w:tr>
      <w:tr>
        <w:trPr>
          <w:trHeight w:val="216"/>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expense—net</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(95)</w:t>
            </w:r>
          </w:p>
        </w:tc>
        <w:tc>
          <w:tcPr>
            <w:tcW w:w="140" w:type="dxa"/>
            <w:vAlign w:val="bottom"/>
          </w:tcPr>
          <w:p>
            <w:pPr>
              <w:spacing w:after="0"/>
              <w:rPr>
                <w:sz w:val="18"/>
                <w:szCs w:val="18"/>
                <w:color w:val="auto"/>
              </w:rPr>
            </w:pPr>
          </w:p>
        </w:tc>
        <w:tc>
          <w:tcPr>
            <w:tcW w:w="118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(13,473)</w:t>
            </w:r>
          </w:p>
        </w:tc>
        <w:tc>
          <w:tcPr>
            <w:tcW w:w="140" w:type="dxa"/>
            <w:vAlign w:val="bottom"/>
          </w:tcPr>
          <w:p>
            <w:pPr>
              <w:spacing w:after="0"/>
              <w:rPr>
                <w:sz w:val="18"/>
                <w:szCs w:val="18"/>
                <w:color w:val="auto"/>
              </w:rPr>
            </w:pPr>
          </w:p>
        </w:tc>
        <w:tc>
          <w:tcPr>
            <w:tcW w:w="120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(13,542)</w:t>
            </w:r>
          </w:p>
        </w:tc>
      </w:tr>
      <w:tr>
        <w:trPr>
          <w:trHeight w:val="216"/>
        </w:trPr>
        <w:tc>
          <w:tcPr>
            <w:tcW w:w="5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in earnings (loss) of subsidiaries</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(1,721)</w:t>
            </w: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72,886</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(71,165)</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Equity in earnings of joint ventures</w:t>
            </w:r>
          </w:p>
        </w:tc>
        <w:tc>
          <w:tcPr>
            <w:tcW w:w="100" w:type="dxa"/>
            <w:vAlign w:val="bottom"/>
          </w:tcPr>
          <w:p>
            <w:pPr>
              <w:spacing w:after="0"/>
              <w:rPr>
                <w:sz w:val="18"/>
                <w:szCs w:val="18"/>
                <w:color w:val="auto"/>
              </w:rPr>
            </w:pPr>
          </w:p>
        </w:tc>
        <w:tc>
          <w:tcPr>
            <w:tcW w:w="122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(614)</w:t>
            </w:r>
          </w:p>
        </w:tc>
        <w:tc>
          <w:tcPr>
            <w:tcW w:w="140" w:type="dxa"/>
            <w:vAlign w:val="bottom"/>
          </w:tcPr>
          <w:p>
            <w:pPr>
              <w:spacing w:after="0"/>
              <w:rPr>
                <w:sz w:val="18"/>
                <w:szCs w:val="18"/>
                <w:color w:val="auto"/>
              </w:rPr>
            </w:pPr>
          </w:p>
        </w:tc>
        <w:tc>
          <w:tcPr>
            <w:tcW w:w="116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18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20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(614)</w:t>
            </w:r>
          </w:p>
        </w:tc>
      </w:tr>
      <w:tr>
        <w:trPr>
          <w:trHeight w:val="216"/>
        </w:trPr>
        <w:tc>
          <w:tcPr>
            <w:tcW w:w="5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on foreign currency transactions—net</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222"/>
        </w:trPr>
        <w:tc>
          <w:tcPr>
            <w:tcW w:w="526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71,313</w:t>
            </w:r>
          </w:p>
        </w:tc>
        <w:tc>
          <w:tcPr>
            <w:tcW w:w="5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(1,721)</w:t>
            </w:r>
          </w:p>
        </w:tc>
        <w:tc>
          <w:tcPr>
            <w:tcW w:w="6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55,847</w:t>
            </w:r>
          </w:p>
        </w:tc>
        <w:tc>
          <w:tcPr>
            <w:tcW w:w="5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4"/>
              </w:rPr>
              <w:t>(71,165)</w:t>
            </w:r>
          </w:p>
        </w:tc>
        <w:tc>
          <w:tcPr>
            <w:tcW w:w="6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54,274</w:t>
            </w:r>
          </w:p>
        </w:tc>
        <w:tc>
          <w:tcPr>
            <w:tcW w:w="100" w:type="dxa"/>
            <w:vAlign w:val="bottom"/>
          </w:tcPr>
          <w:p>
            <w:pPr>
              <w:spacing w:after="0"/>
              <w:rPr>
                <w:sz w:val="19"/>
                <w:szCs w:val="19"/>
                <w:color w:val="auto"/>
              </w:rPr>
            </w:pPr>
          </w:p>
        </w:tc>
      </w:tr>
      <w:tr>
        <w:trPr>
          <w:trHeight w:val="217"/>
        </w:trPr>
        <w:tc>
          <w:tcPr>
            <w:tcW w:w="5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(provision) benefit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1,573</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(22,127)</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(20,554)</w:t>
            </w:r>
          </w:p>
        </w:tc>
      </w:tr>
      <w:tr>
        <w:trPr>
          <w:trHeight w:val="223"/>
        </w:trPr>
        <w:tc>
          <w:tcPr>
            <w:tcW w:w="526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Net income (loss)</w:t>
            </w: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72,886</w:t>
            </w:r>
          </w:p>
        </w:tc>
        <w:tc>
          <w:tcPr>
            <w:tcW w:w="5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(1,721)</w:t>
            </w:r>
          </w:p>
        </w:tc>
        <w:tc>
          <w:tcPr>
            <w:tcW w:w="6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33,720</w:t>
            </w:r>
          </w:p>
        </w:tc>
        <w:tc>
          <w:tcPr>
            <w:tcW w:w="5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4"/>
              </w:rPr>
              <w:t>(71,165)</w:t>
            </w:r>
          </w:p>
        </w:tc>
        <w:tc>
          <w:tcPr>
            <w:tcW w:w="6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33,720</w:t>
            </w:r>
          </w:p>
        </w:tc>
        <w:tc>
          <w:tcPr>
            <w:tcW w:w="100" w:type="dxa"/>
            <w:vAlign w:val="bottom"/>
          </w:tcPr>
          <w:p>
            <w:pPr>
              <w:spacing w:after="0"/>
              <w:rPr>
                <w:sz w:val="19"/>
                <w:szCs w:val="19"/>
                <w:color w:val="auto"/>
              </w:rPr>
            </w:pPr>
          </w:p>
        </w:tc>
      </w:tr>
      <w:tr>
        <w:trPr>
          <w:trHeight w:val="217"/>
        </w:trPr>
        <w:tc>
          <w:tcPr>
            <w:tcW w:w="526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Net loss attributable to noncontrolling interests</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889</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889</w:t>
            </w:r>
          </w:p>
        </w:tc>
      </w:tr>
      <w:tr>
        <w:trPr>
          <w:trHeight w:val="209"/>
        </w:trPr>
        <w:tc>
          <w:tcPr>
            <w:tcW w:w="526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Net income (loss) attributable to Great Lakes</w:t>
            </w:r>
          </w:p>
        </w:tc>
        <w:tc>
          <w:tcPr>
            <w:tcW w:w="10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29"/>
        </w:trPr>
        <w:tc>
          <w:tcPr>
            <w:tcW w:w="526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Dredge &amp; Dock Corporation</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72,886</w:t>
            </w:r>
          </w:p>
        </w:tc>
        <w:tc>
          <w:tcPr>
            <w:tcW w:w="580" w:type="dxa"/>
            <w:vAlign w:val="bottom"/>
          </w:tcPr>
          <w:p>
            <w:pPr>
              <w:spacing w:after="0"/>
              <w:rPr>
                <w:sz w:val="19"/>
                <w:szCs w:val="19"/>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(1,721)</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34,609</w:t>
            </w:r>
          </w:p>
        </w:tc>
        <w:tc>
          <w:tcPr>
            <w:tcW w:w="580" w:type="dxa"/>
            <w:vAlign w:val="bottom"/>
          </w:tcPr>
          <w:p>
            <w:pPr>
              <w:spacing w:after="0"/>
              <w:rPr>
                <w:sz w:val="19"/>
                <w:szCs w:val="19"/>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(71,165)</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34,609</w:t>
            </w:r>
          </w:p>
        </w:tc>
      </w:tr>
      <w:tr>
        <w:trPr>
          <w:trHeight w:val="20"/>
        </w:trPr>
        <w:tc>
          <w:tcPr>
            <w:tcW w:w="5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5260" w:type="dxa"/>
            <w:vAlign w:val="bottom"/>
            <w:shd w:val="clear" w:color="auto" w:fill="CCEEFF"/>
          </w:tcPr>
          <w:p>
            <w:pPr>
              <w:spacing w:after="0" w:line="197" w:lineRule="exact"/>
              <w:rPr>
                <w:sz w:val="20"/>
                <w:szCs w:val="20"/>
                <w:color w:val="auto"/>
              </w:rPr>
            </w:pPr>
            <w:r>
              <w:rPr>
                <w:rFonts w:ascii="Times New Roman" w:cs="Times New Roman" w:eastAsia="Times New Roman" w:hAnsi="Times New Roman"/>
                <w:sz w:val="18"/>
                <w:szCs w:val="18"/>
                <w:color w:val="auto"/>
              </w:rPr>
              <w:t>Comprehensive income (loss) attributable to Great Lakes Dredge &amp;</w:t>
            </w: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5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Dock Corporation</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72,704</w:t>
            </w:r>
          </w:p>
        </w:tc>
        <w:tc>
          <w:tcPr>
            <w:tcW w:w="5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(1,721)</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34,427</w:t>
            </w:r>
          </w:p>
        </w:tc>
        <w:tc>
          <w:tcPr>
            <w:tcW w:w="5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(70,983)</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34,427</w:t>
            </w:r>
          </w:p>
        </w:tc>
      </w:tr>
      <w:tr>
        <w:trPr>
          <w:trHeight w:val="20"/>
        </w:trPr>
        <w:tc>
          <w:tcPr>
            <w:tcW w:w="5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57"/>
        </w:trPr>
        <w:tc>
          <w:tcPr>
            <w:tcW w:w="5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95</w:t>
            </w: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455" w:right="239" w:bottom="1440" w:gutter="0" w:footer="0" w:header="0"/>
        </w:sectPr>
      </w:pPr>
    </w:p>
    <w:bookmarkStart w:id="97" w:name="page98"/>
    <w:bookmarkEnd w:id="9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left="260" w:right="2760"/>
        <w:spacing w:after="0" w:line="353" w:lineRule="auto"/>
        <w:rPr>
          <w:sz w:val="20"/>
          <w:szCs w:val="20"/>
          <w:color w:val="auto"/>
        </w:rPr>
      </w:pPr>
      <w:r>
        <w:rPr>
          <w:rFonts w:ascii="Times New Roman" w:cs="Times New Roman" w:eastAsia="Times New Roman" w:hAnsi="Times New Roman"/>
          <w:sz w:val="18"/>
          <w:szCs w:val="18"/>
          <w:b w:val="1"/>
          <w:bCs w:val="1"/>
          <w:color w:val="auto"/>
        </w:rPr>
        <w:t>GREAT LAKES DREDGE &amp; DOCK CORPORATION AND SUBSIDIARIES CONDENSED CONSOLIDATING STATEMENT OF CASH FLOWS FOR THE YEAR ENDED DECEMBER 31, 2012 (In thousands)</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6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Non-</w:t>
            </w: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340" w:type="dxa"/>
            <w:vAlign w:val="bottom"/>
            <w:gridSpan w:val="3"/>
          </w:tcPr>
          <w:p>
            <w:pPr>
              <w:jc w:val="right"/>
              <w:ind w:right="680"/>
              <w:spacing w:after="0" w:line="149" w:lineRule="exact"/>
              <w:rPr>
                <w:sz w:val="20"/>
                <w:szCs w:val="20"/>
                <w:color w:val="auto"/>
              </w:rPr>
            </w:pPr>
            <w:r>
              <w:rPr>
                <w:rFonts w:ascii="Times New Roman" w:cs="Times New Roman" w:eastAsia="Times New Roman" w:hAnsi="Times New Roman"/>
                <w:sz w:val="14"/>
                <w:szCs w:val="14"/>
                <w:b w:val="1"/>
                <w:bCs w:val="1"/>
                <w:color w:val="auto"/>
                <w:w w:val="99"/>
              </w:rPr>
              <w:t>Subsidiary</w:t>
            </w:r>
          </w:p>
        </w:tc>
        <w:tc>
          <w:tcPr>
            <w:tcW w:w="1080" w:type="dxa"/>
            <w:vAlign w:val="bottom"/>
            <w:gridSpan w:val="3"/>
          </w:tcPr>
          <w:p>
            <w:pPr>
              <w:jc w:val="right"/>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Guarantor</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GLDD</w:t>
            </w: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8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1740" w:type="dxa"/>
            <w:vAlign w:val="bottom"/>
            <w:gridSpan w:val="4"/>
          </w:tcPr>
          <w:p>
            <w:pPr>
              <w:ind w:left="400"/>
              <w:spacing w:after="0"/>
              <w:rPr>
                <w:sz w:val="20"/>
                <w:szCs w:val="20"/>
                <w:color w:val="auto"/>
              </w:rPr>
            </w:pPr>
            <w:r>
              <w:rPr>
                <w:rFonts w:ascii="Times New Roman" w:cs="Times New Roman" w:eastAsia="Times New Roman" w:hAnsi="Times New Roman"/>
                <w:sz w:val="14"/>
                <w:szCs w:val="14"/>
                <w:b w:val="1"/>
                <w:bCs w:val="1"/>
                <w:color w:val="auto"/>
              </w:rPr>
              <w:t>Guarantors</w:t>
            </w:r>
          </w:p>
        </w:tc>
        <w:tc>
          <w:tcPr>
            <w:tcW w:w="10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300" w:type="dxa"/>
            <w:vAlign w:val="bottom"/>
          </w:tcPr>
          <w:p>
            <w:pPr>
              <w:spacing w:after="0"/>
              <w:rPr>
                <w:sz w:val="14"/>
                <w:szCs w:val="14"/>
                <w:color w:val="auto"/>
              </w:rPr>
            </w:pPr>
          </w:p>
        </w:tc>
        <w:tc>
          <w:tcPr>
            <w:tcW w:w="10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Corporation</w:t>
            </w:r>
          </w:p>
        </w:tc>
        <w:tc>
          <w:tcPr>
            <w:tcW w:w="320" w:type="dxa"/>
            <w:vAlign w:val="bottom"/>
          </w:tcPr>
          <w:p>
            <w:pPr>
              <w:spacing w:after="0"/>
              <w:rPr>
                <w:sz w:val="14"/>
                <w:szCs w:val="14"/>
                <w:color w:val="auto"/>
              </w:rPr>
            </w:pPr>
          </w:p>
        </w:tc>
        <w:tc>
          <w:tcPr>
            <w:tcW w:w="7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w w:val="94"/>
              </w:rPr>
              <w:t>Eliminations</w:t>
            </w: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Totals</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62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OPERATING ACTIVITIES:</w:t>
            </w:r>
          </w:p>
        </w:tc>
        <w:tc>
          <w:tcPr>
            <w:tcW w:w="4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620" w:type="dxa"/>
            <w:vAlign w:val="bottom"/>
          </w:tcPr>
          <w:p>
            <w:pPr>
              <w:ind w:left="860"/>
              <w:spacing w:after="0" w:line="201" w:lineRule="exact"/>
              <w:rPr>
                <w:sz w:val="20"/>
                <w:szCs w:val="20"/>
                <w:color w:val="auto"/>
              </w:rPr>
            </w:pPr>
            <w:r>
              <w:rPr>
                <w:rFonts w:ascii="Times New Roman" w:cs="Times New Roman" w:eastAsia="Times New Roman" w:hAnsi="Times New Roman"/>
                <w:sz w:val="18"/>
                <w:szCs w:val="18"/>
                <w:color w:val="auto"/>
              </w:rPr>
              <w:t>Net cash flows provided by (used in) operating</w:t>
            </w: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62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activities</w:t>
            </w:r>
          </w:p>
        </w:tc>
        <w:tc>
          <w:tcPr>
            <w:tcW w:w="50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27,755</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(1,791)</w:t>
            </w:r>
          </w:p>
        </w:tc>
        <w:tc>
          <w:tcPr>
            <w:tcW w:w="42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(27,824)</w:t>
            </w:r>
          </w:p>
        </w:tc>
        <w:tc>
          <w:tcPr>
            <w:tcW w:w="6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(1,860)</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INVESTING ACTIVITIES:</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(62,485)</w:t>
            </w:r>
          </w:p>
        </w:tc>
        <w:tc>
          <w:tcPr>
            <w:tcW w:w="160" w:type="dxa"/>
            <w:vAlign w:val="bottom"/>
          </w:tcPr>
          <w:p>
            <w:pPr>
              <w:spacing w:after="0"/>
              <w:rPr>
                <w:sz w:val="18"/>
                <w:szCs w:val="18"/>
                <w:color w:val="auto"/>
              </w:rPr>
            </w:pPr>
          </w:p>
        </w:tc>
        <w:tc>
          <w:tcPr>
            <w:tcW w:w="92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(62,485)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Proceeds from dispositions of property and equipment</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1,042</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1,042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Acquisition of Terra assets</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(2,000)</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(2,000)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2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Net cash flows used in investing activities</w:t>
            </w:r>
          </w:p>
        </w:tc>
        <w:tc>
          <w:tcPr>
            <w:tcW w:w="4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0"/>
              </w:rPr>
              <w:t>(63,443)</w:t>
            </w:r>
          </w:p>
        </w:tc>
        <w:tc>
          <w:tcPr>
            <w:tcW w:w="6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(63,443)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46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FINANCING ACTIVITIES:</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Deferred financing fees</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(2,039)</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(2,039)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Repayment of long term note payable</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(2,500)</w:t>
            </w:r>
          </w:p>
        </w:tc>
        <w:tc>
          <w:tcPr>
            <w:tcW w:w="160" w:type="dxa"/>
            <w:vAlign w:val="bottom"/>
          </w:tcPr>
          <w:p>
            <w:pPr>
              <w:spacing w:after="0"/>
              <w:rPr>
                <w:sz w:val="18"/>
                <w:szCs w:val="18"/>
                <w:color w:val="auto"/>
              </w:rPr>
            </w:pPr>
          </w:p>
        </w:tc>
        <w:tc>
          <w:tcPr>
            <w:tcW w:w="92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Distributions paid to minority interests</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(133)</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Dividends paid</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92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(18,560)</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(18,560)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Dividend equivalents paid on restricted stock units</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(196)</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Taxes paid on settlement of vested share awards</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92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(231)</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Net change in accounts with affiliates</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(45,982)</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(2,351)</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48,333</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Repayments of equipment debt</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(543)</w:t>
            </w:r>
          </w:p>
        </w:tc>
        <w:tc>
          <w:tcPr>
            <w:tcW w:w="160" w:type="dxa"/>
            <w:vAlign w:val="bottom"/>
          </w:tcPr>
          <w:p>
            <w:pPr>
              <w:spacing w:after="0"/>
              <w:rPr>
                <w:sz w:val="18"/>
                <w:szCs w:val="18"/>
                <w:color w:val="auto"/>
              </w:rPr>
            </w:pPr>
          </w:p>
        </w:tc>
        <w:tc>
          <w:tcPr>
            <w:tcW w:w="92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Exercise of stock options</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461</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461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620" w:type="dxa"/>
            <w:vAlign w:val="bottom"/>
          </w:tcPr>
          <w:p>
            <w:pPr>
              <w:ind w:left="420"/>
              <w:spacing w:after="0" w:line="201" w:lineRule="exact"/>
              <w:rPr>
                <w:sz w:val="20"/>
                <w:szCs w:val="20"/>
                <w:color w:val="auto"/>
              </w:rPr>
            </w:pPr>
            <w:r>
              <w:rPr>
                <w:rFonts w:ascii="Times New Roman" w:cs="Times New Roman" w:eastAsia="Times New Roman" w:hAnsi="Times New Roman"/>
                <w:sz w:val="18"/>
                <w:szCs w:val="18"/>
                <w:color w:val="auto"/>
              </w:rPr>
              <w:t>Excess income tax benefit from share-based</w:t>
            </w: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62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compensation</w:t>
            </w: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92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189</w:t>
            </w: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620" w:type="dxa"/>
            <w:vAlign w:val="bottom"/>
            <w:shd w:val="clear" w:color="auto" w:fill="CCEEFF"/>
          </w:tcPr>
          <w:p>
            <w:pPr>
              <w:ind w:left="860"/>
              <w:spacing w:after="0" w:line="201" w:lineRule="exact"/>
              <w:rPr>
                <w:sz w:val="20"/>
                <w:szCs w:val="20"/>
                <w:color w:val="auto"/>
              </w:rPr>
            </w:pPr>
            <w:r>
              <w:rPr>
                <w:rFonts w:ascii="Times New Roman" w:cs="Times New Roman" w:eastAsia="Times New Roman" w:hAnsi="Times New Roman"/>
                <w:sz w:val="18"/>
                <w:szCs w:val="18"/>
                <w:color w:val="auto"/>
              </w:rPr>
              <w:t>Net cash flows provided by (used in) financing</w:t>
            </w:r>
          </w:p>
        </w:tc>
        <w:tc>
          <w:tcPr>
            <w:tcW w:w="40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620" w:type="dxa"/>
            <w:vAlign w:val="bottom"/>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activities</w:t>
            </w:r>
          </w:p>
        </w:tc>
        <w:tc>
          <w:tcPr>
            <w:tcW w:w="4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(49,025)</w:t>
            </w:r>
          </w:p>
        </w:tc>
        <w:tc>
          <w:tcPr>
            <w:tcW w:w="16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(2,351)</w:t>
            </w:r>
          </w:p>
        </w:tc>
        <w:tc>
          <w:tcPr>
            <w:tcW w:w="3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27,824</w:t>
            </w:r>
          </w:p>
        </w:tc>
        <w:tc>
          <w:tcPr>
            <w:tcW w:w="3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4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(23,552)</w:t>
            </w:r>
          </w:p>
        </w:tc>
        <w:tc>
          <w:tcPr>
            <w:tcW w:w="0" w:type="dxa"/>
            <w:vAlign w:val="bottom"/>
          </w:tcPr>
          <w:p>
            <w:pPr>
              <w:spacing w:after="0"/>
              <w:rPr>
                <w:sz w:val="1"/>
                <w:szCs w:val="1"/>
                <w:color w:val="auto"/>
              </w:rPr>
            </w:pPr>
          </w:p>
        </w:tc>
      </w:tr>
      <w:tr>
        <w:trPr>
          <w:trHeight w:val="209"/>
        </w:trPr>
        <w:tc>
          <w:tcPr>
            <w:tcW w:w="4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Effect of foreign currency exchange rates on cash and cash</w:t>
            </w:r>
          </w:p>
        </w:tc>
        <w:tc>
          <w:tcPr>
            <w:tcW w:w="4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equivalents</w:t>
            </w:r>
          </w:p>
        </w:tc>
        <w:tc>
          <w:tcPr>
            <w:tcW w:w="4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decrease in cash and cash equivalents</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(84,713)</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(4,135)</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(88,848)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w w:val="95"/>
              </w:rPr>
              <w:t>108,985</w:t>
            </w: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4,303</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113,288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6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24,272</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w w:val="88"/>
              </w:rPr>
              <w:t>168</w:t>
            </w:r>
          </w:p>
        </w:tc>
        <w:tc>
          <w:tcPr>
            <w:tcW w:w="3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24,440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46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96</w:t>
            </w: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5" w:right="239" w:bottom="1440" w:gutter="0" w:footer="0" w:header="0"/>
        </w:sectPr>
      </w:pPr>
    </w:p>
    <w:bookmarkStart w:id="98" w:name="page99"/>
    <w:bookmarkEnd w:id="9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left="260" w:right="2760"/>
        <w:spacing w:after="0" w:line="353" w:lineRule="auto"/>
        <w:rPr>
          <w:sz w:val="20"/>
          <w:szCs w:val="20"/>
          <w:color w:val="auto"/>
        </w:rPr>
      </w:pPr>
      <w:r>
        <w:rPr>
          <w:rFonts w:ascii="Times New Roman" w:cs="Times New Roman" w:eastAsia="Times New Roman" w:hAnsi="Times New Roman"/>
          <w:sz w:val="18"/>
          <w:szCs w:val="18"/>
          <w:b w:val="1"/>
          <w:bCs w:val="1"/>
          <w:color w:val="auto"/>
        </w:rPr>
        <w:t>GREAT LAKES DREDGE &amp; DOCK CORPORATION AND SUBSIDIARIES CONDENSED CONSOLIDATING STATEMENT OF CASH FLOWS FOR THE YEAR ENDED DECEMBER 31, 2011 (In thousands)</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20" w:type="dxa"/>
            <w:vAlign w:val="bottom"/>
            <w:gridSpan w:val="2"/>
          </w:tcPr>
          <w:p>
            <w:pPr>
              <w:jc w:val="right"/>
              <w:ind w:right="880"/>
              <w:spacing w:after="0"/>
              <w:rPr>
                <w:sz w:val="20"/>
                <w:szCs w:val="20"/>
                <w:color w:val="auto"/>
              </w:rPr>
            </w:pPr>
            <w:r>
              <w:rPr>
                <w:rFonts w:ascii="Times New Roman" w:cs="Times New Roman" w:eastAsia="Times New Roman" w:hAnsi="Times New Roman"/>
                <w:sz w:val="14"/>
                <w:szCs w:val="14"/>
                <w:b w:val="1"/>
                <w:bCs w:val="1"/>
                <w:color w:val="auto"/>
              </w:rPr>
              <w:t>Non-</w:t>
            </w: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20" w:type="dxa"/>
            <w:vAlign w:val="bottom"/>
          </w:tcPr>
          <w:p>
            <w:pPr>
              <w:spacing w:after="0"/>
              <w:rPr>
                <w:sz w:val="12"/>
                <w:szCs w:val="12"/>
                <w:color w:val="auto"/>
              </w:rPr>
            </w:pPr>
          </w:p>
        </w:tc>
        <w:tc>
          <w:tcPr>
            <w:tcW w:w="104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Subsidiary</w:t>
            </w:r>
          </w:p>
        </w:tc>
        <w:tc>
          <w:tcPr>
            <w:tcW w:w="280" w:type="dxa"/>
            <w:vAlign w:val="bottom"/>
          </w:tcPr>
          <w:p>
            <w:pPr>
              <w:spacing w:after="0"/>
              <w:rPr>
                <w:sz w:val="12"/>
                <w:szCs w:val="12"/>
                <w:color w:val="auto"/>
              </w:rPr>
            </w:pPr>
          </w:p>
        </w:tc>
        <w:tc>
          <w:tcPr>
            <w:tcW w:w="1380" w:type="dxa"/>
            <w:vAlign w:val="bottom"/>
            <w:gridSpan w:val="3"/>
          </w:tcPr>
          <w:p>
            <w:pPr>
              <w:jc w:val="right"/>
              <w:ind w:right="700"/>
              <w:spacing w:after="0" w:line="149" w:lineRule="exact"/>
              <w:rPr>
                <w:sz w:val="20"/>
                <w:szCs w:val="20"/>
                <w:color w:val="auto"/>
              </w:rPr>
            </w:pPr>
            <w:r>
              <w:rPr>
                <w:rFonts w:ascii="Times New Roman" w:cs="Times New Roman" w:eastAsia="Times New Roman" w:hAnsi="Times New Roman"/>
                <w:sz w:val="14"/>
                <w:szCs w:val="14"/>
                <w:b w:val="1"/>
                <w:bCs w:val="1"/>
                <w:color w:val="auto"/>
              </w:rPr>
              <w:t>Guarantor</w:t>
            </w:r>
          </w:p>
        </w:tc>
        <w:tc>
          <w:tcPr>
            <w:tcW w:w="100" w:type="dxa"/>
            <w:vAlign w:val="bottom"/>
          </w:tcPr>
          <w:p>
            <w:pPr>
              <w:spacing w:after="0"/>
              <w:rPr>
                <w:sz w:val="12"/>
                <w:szCs w:val="12"/>
                <w:color w:val="auto"/>
              </w:rPr>
            </w:pPr>
          </w:p>
        </w:tc>
        <w:tc>
          <w:tcPr>
            <w:tcW w:w="1300" w:type="dxa"/>
            <w:vAlign w:val="bottom"/>
            <w:gridSpan w:val="2"/>
          </w:tcPr>
          <w:p>
            <w:pPr>
              <w:jc w:val="right"/>
              <w:ind w:right="840"/>
              <w:spacing w:after="0" w:line="149" w:lineRule="exact"/>
              <w:rPr>
                <w:sz w:val="20"/>
                <w:szCs w:val="20"/>
                <w:color w:val="auto"/>
              </w:rPr>
            </w:pPr>
            <w:r>
              <w:rPr>
                <w:rFonts w:ascii="Times New Roman" w:cs="Times New Roman" w:eastAsia="Times New Roman" w:hAnsi="Times New Roman"/>
                <w:sz w:val="14"/>
                <w:szCs w:val="14"/>
                <w:b w:val="1"/>
                <w:bCs w:val="1"/>
                <w:color w:val="auto"/>
              </w:rPr>
              <w:t>GLDD</w:t>
            </w:r>
          </w:p>
        </w:tc>
        <w:tc>
          <w:tcPr>
            <w:tcW w:w="2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8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5020" w:type="dxa"/>
            <w:vAlign w:val="bottom"/>
          </w:tcPr>
          <w:p>
            <w:pPr>
              <w:spacing w:after="0"/>
              <w:rPr>
                <w:sz w:val="14"/>
                <w:szCs w:val="14"/>
                <w:color w:val="auto"/>
              </w:rPr>
            </w:pPr>
          </w:p>
        </w:tc>
        <w:tc>
          <w:tcPr>
            <w:tcW w:w="10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Guarantors</w:t>
            </w:r>
          </w:p>
        </w:tc>
        <w:tc>
          <w:tcPr>
            <w:tcW w:w="280" w:type="dxa"/>
            <w:vAlign w:val="bottom"/>
          </w:tcPr>
          <w:p>
            <w:pPr>
              <w:spacing w:after="0"/>
              <w:rPr>
                <w:sz w:val="14"/>
                <w:szCs w:val="14"/>
                <w:color w:val="auto"/>
              </w:rPr>
            </w:pPr>
          </w:p>
        </w:tc>
        <w:tc>
          <w:tcPr>
            <w:tcW w:w="13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14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Corporation</w:t>
            </w:r>
          </w:p>
        </w:tc>
        <w:tc>
          <w:tcPr>
            <w:tcW w:w="7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w w:val="94"/>
              </w:rPr>
              <w:t>Eliminations</w:t>
            </w: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Totals</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2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OPERATING ACTIVITIES:</w:t>
            </w:r>
          </w:p>
        </w:tc>
        <w:tc>
          <w:tcPr>
            <w:tcW w:w="8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020" w:type="dxa"/>
            <w:vAlign w:val="bottom"/>
          </w:tcPr>
          <w:p>
            <w:pPr>
              <w:ind w:left="860"/>
              <w:spacing w:after="0" w:line="201" w:lineRule="exact"/>
              <w:rPr>
                <w:sz w:val="20"/>
                <w:szCs w:val="20"/>
                <w:color w:val="auto"/>
              </w:rPr>
            </w:pPr>
            <w:r>
              <w:rPr>
                <w:rFonts w:ascii="Times New Roman" w:cs="Times New Roman" w:eastAsia="Times New Roman" w:hAnsi="Times New Roman"/>
                <w:sz w:val="18"/>
                <w:szCs w:val="18"/>
                <w:color w:val="auto"/>
              </w:rPr>
              <w:t>Net cash flows provided by (used in) operating</w:t>
            </w: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02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activities</w:t>
            </w:r>
          </w:p>
        </w:tc>
        <w:tc>
          <w:tcPr>
            <w:tcW w:w="80" w:type="dxa"/>
            <w:vAlign w:val="bottom"/>
          </w:tcPr>
          <w:p>
            <w:pPr>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51,145</w:t>
            </w:r>
          </w:p>
        </w:tc>
        <w:tc>
          <w:tcPr>
            <w:tcW w:w="380" w:type="dxa"/>
            <w:vAlign w:val="bottom"/>
          </w:tcPr>
          <w:p>
            <w:pPr>
              <w:spacing w:after="0"/>
              <w:rPr>
                <w:sz w:val="19"/>
                <w:szCs w:val="19"/>
                <w:color w:val="auto"/>
              </w:rPr>
            </w:pPr>
          </w:p>
        </w:tc>
        <w:tc>
          <w:tcPr>
            <w:tcW w:w="44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(764)</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(25,818)</w:t>
            </w:r>
          </w:p>
        </w:tc>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24,563</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INVESTING ACTIVITIES:</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8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(33,426)</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18"/>
                <w:szCs w:val="18"/>
                <w:color w:val="auto"/>
              </w:rPr>
            </w:pPr>
          </w:p>
        </w:tc>
        <w:tc>
          <w:tcPr>
            <w:tcW w:w="1300" w:type="dxa"/>
            <w:vAlign w:val="bottom"/>
            <w:gridSpan w:val="2"/>
          </w:tcPr>
          <w:p>
            <w:pPr>
              <w:jc w:val="right"/>
              <w:ind w:right="7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4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(33,433)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Proceeds from dispositions of property and equipment</w:t>
            </w: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16,717</w:t>
            </w:r>
          </w:p>
        </w:tc>
        <w:tc>
          <w:tcPr>
            <w:tcW w:w="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16,717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02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Net cash flows used in investing activities</w:t>
            </w: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0"/>
              </w:rPr>
              <w:t>(16,709)</w:t>
            </w:r>
          </w:p>
        </w:tc>
        <w:tc>
          <w:tcPr>
            <w:tcW w:w="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19"/>
                <w:szCs w:val="19"/>
                <w:color w:val="auto"/>
              </w:rPr>
            </w:pPr>
          </w:p>
        </w:tc>
        <w:tc>
          <w:tcPr>
            <w:tcW w:w="6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(16,716)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FINANCING ACTIVITIES:</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Proceeds from issuance of 7 3/8% senior notes</w:t>
            </w:r>
          </w:p>
        </w:tc>
        <w:tc>
          <w:tcPr>
            <w:tcW w:w="80" w:type="dxa"/>
            <w:vAlign w:val="bottom"/>
          </w:tcPr>
          <w:p>
            <w:pPr>
              <w:spacing w:after="0"/>
              <w:rPr>
                <w:sz w:val="18"/>
                <w:szCs w:val="18"/>
                <w:color w:val="auto"/>
              </w:rPr>
            </w:pPr>
          </w:p>
        </w:tc>
        <w:tc>
          <w:tcPr>
            <w:tcW w:w="96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250,000</w:t>
            </w: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Redemption of 7 3/4% senior subordinated notes</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w w:val="96"/>
              </w:rPr>
              <w:t>(175,000)</w:t>
            </w: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9"/>
              </w:rPr>
              <w:t>(175,000)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Senior subordinated notes redemption premium</w:t>
            </w:r>
          </w:p>
        </w:tc>
        <w:tc>
          <w:tcPr>
            <w:tcW w:w="80" w:type="dxa"/>
            <w:vAlign w:val="bottom"/>
          </w:tcPr>
          <w:p>
            <w:pPr>
              <w:spacing w:after="0"/>
              <w:rPr>
                <w:sz w:val="18"/>
                <w:szCs w:val="18"/>
                <w:color w:val="auto"/>
              </w:rPr>
            </w:pPr>
          </w:p>
        </w:tc>
        <w:tc>
          <w:tcPr>
            <w:tcW w:w="96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30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(2,264)</w:t>
            </w:r>
          </w:p>
        </w:tc>
        <w:tc>
          <w:tcPr>
            <w:tcW w:w="280" w:type="dxa"/>
            <w:vAlign w:val="bottom"/>
          </w:tcPr>
          <w:p>
            <w:pPr>
              <w:spacing w:after="0"/>
              <w:rPr>
                <w:sz w:val="18"/>
                <w:szCs w:val="18"/>
                <w:color w:val="auto"/>
              </w:rPr>
            </w:pPr>
          </w:p>
        </w:tc>
        <w:tc>
          <w:tcPr>
            <w:tcW w:w="4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Deferred financing fees</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(5,962)</w:t>
            </w: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(5,962)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Repayment of long term note payable</w:t>
            </w:r>
          </w:p>
        </w:tc>
        <w:tc>
          <w:tcPr>
            <w:tcW w:w="8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(2,500)</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7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4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Dividends paid</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(4,711)</w:t>
            </w: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(4,711)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Dividend equivalents paid on restricted stock units</w:t>
            </w:r>
          </w:p>
        </w:tc>
        <w:tc>
          <w:tcPr>
            <w:tcW w:w="80" w:type="dxa"/>
            <w:vAlign w:val="bottom"/>
          </w:tcPr>
          <w:p>
            <w:pPr>
              <w:spacing w:after="0"/>
              <w:rPr>
                <w:sz w:val="18"/>
                <w:szCs w:val="18"/>
                <w:color w:val="auto"/>
              </w:rPr>
            </w:pPr>
          </w:p>
        </w:tc>
        <w:tc>
          <w:tcPr>
            <w:tcW w:w="96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30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(36)</w:t>
            </w:r>
          </w:p>
        </w:tc>
        <w:tc>
          <w:tcPr>
            <w:tcW w:w="280" w:type="dxa"/>
            <w:vAlign w:val="bottom"/>
          </w:tcPr>
          <w:p>
            <w:pPr>
              <w:spacing w:after="0"/>
              <w:rPr>
                <w:sz w:val="18"/>
                <w:szCs w:val="18"/>
                <w:color w:val="auto"/>
              </w:rPr>
            </w:pPr>
          </w:p>
        </w:tc>
        <w:tc>
          <w:tcPr>
            <w:tcW w:w="4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Taxes paid on vested share awards</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(291)</w:t>
            </w: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Net change in accounts with affiliates</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33,962</w:t>
            </w: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2,038</w:t>
            </w:r>
          </w:p>
        </w:tc>
        <w:tc>
          <w:tcPr>
            <w:tcW w:w="100" w:type="dxa"/>
            <w:vAlign w:val="bottom"/>
          </w:tcPr>
          <w:p>
            <w:pPr>
              <w:spacing w:after="0"/>
              <w:rPr>
                <w:sz w:val="18"/>
                <w:szCs w:val="18"/>
                <w:color w:val="auto"/>
              </w:rPr>
            </w:pPr>
          </w:p>
        </w:tc>
        <w:tc>
          <w:tcPr>
            <w:tcW w:w="130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(36,000)</w:t>
            </w:r>
          </w:p>
        </w:tc>
        <w:tc>
          <w:tcPr>
            <w:tcW w:w="280" w:type="dxa"/>
            <w:vAlign w:val="bottom"/>
          </w:tcPr>
          <w:p>
            <w:pPr>
              <w:spacing w:after="0"/>
              <w:rPr>
                <w:sz w:val="18"/>
                <w:szCs w:val="18"/>
                <w:color w:val="auto"/>
              </w:rPr>
            </w:pPr>
          </w:p>
        </w:tc>
        <w:tc>
          <w:tcPr>
            <w:tcW w:w="4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Capital contributions</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(3,418)</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3,418</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7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Repayments of equipment debt</w:t>
            </w:r>
          </w:p>
        </w:tc>
        <w:tc>
          <w:tcPr>
            <w:tcW w:w="8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(1,911)</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300" w:type="dxa"/>
            <w:vAlign w:val="bottom"/>
            <w:gridSpan w:val="2"/>
          </w:tcPr>
          <w:p>
            <w:pPr>
              <w:jc w:val="right"/>
              <w:ind w:right="7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4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Exercise of stock options</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020" w:type="dxa"/>
            <w:vAlign w:val="bottom"/>
          </w:tcPr>
          <w:p>
            <w:pPr>
              <w:ind w:left="420"/>
              <w:spacing w:after="0" w:line="201" w:lineRule="exact"/>
              <w:rPr>
                <w:sz w:val="20"/>
                <w:szCs w:val="20"/>
                <w:color w:val="auto"/>
              </w:rPr>
            </w:pPr>
            <w:r>
              <w:rPr>
                <w:rFonts w:ascii="Times New Roman" w:cs="Times New Roman" w:eastAsia="Times New Roman" w:hAnsi="Times New Roman"/>
                <w:sz w:val="18"/>
                <w:szCs w:val="18"/>
                <w:color w:val="auto"/>
              </w:rPr>
              <w:t>Excess income tax benefit from share-based</w:t>
            </w: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02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compensation</w:t>
            </w:r>
          </w:p>
        </w:tc>
        <w:tc>
          <w:tcPr>
            <w:tcW w:w="8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6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Net cash flows provided by financing activities</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26,133</w:t>
            </w:r>
          </w:p>
        </w:tc>
        <w:tc>
          <w:tcPr>
            <w:tcW w:w="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5,456</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25,818</w:t>
            </w: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57,407</w:t>
            </w:r>
          </w:p>
        </w:tc>
        <w:tc>
          <w:tcPr>
            <w:tcW w:w="0" w:type="dxa"/>
            <w:vAlign w:val="bottom"/>
          </w:tcPr>
          <w:p>
            <w:pPr>
              <w:spacing w:after="0"/>
              <w:rPr>
                <w:sz w:val="1"/>
                <w:szCs w:val="1"/>
                <w:color w:val="auto"/>
              </w:rPr>
            </w:pPr>
          </w:p>
        </w:tc>
      </w:tr>
      <w:tr>
        <w:trPr>
          <w:trHeight w:val="209"/>
        </w:trPr>
        <w:tc>
          <w:tcPr>
            <w:tcW w:w="5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Effect of foreign currency exchange rates on cash and cash</w:t>
            </w:r>
          </w:p>
        </w:tc>
        <w:tc>
          <w:tcPr>
            <w:tcW w:w="8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0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equivalents</w:t>
            </w: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(444)</w:t>
            </w:r>
          </w:p>
        </w:tc>
        <w:tc>
          <w:tcPr>
            <w:tcW w:w="100" w:type="dxa"/>
            <w:vAlign w:val="bottom"/>
          </w:tcPr>
          <w:p>
            <w:pPr>
              <w:spacing w:after="0"/>
              <w:rPr>
                <w:sz w:val="19"/>
                <w:szCs w:val="19"/>
                <w:color w:val="auto"/>
              </w:rPr>
            </w:pPr>
          </w:p>
        </w:tc>
        <w:tc>
          <w:tcPr>
            <w:tcW w:w="1300" w:type="dxa"/>
            <w:vAlign w:val="bottom"/>
            <w:gridSpan w:val="2"/>
          </w:tcPr>
          <w:p>
            <w:pPr>
              <w:jc w:val="right"/>
              <w:ind w:right="7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4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(444)</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50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increase in cash and cash equivalents</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60,569</w:t>
            </w:r>
          </w:p>
        </w:tc>
        <w:tc>
          <w:tcPr>
            <w:tcW w:w="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4,241</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7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64,810</w:t>
            </w:r>
          </w:p>
        </w:tc>
        <w:tc>
          <w:tcPr>
            <w:tcW w:w="0" w:type="dxa"/>
            <w:vAlign w:val="bottom"/>
          </w:tcPr>
          <w:p>
            <w:pPr>
              <w:spacing w:after="0"/>
              <w:rPr>
                <w:sz w:val="1"/>
                <w:szCs w:val="1"/>
                <w:color w:val="auto"/>
              </w:rPr>
            </w:pPr>
          </w:p>
        </w:tc>
      </w:tr>
      <w:tr>
        <w:trPr>
          <w:trHeight w:val="230"/>
        </w:trPr>
        <w:tc>
          <w:tcPr>
            <w:tcW w:w="5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8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48,416</w:t>
            </w:r>
          </w:p>
        </w:tc>
        <w:tc>
          <w:tcPr>
            <w:tcW w:w="3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6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460" w:type="dxa"/>
            <w:vAlign w:val="bottom"/>
            <w:tcBorders>
              <w:top w:val="single" w:sz="8" w:color="auto"/>
              <w:bottom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48,478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u w:val="single" w:color="auto"/>
                <w:color w:val="auto"/>
                <w:w w:val="74"/>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108,985</w:t>
            </w:r>
          </w:p>
        </w:tc>
        <w:tc>
          <w:tcPr>
            <w:tcW w:w="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4,303</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shd w:val="clear" w:color="auto" w:fill="CCEEFF"/>
          </w:tcPr>
          <w:p>
            <w:pPr>
              <w:jc w:val="right"/>
              <w:ind w:right="7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113,288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97</w:t>
            </w: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5" w:right="239" w:bottom="1440" w:gutter="0" w:footer="0" w:header="0"/>
        </w:sectPr>
      </w:pPr>
    </w:p>
    <w:bookmarkStart w:id="99" w:name="page100"/>
    <w:bookmarkEnd w:id="9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left="260" w:right="2760"/>
        <w:spacing w:after="0" w:line="353" w:lineRule="auto"/>
        <w:rPr>
          <w:sz w:val="20"/>
          <w:szCs w:val="20"/>
          <w:color w:val="auto"/>
        </w:rPr>
      </w:pPr>
      <w:r>
        <w:rPr>
          <w:rFonts w:ascii="Times New Roman" w:cs="Times New Roman" w:eastAsia="Times New Roman" w:hAnsi="Times New Roman"/>
          <w:sz w:val="18"/>
          <w:szCs w:val="18"/>
          <w:b w:val="1"/>
          <w:bCs w:val="1"/>
          <w:color w:val="auto"/>
        </w:rPr>
        <w:t>GREAT LAKES DREDGE &amp; DOCK CORPORATION AND SUBSIDIARIES CONDENSED CONSOLIDATING STATEMENT OF CASH FLOWS FOR THE YEAR ENDED DECEMBER 31, 2010 (In thousands)</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6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Non-</w:t>
            </w: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40" w:type="dxa"/>
            <w:vAlign w:val="bottom"/>
            <w:gridSpan w:val="3"/>
          </w:tcPr>
          <w:p>
            <w:pPr>
              <w:jc w:val="right"/>
              <w:ind w:right="700"/>
              <w:spacing w:after="0" w:line="149" w:lineRule="exact"/>
              <w:rPr>
                <w:sz w:val="20"/>
                <w:szCs w:val="20"/>
                <w:color w:val="auto"/>
              </w:rPr>
            </w:pPr>
            <w:r>
              <w:rPr>
                <w:rFonts w:ascii="Times New Roman" w:cs="Times New Roman" w:eastAsia="Times New Roman" w:hAnsi="Times New Roman"/>
                <w:sz w:val="14"/>
                <w:szCs w:val="14"/>
                <w:b w:val="1"/>
                <w:bCs w:val="1"/>
                <w:color w:val="auto"/>
                <w:w w:val="95"/>
              </w:rPr>
              <w:t>Subsidiary</w:t>
            </w:r>
          </w:p>
        </w:tc>
        <w:tc>
          <w:tcPr>
            <w:tcW w:w="1080" w:type="dxa"/>
            <w:vAlign w:val="bottom"/>
            <w:gridSpan w:val="3"/>
          </w:tcPr>
          <w:p>
            <w:pPr>
              <w:jc w:val="right"/>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Guarantor</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2"/>
          </w:tcPr>
          <w:p>
            <w:pPr>
              <w:jc w:val="right"/>
              <w:ind w:right="840"/>
              <w:spacing w:after="0" w:line="149" w:lineRule="exact"/>
              <w:rPr>
                <w:sz w:val="20"/>
                <w:szCs w:val="20"/>
                <w:color w:val="auto"/>
              </w:rPr>
            </w:pPr>
            <w:r>
              <w:rPr>
                <w:rFonts w:ascii="Times New Roman" w:cs="Times New Roman" w:eastAsia="Times New Roman" w:hAnsi="Times New Roman"/>
                <w:sz w:val="14"/>
                <w:szCs w:val="14"/>
                <w:b w:val="1"/>
                <w:bCs w:val="1"/>
                <w:color w:val="auto"/>
              </w:rPr>
              <w:t>GLDD</w:t>
            </w:r>
          </w:p>
        </w:tc>
        <w:tc>
          <w:tcPr>
            <w:tcW w:w="2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8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1640" w:type="dxa"/>
            <w:vAlign w:val="bottom"/>
            <w:gridSpan w:val="4"/>
          </w:tcPr>
          <w:p>
            <w:pPr>
              <w:ind w:left="300"/>
              <w:spacing w:after="0"/>
              <w:rPr>
                <w:sz w:val="20"/>
                <w:szCs w:val="20"/>
                <w:color w:val="auto"/>
              </w:rPr>
            </w:pPr>
            <w:r>
              <w:rPr>
                <w:rFonts w:ascii="Times New Roman" w:cs="Times New Roman" w:eastAsia="Times New Roman" w:hAnsi="Times New Roman"/>
                <w:sz w:val="14"/>
                <w:szCs w:val="14"/>
                <w:b w:val="1"/>
                <w:bCs w:val="1"/>
                <w:color w:val="auto"/>
              </w:rPr>
              <w:t>Guarantors</w:t>
            </w:r>
          </w:p>
        </w:tc>
        <w:tc>
          <w:tcPr>
            <w:tcW w:w="10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320" w:type="dxa"/>
            <w:vAlign w:val="bottom"/>
          </w:tcPr>
          <w:p>
            <w:pPr>
              <w:spacing w:after="0"/>
              <w:rPr>
                <w:sz w:val="14"/>
                <w:szCs w:val="14"/>
                <w:color w:val="auto"/>
              </w:rPr>
            </w:pPr>
          </w:p>
        </w:tc>
        <w:tc>
          <w:tcPr>
            <w:tcW w:w="14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Corporation</w:t>
            </w:r>
          </w:p>
        </w:tc>
        <w:tc>
          <w:tcPr>
            <w:tcW w:w="7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w w:val="94"/>
              </w:rPr>
              <w:t>Eliminations</w:t>
            </w: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Totals</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68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OPERATING ACTIVITIES:</w:t>
            </w:r>
          </w:p>
        </w:tc>
        <w:tc>
          <w:tcPr>
            <w:tcW w:w="3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Net cash flows provided by (used in) operating activities</w:t>
            </w:r>
          </w:p>
        </w:tc>
        <w:tc>
          <w:tcPr>
            <w:tcW w:w="380" w:type="dxa"/>
            <w:vAlign w:val="bottom"/>
            <w:gridSpan w:val="2"/>
          </w:tcPr>
          <w:p>
            <w:pPr>
              <w:ind w:left="300"/>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w w:val="95"/>
              </w:rPr>
              <w:t>157,248</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(1,026)</w:t>
            </w:r>
          </w:p>
        </w:tc>
        <w:tc>
          <w:tcPr>
            <w:tcW w:w="4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(32,691)</w:t>
            </w:r>
          </w:p>
        </w:tc>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123,531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INVESTING ACTIVITIES:</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(25,204)</w:t>
            </w:r>
          </w:p>
        </w:tc>
        <w:tc>
          <w:tcPr>
            <w:tcW w:w="160" w:type="dxa"/>
            <w:vAlign w:val="bottom"/>
          </w:tcPr>
          <w:p>
            <w:pPr>
              <w:spacing w:after="0"/>
              <w:rPr>
                <w:sz w:val="18"/>
                <w:szCs w:val="18"/>
                <w:color w:val="auto"/>
              </w:rPr>
            </w:pPr>
          </w:p>
        </w:tc>
        <w:tc>
          <w:tcPr>
            <w:tcW w:w="9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(54)</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7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4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(25,258)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Proceeds from dispositions of property and equipment</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414</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17</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7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Purchase of Matteson</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(37,869)</w:t>
            </w:r>
          </w:p>
        </w:tc>
        <w:tc>
          <w:tcPr>
            <w:tcW w:w="160" w:type="dxa"/>
            <w:vAlign w:val="bottom"/>
          </w:tcPr>
          <w:p>
            <w:pPr>
              <w:spacing w:after="0"/>
              <w:rPr>
                <w:sz w:val="18"/>
                <w:szCs w:val="18"/>
                <w:color w:val="auto"/>
              </w:rPr>
            </w:pPr>
          </w:p>
        </w:tc>
        <w:tc>
          <w:tcPr>
            <w:tcW w:w="92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7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4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(37,869)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6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flows used in investing activities</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(62,659)</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(37)</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7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(62,696)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FINANCING ACTIVITIES:</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Dividends paid</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7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(3,988)</w:t>
            </w: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(3,988)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Dividend equivalents paid on restricted stock units</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right"/>
              <w:ind w:right="7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92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(24)</w:t>
            </w:r>
          </w:p>
        </w:tc>
        <w:tc>
          <w:tcPr>
            <w:tcW w:w="280" w:type="dxa"/>
            <w:vAlign w:val="bottom"/>
          </w:tcPr>
          <w:p>
            <w:pPr>
              <w:spacing w:after="0"/>
              <w:rPr>
                <w:sz w:val="18"/>
                <w:szCs w:val="18"/>
                <w:color w:val="auto"/>
              </w:rPr>
            </w:pPr>
          </w:p>
        </w:tc>
        <w:tc>
          <w:tcPr>
            <w:tcW w:w="4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Net change in accounts with affiliates</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(48,606)</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903</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47,703</w:t>
            </w: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Repayments of equipment debt</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(1,251)</w:t>
            </w:r>
          </w:p>
        </w:tc>
        <w:tc>
          <w:tcPr>
            <w:tcW w:w="160" w:type="dxa"/>
            <w:vAlign w:val="bottom"/>
          </w:tcPr>
          <w:p>
            <w:pPr>
              <w:spacing w:after="0"/>
              <w:rPr>
                <w:sz w:val="18"/>
                <w:szCs w:val="18"/>
                <w:color w:val="auto"/>
              </w:rPr>
            </w:pPr>
          </w:p>
        </w:tc>
        <w:tc>
          <w:tcPr>
            <w:tcW w:w="92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7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4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Exercise of stock options</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656</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7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Borrowings under revolving loans</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right"/>
              <w:ind w:right="7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92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rPr>
              <w:t>14,968</w:t>
            </w:r>
          </w:p>
        </w:tc>
        <w:tc>
          <w:tcPr>
            <w:tcW w:w="280" w:type="dxa"/>
            <w:vAlign w:val="bottom"/>
          </w:tcPr>
          <w:p>
            <w:pPr>
              <w:spacing w:after="0"/>
              <w:rPr>
                <w:sz w:val="18"/>
                <w:szCs w:val="18"/>
                <w:color w:val="auto"/>
              </w:rPr>
            </w:pPr>
          </w:p>
        </w:tc>
        <w:tc>
          <w:tcPr>
            <w:tcW w:w="4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14,968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Repayments of revolving loans</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7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(25,968)</w:t>
            </w: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(25,968)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68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Net cash flows provided by financing activities</w:t>
            </w:r>
          </w:p>
        </w:tc>
        <w:tc>
          <w:tcPr>
            <w:tcW w:w="30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0"/>
              </w:rPr>
              <w:t>(49,201)</w:t>
            </w:r>
          </w:p>
        </w:tc>
        <w:tc>
          <w:tcPr>
            <w:tcW w:w="68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w w:val="88"/>
              </w:rPr>
              <w:t>903</w:t>
            </w:r>
          </w:p>
        </w:tc>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32,691</w:t>
            </w:r>
          </w:p>
        </w:tc>
        <w:tc>
          <w:tcPr>
            <w:tcW w:w="680" w:type="dxa"/>
            <w:vAlign w:val="bottom"/>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460" w:type="dxa"/>
            <w:vAlign w:val="bottom"/>
            <w:tcBorders>
              <w:top w:val="single" w:sz="8" w:color="auto"/>
              <w:bottom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(15,607)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increase in cash and cash equivalents</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45,388</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(160)</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7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45,228</w:t>
            </w:r>
          </w:p>
        </w:tc>
        <w:tc>
          <w:tcPr>
            <w:tcW w:w="0" w:type="dxa"/>
            <w:vAlign w:val="bottom"/>
          </w:tcPr>
          <w:p>
            <w:pPr>
              <w:spacing w:after="0"/>
              <w:rPr>
                <w:sz w:val="1"/>
                <w:szCs w:val="1"/>
                <w:color w:val="auto"/>
              </w:rPr>
            </w:pPr>
          </w:p>
        </w:tc>
      </w:tr>
      <w:tr>
        <w:trPr>
          <w:trHeight w:val="230"/>
        </w:trPr>
        <w:tc>
          <w:tcPr>
            <w:tcW w:w="4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30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3,028</w:t>
            </w:r>
          </w:p>
        </w:tc>
        <w:tc>
          <w:tcPr>
            <w:tcW w:w="68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w w:val="88"/>
              </w:rPr>
              <w:t>222</w:t>
            </w:r>
          </w:p>
        </w:tc>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460" w:type="dxa"/>
            <w:vAlign w:val="bottom"/>
            <w:tcBorders>
              <w:top w:val="single" w:sz="8" w:color="auto"/>
              <w:bottom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3,250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38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48,416</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62</w:t>
            </w:r>
          </w:p>
        </w:tc>
        <w:tc>
          <w:tcPr>
            <w:tcW w:w="4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7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48,478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6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98</w:t>
            </w: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5" w:right="239" w:bottom="1440" w:gutter="0" w:footer="0" w:header="0"/>
        </w:sectPr>
      </w:pPr>
    </w:p>
    <w:bookmarkStart w:id="100" w:name="page101"/>
    <w:bookmarkEnd w:id="10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Great Lakes Dredge &amp; Dock Corporation</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Schedule II — Valuation and Qualifying Accounts</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 the Years Ended December 31, 2012, 2011 and 2010</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4"/>
          </w:tcPr>
          <w:p>
            <w:pPr>
              <w:ind w:left="420"/>
              <w:spacing w:after="0"/>
              <w:rPr>
                <w:sz w:val="20"/>
                <w:szCs w:val="20"/>
                <w:color w:val="auto"/>
              </w:rPr>
            </w:pPr>
            <w:r>
              <w:rPr>
                <w:rFonts w:ascii="Times New Roman" w:cs="Times New Roman" w:eastAsia="Times New Roman" w:hAnsi="Times New Roman"/>
                <w:sz w:val="14"/>
                <w:szCs w:val="14"/>
                <w:color w:val="auto"/>
              </w:rPr>
              <w:t>Additions</w:t>
            </w:r>
          </w:p>
        </w:tc>
        <w:tc>
          <w:tcPr>
            <w:tcW w:w="480" w:type="dxa"/>
            <w:vAlign w:val="bottom"/>
            <w:tcBorders>
              <w:bottom w:val="single" w:sz="8" w:color="auto"/>
            </w:tcBorders>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494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20" w:type="dxa"/>
            <w:vAlign w:val="bottom"/>
            <w:gridSpan w:val="3"/>
          </w:tcPr>
          <w:p>
            <w:pPr>
              <w:spacing w:after="0" w:line="129" w:lineRule="exact"/>
              <w:rPr>
                <w:sz w:val="20"/>
                <w:szCs w:val="20"/>
                <w:color w:val="auto"/>
              </w:rPr>
            </w:pPr>
            <w:r>
              <w:rPr>
                <w:rFonts w:ascii="Times New Roman" w:cs="Times New Roman" w:eastAsia="Times New Roman" w:hAnsi="Times New Roman"/>
                <w:sz w:val="14"/>
                <w:szCs w:val="14"/>
                <w:color w:val="auto"/>
              </w:rPr>
              <w:t>Charged to</w:t>
            </w:r>
          </w:p>
        </w:tc>
        <w:tc>
          <w:tcPr>
            <w:tcW w:w="24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Times New Roman" w:cs="Times New Roman" w:eastAsia="Times New Roman" w:hAnsi="Times New Roman"/>
                <w:sz w:val="14"/>
                <w:szCs w:val="14"/>
                <w:color w:val="auto"/>
                <w:w w:val="93"/>
              </w:rPr>
              <w:t>Charged to</w:t>
            </w: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94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56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w w:val="92"/>
              </w:rPr>
              <w:t>Beginning</w:t>
            </w:r>
          </w:p>
        </w:tc>
        <w:tc>
          <w:tcPr>
            <w:tcW w:w="460" w:type="dxa"/>
            <w:vAlign w:val="bottom"/>
          </w:tcPr>
          <w:p>
            <w:pPr>
              <w:spacing w:after="0"/>
              <w:rPr>
                <w:sz w:val="12"/>
                <w:szCs w:val="12"/>
                <w:color w:val="auto"/>
              </w:rPr>
            </w:pPr>
          </w:p>
        </w:tc>
        <w:tc>
          <w:tcPr>
            <w:tcW w:w="820" w:type="dxa"/>
            <w:vAlign w:val="bottom"/>
            <w:gridSpan w:val="3"/>
          </w:tcPr>
          <w:p>
            <w:pPr>
              <w:ind w:left="60"/>
              <w:spacing w:after="0" w:line="149" w:lineRule="exact"/>
              <w:rPr>
                <w:sz w:val="20"/>
                <w:szCs w:val="20"/>
                <w:color w:val="auto"/>
              </w:rPr>
            </w:pPr>
            <w:r>
              <w:rPr>
                <w:rFonts w:ascii="Times New Roman" w:cs="Times New Roman" w:eastAsia="Times New Roman" w:hAnsi="Times New Roman"/>
                <w:sz w:val="14"/>
                <w:szCs w:val="14"/>
                <w:color w:val="auto"/>
              </w:rPr>
              <w:t>costs and</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jc w:val="center"/>
              <w:ind w:right="37"/>
              <w:spacing w:after="0" w:line="149" w:lineRule="exact"/>
              <w:rPr>
                <w:sz w:val="20"/>
                <w:szCs w:val="20"/>
                <w:color w:val="auto"/>
              </w:rPr>
            </w:pPr>
            <w:r>
              <w:rPr>
                <w:rFonts w:ascii="Times New Roman" w:cs="Times New Roman" w:eastAsia="Times New Roman" w:hAnsi="Times New Roman"/>
                <w:sz w:val="14"/>
                <w:szCs w:val="14"/>
                <w:color w:val="auto"/>
                <w:w w:val="97"/>
              </w:rPr>
              <w:t>other</w:t>
            </w: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color w:val="auto"/>
                <w:w w:val="98"/>
              </w:rPr>
              <w:t>Ending</w:t>
            </w:r>
          </w:p>
        </w:tc>
        <w:tc>
          <w:tcPr>
            <w:tcW w:w="0" w:type="dxa"/>
            <w:vAlign w:val="bottom"/>
          </w:tcPr>
          <w:p>
            <w:pPr>
              <w:spacing w:after="0"/>
              <w:rPr>
                <w:sz w:val="1"/>
                <w:szCs w:val="1"/>
                <w:color w:val="auto"/>
              </w:rPr>
            </w:pPr>
          </w:p>
        </w:tc>
      </w:tr>
      <w:tr>
        <w:trPr>
          <w:trHeight w:val="161"/>
        </w:trPr>
        <w:tc>
          <w:tcPr>
            <w:tcW w:w="49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56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Balance</w:t>
            </w:r>
          </w:p>
        </w:tc>
        <w:tc>
          <w:tcPr>
            <w:tcW w:w="460" w:type="dxa"/>
            <w:vAlign w:val="bottom"/>
          </w:tcPr>
          <w:p>
            <w:pPr>
              <w:spacing w:after="0"/>
              <w:rPr>
                <w:sz w:val="14"/>
                <w:szCs w:val="14"/>
                <w:color w:val="auto"/>
              </w:rPr>
            </w:pPr>
          </w:p>
        </w:tc>
        <w:tc>
          <w:tcPr>
            <w:tcW w:w="820" w:type="dxa"/>
            <w:vAlign w:val="bottom"/>
            <w:gridSpan w:val="3"/>
          </w:tcPr>
          <w:p>
            <w:pPr>
              <w:ind w:left="60"/>
              <w:spacing w:after="0"/>
              <w:rPr>
                <w:sz w:val="20"/>
                <w:szCs w:val="20"/>
                <w:color w:val="auto"/>
              </w:rPr>
            </w:pPr>
            <w:r>
              <w:rPr>
                <w:rFonts w:ascii="Times New Roman" w:cs="Times New Roman" w:eastAsia="Times New Roman" w:hAnsi="Times New Roman"/>
                <w:sz w:val="14"/>
                <w:szCs w:val="14"/>
                <w:color w:val="auto"/>
              </w:rPr>
              <w:t>expenses</w:t>
            </w:r>
          </w:p>
        </w:tc>
        <w:tc>
          <w:tcPr>
            <w:tcW w:w="240" w:type="dxa"/>
            <w:vAlign w:val="bottom"/>
          </w:tcPr>
          <w:p>
            <w:pPr>
              <w:spacing w:after="0"/>
              <w:rPr>
                <w:sz w:val="14"/>
                <w:szCs w:val="14"/>
                <w:color w:val="auto"/>
              </w:rPr>
            </w:pPr>
          </w:p>
        </w:tc>
        <w:tc>
          <w:tcPr>
            <w:tcW w:w="60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w w:val="97"/>
              </w:rPr>
              <w:t>accounts</w:t>
            </w:r>
          </w:p>
        </w:tc>
        <w:tc>
          <w:tcPr>
            <w:tcW w:w="500" w:type="dxa"/>
            <w:vAlign w:val="bottom"/>
          </w:tcPr>
          <w:p>
            <w:pPr>
              <w:spacing w:after="0"/>
              <w:rPr>
                <w:sz w:val="14"/>
                <w:szCs w:val="14"/>
                <w:color w:val="auto"/>
              </w:rPr>
            </w:pPr>
          </w:p>
        </w:tc>
        <w:tc>
          <w:tcPr>
            <w:tcW w:w="900" w:type="dxa"/>
            <w:vAlign w:val="bottom"/>
            <w:gridSpan w:val="3"/>
          </w:tcPr>
          <w:p>
            <w:pPr>
              <w:jc w:val="right"/>
              <w:ind w:right="198"/>
              <w:spacing w:after="0"/>
              <w:rPr>
                <w:sz w:val="20"/>
                <w:szCs w:val="20"/>
                <w:color w:val="auto"/>
              </w:rPr>
            </w:pPr>
            <w:r>
              <w:rPr>
                <w:rFonts w:ascii="Times New Roman" w:cs="Times New Roman" w:eastAsia="Times New Roman" w:hAnsi="Times New Roman"/>
                <w:sz w:val="14"/>
                <w:szCs w:val="14"/>
                <w:color w:val="auto"/>
                <w:w w:val="94"/>
              </w:rPr>
              <w:t>Deductions</w:t>
            </w:r>
          </w:p>
        </w:tc>
        <w:tc>
          <w:tcPr>
            <w:tcW w:w="220" w:type="dxa"/>
            <w:vAlign w:val="bottom"/>
          </w:tcPr>
          <w:p>
            <w:pPr>
              <w:spacing w:after="0"/>
              <w:rPr>
                <w:sz w:val="14"/>
                <w:szCs w:val="14"/>
                <w:color w:val="auto"/>
              </w:rPr>
            </w:pPr>
          </w:p>
        </w:tc>
        <w:tc>
          <w:tcPr>
            <w:tcW w:w="56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color w:val="auto"/>
                <w:w w:val="93"/>
              </w:rPr>
              <w:t>balance</w:t>
            </w:r>
          </w:p>
        </w:tc>
        <w:tc>
          <w:tcPr>
            <w:tcW w:w="0" w:type="dxa"/>
            <w:vAlign w:val="bottom"/>
          </w:tcPr>
          <w:p>
            <w:pPr>
              <w:spacing w:after="0"/>
              <w:rPr>
                <w:sz w:val="1"/>
                <w:szCs w:val="1"/>
                <w:color w:val="auto"/>
              </w:rPr>
            </w:pPr>
          </w:p>
        </w:tc>
      </w:tr>
      <w:tr>
        <w:trPr>
          <w:trHeight w:val="196"/>
        </w:trPr>
        <w:tc>
          <w:tcPr>
            <w:tcW w:w="494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Description</w:t>
            </w:r>
          </w:p>
        </w:tc>
        <w:tc>
          <w:tcPr>
            <w:tcW w:w="16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Year ended December 31, 2010</w:t>
            </w: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Allowances deducted from assets to which they apply:</w:t>
            </w:r>
          </w:p>
        </w:tc>
        <w:tc>
          <w:tcPr>
            <w:tcW w:w="16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94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Allowances for doubtful accounts</w:t>
            </w:r>
          </w:p>
        </w:tc>
        <w:tc>
          <w:tcPr>
            <w:tcW w:w="1620" w:type="dxa"/>
            <w:vAlign w:val="bottom"/>
          </w:tcPr>
          <w:p>
            <w:pPr>
              <w:spacing w:after="0"/>
              <w:rPr>
                <w:sz w:val="19"/>
                <w:szCs w:val="19"/>
                <w:color w:val="auto"/>
              </w:rPr>
            </w:pPr>
          </w:p>
        </w:tc>
        <w:tc>
          <w:tcPr>
            <w:tcW w:w="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1,250</w:t>
            </w:r>
          </w:p>
        </w:tc>
        <w:tc>
          <w:tcPr>
            <w:tcW w:w="460" w:type="dxa"/>
            <w:vAlign w:val="bottom"/>
          </w:tcPr>
          <w:p>
            <w:pPr>
              <w:spacing w:after="0"/>
              <w:rPr>
                <w:sz w:val="19"/>
                <w:szCs w:val="19"/>
                <w:color w:val="auto"/>
              </w:rPr>
            </w:pPr>
          </w:p>
        </w:tc>
        <w:tc>
          <w:tcPr>
            <w:tcW w:w="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447</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280" w:type="dxa"/>
            <w:vAlign w:val="bottom"/>
          </w:tcPr>
          <w:p>
            <w:pPr>
              <w:jc w:val="right"/>
              <w:ind w:right="138"/>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Pr>
          <w:p>
            <w:pPr>
              <w:spacing w:after="0"/>
              <w:rPr>
                <w:sz w:val="19"/>
                <w:szCs w:val="19"/>
                <w:color w:val="auto"/>
              </w:rPr>
            </w:pPr>
          </w:p>
        </w:tc>
        <w:tc>
          <w:tcPr>
            <w:tcW w:w="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1,655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Year ended December 31, 2011</w:t>
            </w:r>
          </w:p>
        </w:tc>
        <w:tc>
          <w:tcPr>
            <w:tcW w:w="1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9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Allowances deducted from assets to which they apply:</w:t>
            </w:r>
          </w:p>
        </w:tc>
        <w:tc>
          <w:tcPr>
            <w:tcW w:w="16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94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Allowances for doubtful accounts</w:t>
            </w:r>
          </w:p>
        </w:tc>
        <w:tc>
          <w:tcPr>
            <w:tcW w:w="1740" w:type="dxa"/>
            <w:vAlign w:val="bottom"/>
            <w:gridSpan w:val="2"/>
            <w:shd w:val="clear" w:color="auto" w:fill="CCEEFF"/>
          </w:tcPr>
          <w:p>
            <w:pPr>
              <w:ind w:left="16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1,655</w:t>
            </w:r>
          </w:p>
        </w:tc>
        <w:tc>
          <w:tcPr>
            <w:tcW w:w="60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260</w:t>
            </w:r>
          </w:p>
        </w:tc>
        <w:tc>
          <w:tcPr>
            <w:tcW w:w="3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138"/>
              <w:spacing w:after="0"/>
              <w:rPr>
                <w:sz w:val="20"/>
                <w:szCs w:val="20"/>
                <w:color w:val="auto"/>
              </w:rPr>
            </w:pPr>
            <w:r>
              <w:rPr>
                <w:rFonts w:ascii="Times New Roman" w:cs="Times New Roman" w:eastAsia="Times New Roman" w:hAnsi="Times New Roman"/>
                <w:sz w:val="18"/>
                <w:szCs w:val="18"/>
                <w:color w:val="auto"/>
              </w:rPr>
              <w:t>(76)</w:t>
            </w:r>
          </w:p>
        </w:tc>
        <w:tc>
          <w:tcPr>
            <w:tcW w:w="780" w:type="dxa"/>
            <w:vAlign w:val="bottom"/>
            <w:gridSpan w:val="3"/>
            <w:shd w:val="clear" w:color="auto" w:fill="CCEEFF"/>
          </w:tcPr>
          <w:p>
            <w:pPr>
              <w:jc w:val="center"/>
              <w:ind w:left="72"/>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1,839</w:t>
            </w:r>
          </w:p>
        </w:tc>
        <w:tc>
          <w:tcPr>
            <w:tcW w:w="0" w:type="dxa"/>
            <w:vAlign w:val="bottom"/>
          </w:tcPr>
          <w:p>
            <w:pPr>
              <w:spacing w:after="0"/>
              <w:rPr>
                <w:sz w:val="1"/>
                <w:szCs w:val="1"/>
                <w:color w:val="auto"/>
              </w:rPr>
            </w:pPr>
          </w:p>
        </w:tc>
      </w:tr>
      <w:tr>
        <w:trPr>
          <w:trHeight w:val="20"/>
        </w:trPr>
        <w:tc>
          <w:tcPr>
            <w:tcW w:w="49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Year ended December 31, 2012</w:t>
            </w:r>
          </w:p>
        </w:tc>
        <w:tc>
          <w:tcPr>
            <w:tcW w:w="16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940" w:type="dxa"/>
            <w:vAlign w:val="bottom"/>
            <w:vMerge w:val="continue"/>
          </w:tcPr>
          <w:p>
            <w:pPr>
              <w:spacing w:after="0"/>
              <w:rPr>
                <w:sz w:val="18"/>
                <w:szCs w:val="18"/>
                <w:color w:val="auto"/>
              </w:rPr>
            </w:pP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9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Allowances deducted from assets to which they apply:</w:t>
            </w:r>
          </w:p>
        </w:tc>
        <w:tc>
          <w:tcPr>
            <w:tcW w:w="16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94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Allowances for doubtful accounts</w:t>
            </w:r>
          </w:p>
        </w:tc>
        <w:tc>
          <w:tcPr>
            <w:tcW w:w="1620" w:type="dxa"/>
            <w:vAlign w:val="bottom"/>
          </w:tcPr>
          <w:p>
            <w:pPr>
              <w:spacing w:after="0"/>
              <w:rPr>
                <w:sz w:val="19"/>
                <w:szCs w:val="19"/>
                <w:color w:val="auto"/>
              </w:rPr>
            </w:pPr>
          </w:p>
        </w:tc>
        <w:tc>
          <w:tcPr>
            <w:tcW w:w="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1,839</w:t>
            </w:r>
          </w:p>
        </w:tc>
        <w:tc>
          <w:tcPr>
            <w:tcW w:w="460" w:type="dxa"/>
            <w:vAlign w:val="bottom"/>
          </w:tcPr>
          <w:p>
            <w:pPr>
              <w:spacing w:after="0"/>
              <w:rPr>
                <w:sz w:val="19"/>
                <w:szCs w:val="19"/>
                <w:color w:val="auto"/>
              </w:rPr>
            </w:pPr>
          </w:p>
        </w:tc>
        <w:tc>
          <w:tcPr>
            <w:tcW w:w="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1,541</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(1,396</w:t>
            </w:r>
          </w:p>
        </w:tc>
        <w:tc>
          <w:tcPr>
            <w:tcW w:w="280" w:type="dxa"/>
            <w:vAlign w:val="bottom"/>
          </w:tcPr>
          <w:p>
            <w:pPr>
              <w:jc w:val="right"/>
              <w:ind w:right="138"/>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Pr>
          <w:p>
            <w:pPr>
              <w:spacing w:after="0"/>
              <w:rPr>
                <w:sz w:val="19"/>
                <w:szCs w:val="19"/>
                <w:color w:val="auto"/>
              </w:rPr>
            </w:pPr>
          </w:p>
        </w:tc>
        <w:tc>
          <w:tcPr>
            <w:tcW w:w="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1,984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40" w:type="dxa"/>
            <w:vAlign w:val="bottom"/>
          </w:tcPr>
          <w:p>
            <w:pPr>
              <w:spacing w:after="0" w:line="20" w:lineRule="exact"/>
              <w:rPr>
                <w:sz w:val="1"/>
                <w:szCs w:val="1"/>
                <w:color w:val="auto"/>
              </w:rPr>
            </w:pPr>
          </w:p>
        </w:tc>
        <w:tc>
          <w:tcPr>
            <w:tcW w:w="1620" w:type="dxa"/>
            <w:vAlign w:val="bottom"/>
            <w:vMerge w:val="restart"/>
          </w:tcPr>
          <w:p>
            <w:pPr>
              <w:jc w:val="right"/>
              <w:ind w:right="672"/>
              <w:spacing w:after="0"/>
              <w:rPr>
                <w:sz w:val="20"/>
                <w:szCs w:val="20"/>
                <w:color w:val="auto"/>
              </w:rPr>
            </w:pPr>
            <w:r>
              <w:rPr>
                <w:rFonts w:ascii="Times New Roman" w:cs="Times New Roman" w:eastAsia="Times New Roman" w:hAnsi="Times New Roman"/>
                <w:sz w:val="18"/>
                <w:szCs w:val="18"/>
                <w:color w:val="auto"/>
              </w:rPr>
              <w:t>99</w:t>
            </w: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4940" w:type="dxa"/>
            <w:vAlign w:val="bottom"/>
          </w:tcPr>
          <w:p>
            <w:pPr>
              <w:spacing w:after="0"/>
              <w:rPr>
                <w:sz w:val="24"/>
                <w:szCs w:val="24"/>
                <w:color w:val="auto"/>
              </w:rPr>
            </w:pPr>
          </w:p>
        </w:tc>
        <w:tc>
          <w:tcPr>
            <w:tcW w:w="162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5" w:right="239" w:bottom="1440" w:gutter="0" w:footer="0" w:header="0"/>
        </w:sectPr>
      </w:pPr>
    </w:p>
    <w:bookmarkStart w:id="101" w:name="page102"/>
    <w:bookmarkEnd w:id="10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3" w:lineRule="exact"/>
        <w:rPr>
          <w:sz w:val="20"/>
          <w:szCs w:val="20"/>
          <w:color w:val="auto"/>
        </w:rPr>
      </w:pPr>
    </w:p>
    <w:p>
      <w:pPr>
        <w:ind w:right="420"/>
        <w:spacing w:after="0" w:line="275"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0"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Great Lakes Dredge &amp; Dock Corporation</w:t>
      </w:r>
    </w:p>
    <w:p>
      <w:pPr>
        <w:spacing w:after="0" w:line="21"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(registrant)</w:t>
      </w:r>
    </w:p>
    <w:p>
      <w:pPr>
        <w:spacing w:after="0" w:line="213" w:lineRule="exact"/>
        <w:rPr>
          <w:sz w:val="20"/>
          <w:szCs w:val="20"/>
          <w:color w:val="auto"/>
        </w:rPr>
      </w:pPr>
    </w:p>
    <w:p>
      <w:pPr>
        <w:ind w:left="6860"/>
        <w:spacing w:after="0"/>
        <w:tabs>
          <w:tab w:leader="none" w:pos="83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  W</w:t>
      </w:r>
      <w:r>
        <w:rPr>
          <w:rFonts w:ascii="Times New Roman" w:cs="Times New Roman" w:eastAsia="Times New Roman" w:hAnsi="Times New Roman"/>
          <w:sz w:val="14"/>
          <w:szCs w:val="14"/>
          <w:color w:val="auto"/>
        </w:rPr>
        <w:t>ILLIAM</w:t>
      </w:r>
      <w:r>
        <w:rPr>
          <w:rFonts w:ascii="Times New Roman" w:cs="Times New Roman" w:eastAsia="Times New Roman" w:hAnsi="Times New Roman"/>
          <w:sz w:val="18"/>
          <w:szCs w:val="18"/>
          <w:color w:val="auto"/>
        </w:rPr>
        <w:t xml:space="preserve"> S. S</w:t>
      </w:r>
      <w:r>
        <w:rPr>
          <w:rFonts w:ascii="Times New Roman" w:cs="Times New Roman" w:eastAsia="Times New Roman" w:hAnsi="Times New Roman"/>
          <w:sz w:val="14"/>
          <w:szCs w:val="14"/>
          <w:color w:val="auto"/>
        </w:rPr>
        <w:t>TECKEL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8" w:lineRule="exact"/>
        <w:rPr>
          <w:sz w:val="20"/>
          <w:szCs w:val="20"/>
          <w:color w:val="auto"/>
        </w:rPr>
      </w:pPr>
    </w:p>
    <w:p>
      <w:pPr>
        <w:jc w:val="center"/>
        <w:ind w:left="7240"/>
        <w:spacing w:after="0"/>
        <w:rPr>
          <w:sz w:val="20"/>
          <w:szCs w:val="20"/>
          <w:color w:val="auto"/>
        </w:rPr>
      </w:pPr>
      <w:r>
        <w:rPr>
          <w:rFonts w:ascii="Times New Roman" w:cs="Times New Roman" w:eastAsia="Times New Roman" w:hAnsi="Times New Roman"/>
          <w:sz w:val="14"/>
          <w:szCs w:val="14"/>
          <w:color w:val="auto"/>
        </w:rPr>
        <w:t>William S. Steckel</w:t>
      </w:r>
    </w:p>
    <w:p>
      <w:pPr>
        <w:jc w:val="center"/>
        <w:ind w:left="7240"/>
        <w:spacing w:after="0" w:line="223" w:lineRule="auto"/>
        <w:rPr>
          <w:sz w:val="20"/>
          <w:szCs w:val="20"/>
          <w:color w:val="auto"/>
        </w:rPr>
      </w:pPr>
      <w:r>
        <w:rPr>
          <w:rFonts w:ascii="Times New Roman" w:cs="Times New Roman" w:eastAsia="Times New Roman" w:hAnsi="Times New Roman"/>
          <w:sz w:val="14"/>
          <w:szCs w:val="14"/>
          <w:color w:val="auto"/>
        </w:rPr>
        <w:t>Senior Vice President and Chief Financial Officer</w:t>
      </w:r>
    </w:p>
    <w:p>
      <w:pPr>
        <w:jc w:val="center"/>
        <w:ind w:left="7240"/>
        <w:spacing w:after="0" w:line="222" w:lineRule="auto"/>
        <w:rPr>
          <w:sz w:val="20"/>
          <w:szCs w:val="20"/>
          <w:color w:val="auto"/>
        </w:rPr>
      </w:pPr>
      <w:r>
        <w:rPr>
          <w:rFonts w:ascii="Times New Roman" w:cs="Times New Roman" w:eastAsia="Times New Roman" w:hAnsi="Times New Roman"/>
          <w:sz w:val="14"/>
          <w:szCs w:val="14"/>
          <w:color w:val="auto"/>
        </w:rPr>
        <w:t>(Principal Financial and Accounting Officer and</w:t>
      </w:r>
    </w:p>
    <w:p>
      <w:pPr>
        <w:jc w:val="center"/>
        <w:ind w:left="7240"/>
        <w:spacing w:after="0"/>
        <w:rPr>
          <w:sz w:val="20"/>
          <w:szCs w:val="20"/>
          <w:color w:val="auto"/>
        </w:rPr>
      </w:pPr>
      <w:r>
        <w:rPr>
          <w:rFonts w:ascii="Times New Roman" w:cs="Times New Roman" w:eastAsia="Times New Roman" w:hAnsi="Times New Roman"/>
          <w:sz w:val="14"/>
          <w:szCs w:val="14"/>
          <w:color w:val="auto"/>
        </w:rPr>
        <w:t>Duly Authorized Officer)</w:t>
      </w:r>
    </w:p>
    <w:p>
      <w:pPr>
        <w:spacing w:after="0" w:line="148" w:lineRule="exact"/>
        <w:rPr>
          <w:sz w:val="20"/>
          <w:szCs w:val="20"/>
          <w:color w:val="auto"/>
        </w:rPr>
      </w:pPr>
    </w:p>
    <w:p>
      <w:pPr>
        <w:ind w:left="6020"/>
        <w:spacing w:after="0"/>
        <w:rPr>
          <w:sz w:val="20"/>
          <w:szCs w:val="20"/>
          <w:color w:val="auto"/>
        </w:rPr>
      </w:pPr>
      <w:r>
        <w:rPr>
          <w:rFonts w:ascii="Times New Roman" w:cs="Times New Roman" w:eastAsia="Times New Roman" w:hAnsi="Times New Roman"/>
          <w:sz w:val="18"/>
          <w:szCs w:val="18"/>
          <w:color w:val="auto"/>
        </w:rPr>
        <w:t>Date: March 29, 2013</w:t>
      </w:r>
    </w:p>
    <w:p>
      <w:pPr>
        <w:spacing w:after="0" w:line="171" w:lineRule="exact"/>
        <w:rPr>
          <w:sz w:val="20"/>
          <w:szCs w:val="20"/>
          <w:color w:val="auto"/>
        </w:rPr>
      </w:pPr>
    </w:p>
    <w:p>
      <w:pPr>
        <w:ind w:firstLine="456"/>
        <w:spacing w:after="0" w:line="275"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capabilities and on the dates indicated.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1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Signature</w:t>
            </w:r>
          </w:p>
        </w:tc>
        <w:tc>
          <w:tcPr>
            <w:tcW w:w="2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w w:val="92"/>
              </w:rPr>
              <w:t>Date</w:t>
            </w:r>
          </w:p>
        </w:tc>
        <w:tc>
          <w:tcPr>
            <w:tcW w:w="52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22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Title</w:t>
            </w:r>
          </w:p>
        </w:tc>
      </w:tr>
      <w:tr>
        <w:trPr>
          <w:trHeight w:val="20"/>
        </w:trPr>
        <w:tc>
          <w:tcPr>
            <w:tcW w:w="186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r>
      <w:tr>
        <w:trPr>
          <w:trHeight w:val="318"/>
        </w:trPr>
        <w:tc>
          <w:tcPr>
            <w:tcW w:w="1860" w:type="dxa"/>
            <w:vAlign w:val="bottom"/>
            <w:tcBorders>
              <w:bottom w:val="single" w:sz="8" w:color="auto"/>
            </w:tcBorders>
          </w:tcPr>
          <w:p>
            <w:pPr>
              <w:ind w:left="1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w:t>
            </w:r>
          </w:p>
        </w:tc>
        <w:tc>
          <w:tcPr>
            <w:tcW w:w="3220" w:type="dxa"/>
            <w:vAlign w:val="bottom"/>
            <w:tcBorders>
              <w:bottom w:val="single" w:sz="8" w:color="auto"/>
            </w:tcBorders>
            <w:gridSpan w:val="4"/>
          </w:tcPr>
          <w:p>
            <w:pPr>
              <w:jc w:val="center"/>
              <w:ind w:right="1480"/>
              <w:spacing w:after="0"/>
              <w:rPr>
                <w:sz w:val="20"/>
                <w:szCs w:val="20"/>
                <w:color w:val="auto"/>
              </w:rPr>
            </w:pPr>
            <w:r>
              <w:rPr>
                <w:rFonts w:ascii="Times New Roman" w:cs="Times New Roman" w:eastAsia="Times New Roman" w:hAnsi="Times New Roman"/>
                <w:sz w:val="18"/>
                <w:szCs w:val="18"/>
                <w:color w:val="auto"/>
              </w:rPr>
              <w:t>J</w:t>
            </w:r>
            <w:r>
              <w:rPr>
                <w:rFonts w:ascii="Times New Roman" w:cs="Times New Roman" w:eastAsia="Times New Roman" w:hAnsi="Times New Roman"/>
                <w:sz w:val="14"/>
                <w:szCs w:val="14"/>
                <w:color w:val="auto"/>
              </w:rPr>
              <w:t>ONATHAN</w:t>
            </w:r>
            <w:r>
              <w:rPr>
                <w:rFonts w:ascii="Times New Roman" w:cs="Times New Roman" w:eastAsia="Times New Roman" w:hAnsi="Times New Roman"/>
                <w:sz w:val="18"/>
                <w:szCs w:val="18"/>
                <w:color w:val="auto"/>
              </w:rPr>
              <w:t xml:space="preserve"> W. B</w:t>
            </w:r>
            <w:r>
              <w:rPr>
                <w:rFonts w:ascii="Times New Roman" w:cs="Times New Roman" w:eastAsia="Times New Roman" w:hAnsi="Times New Roman"/>
                <w:sz w:val="14"/>
                <w:szCs w:val="14"/>
                <w:color w:val="auto"/>
              </w:rPr>
              <w:t>ERGER</w:t>
            </w:r>
          </w:p>
        </w:tc>
        <w:tc>
          <w:tcPr>
            <w:tcW w:w="16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March 29, 2013</w:t>
            </w:r>
          </w:p>
        </w:tc>
        <w:tc>
          <w:tcPr>
            <w:tcW w:w="4640" w:type="dxa"/>
            <w:vAlign w:val="bottom"/>
            <w:gridSpan w:val="3"/>
          </w:tcPr>
          <w:p>
            <w:pPr>
              <w:ind w:left="400"/>
              <w:spacing w:after="0"/>
              <w:rPr>
                <w:sz w:val="20"/>
                <w:szCs w:val="20"/>
                <w:color w:val="auto"/>
              </w:rPr>
            </w:pPr>
            <w:r>
              <w:rPr>
                <w:rFonts w:ascii="Times New Roman" w:cs="Times New Roman" w:eastAsia="Times New Roman" w:hAnsi="Times New Roman"/>
                <w:sz w:val="18"/>
                <w:szCs w:val="18"/>
                <w:color w:val="auto"/>
              </w:rPr>
              <w:t>Chief Executive Officer and Director</w:t>
            </w:r>
          </w:p>
        </w:tc>
      </w:tr>
      <w:tr>
        <w:trPr>
          <w:trHeight w:val="222"/>
        </w:trPr>
        <w:tc>
          <w:tcPr>
            <w:tcW w:w="1860" w:type="dxa"/>
            <w:vAlign w:val="bottom"/>
          </w:tcPr>
          <w:p>
            <w:pPr>
              <w:spacing w:after="0"/>
              <w:rPr>
                <w:sz w:val="19"/>
                <w:szCs w:val="19"/>
                <w:color w:val="auto"/>
              </w:rPr>
            </w:pPr>
          </w:p>
        </w:tc>
        <w:tc>
          <w:tcPr>
            <w:tcW w:w="3220" w:type="dxa"/>
            <w:vAlign w:val="bottom"/>
            <w:gridSpan w:val="4"/>
          </w:tcPr>
          <w:p>
            <w:pPr>
              <w:jc w:val="center"/>
              <w:ind w:right="1840"/>
              <w:spacing w:after="0"/>
              <w:rPr>
                <w:sz w:val="20"/>
                <w:szCs w:val="20"/>
                <w:color w:val="auto"/>
              </w:rPr>
            </w:pPr>
            <w:r>
              <w:rPr>
                <w:rFonts w:ascii="Times New Roman" w:cs="Times New Roman" w:eastAsia="Times New Roman" w:hAnsi="Times New Roman"/>
                <w:sz w:val="18"/>
                <w:szCs w:val="18"/>
                <w:color w:val="auto"/>
                <w:w w:val="96"/>
              </w:rPr>
              <w:t>Jonathan W. Berger</w:t>
            </w:r>
          </w:p>
        </w:tc>
        <w:tc>
          <w:tcPr>
            <w:tcW w:w="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640" w:type="dxa"/>
            <w:vAlign w:val="bottom"/>
            <w:gridSpan w:val="3"/>
          </w:tcPr>
          <w:p>
            <w:pPr>
              <w:ind w:left="400"/>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325"/>
        </w:trPr>
        <w:tc>
          <w:tcPr>
            <w:tcW w:w="1860" w:type="dxa"/>
            <w:vAlign w:val="bottom"/>
            <w:tcBorders>
              <w:bottom w:val="single" w:sz="8" w:color="auto"/>
            </w:tcBorders>
          </w:tcPr>
          <w:p>
            <w:pPr>
              <w:ind w:left="1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w:t>
            </w:r>
          </w:p>
        </w:tc>
        <w:tc>
          <w:tcPr>
            <w:tcW w:w="3220" w:type="dxa"/>
            <w:vAlign w:val="bottom"/>
            <w:tcBorders>
              <w:bottom w:val="single" w:sz="8" w:color="auto"/>
            </w:tcBorders>
            <w:gridSpan w:val="4"/>
          </w:tcPr>
          <w:p>
            <w:pPr>
              <w:jc w:val="center"/>
              <w:ind w:right="1500"/>
              <w:spacing w:after="0"/>
              <w:rPr>
                <w:sz w:val="20"/>
                <w:szCs w:val="20"/>
                <w:color w:val="auto"/>
              </w:rPr>
            </w:pPr>
            <w:r>
              <w:rPr>
                <w:rFonts w:ascii="Times New Roman" w:cs="Times New Roman" w:eastAsia="Times New Roman" w:hAnsi="Times New Roman"/>
                <w:sz w:val="18"/>
                <w:szCs w:val="18"/>
                <w:color w:val="auto"/>
              </w:rPr>
              <w:t>W</w:t>
            </w:r>
            <w:r>
              <w:rPr>
                <w:rFonts w:ascii="Times New Roman" w:cs="Times New Roman" w:eastAsia="Times New Roman" w:hAnsi="Times New Roman"/>
                <w:sz w:val="14"/>
                <w:szCs w:val="14"/>
                <w:color w:val="auto"/>
              </w:rPr>
              <w:t>ILLIAM</w:t>
            </w:r>
            <w:r>
              <w:rPr>
                <w:rFonts w:ascii="Times New Roman" w:cs="Times New Roman" w:eastAsia="Times New Roman" w:hAnsi="Times New Roman"/>
                <w:sz w:val="18"/>
                <w:szCs w:val="18"/>
                <w:color w:val="auto"/>
              </w:rPr>
              <w:t xml:space="preserve"> S. S</w:t>
            </w:r>
            <w:r>
              <w:rPr>
                <w:rFonts w:ascii="Times New Roman" w:cs="Times New Roman" w:eastAsia="Times New Roman" w:hAnsi="Times New Roman"/>
                <w:sz w:val="14"/>
                <w:szCs w:val="14"/>
                <w:color w:val="auto"/>
              </w:rPr>
              <w:t>TECKEL</w:t>
            </w:r>
          </w:p>
        </w:tc>
        <w:tc>
          <w:tcPr>
            <w:tcW w:w="16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March 29, 2013</w:t>
            </w:r>
          </w:p>
        </w:tc>
        <w:tc>
          <w:tcPr>
            <w:tcW w:w="4640" w:type="dxa"/>
            <w:vAlign w:val="bottom"/>
            <w:gridSpan w:val="3"/>
          </w:tcPr>
          <w:p>
            <w:pPr>
              <w:ind w:left="400"/>
              <w:spacing w:after="0"/>
              <w:rPr>
                <w:sz w:val="20"/>
                <w:szCs w:val="20"/>
                <w:color w:val="auto"/>
              </w:rPr>
            </w:pPr>
            <w:r>
              <w:rPr>
                <w:rFonts w:ascii="Times New Roman" w:cs="Times New Roman" w:eastAsia="Times New Roman" w:hAnsi="Times New Roman"/>
                <w:sz w:val="18"/>
                <w:szCs w:val="18"/>
                <w:color w:val="auto"/>
                <w:w w:val="96"/>
              </w:rPr>
              <w:t>Senior Vice President and Chief Financial Officer (Principal</w:t>
            </w:r>
          </w:p>
        </w:tc>
      </w:tr>
      <w:tr>
        <w:trPr>
          <w:trHeight w:val="222"/>
        </w:trPr>
        <w:tc>
          <w:tcPr>
            <w:tcW w:w="1860" w:type="dxa"/>
            <w:vAlign w:val="bottom"/>
          </w:tcPr>
          <w:p>
            <w:pPr>
              <w:spacing w:after="0"/>
              <w:rPr>
                <w:sz w:val="19"/>
                <w:szCs w:val="19"/>
                <w:color w:val="auto"/>
              </w:rPr>
            </w:pPr>
          </w:p>
        </w:tc>
        <w:tc>
          <w:tcPr>
            <w:tcW w:w="3220" w:type="dxa"/>
            <w:vAlign w:val="bottom"/>
            <w:gridSpan w:val="4"/>
          </w:tcPr>
          <w:p>
            <w:pPr>
              <w:jc w:val="center"/>
              <w:ind w:right="1840"/>
              <w:spacing w:after="0"/>
              <w:rPr>
                <w:sz w:val="20"/>
                <w:szCs w:val="20"/>
                <w:color w:val="auto"/>
              </w:rPr>
            </w:pPr>
            <w:r>
              <w:rPr>
                <w:rFonts w:ascii="Times New Roman" w:cs="Times New Roman" w:eastAsia="Times New Roman" w:hAnsi="Times New Roman"/>
                <w:sz w:val="18"/>
                <w:szCs w:val="18"/>
                <w:color w:val="auto"/>
                <w:w w:val="95"/>
              </w:rPr>
              <w:t>William S. Steckel</w:t>
            </w:r>
          </w:p>
        </w:tc>
        <w:tc>
          <w:tcPr>
            <w:tcW w:w="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640" w:type="dxa"/>
            <w:vAlign w:val="bottom"/>
            <w:gridSpan w:val="3"/>
          </w:tcPr>
          <w:p>
            <w:pPr>
              <w:ind w:left="400"/>
              <w:spacing w:after="0"/>
              <w:rPr>
                <w:sz w:val="20"/>
                <w:szCs w:val="20"/>
                <w:color w:val="auto"/>
              </w:rPr>
            </w:pPr>
            <w:r>
              <w:rPr>
                <w:rFonts w:ascii="Times New Roman" w:cs="Times New Roman" w:eastAsia="Times New Roman" w:hAnsi="Times New Roman"/>
                <w:sz w:val="18"/>
                <w:szCs w:val="18"/>
                <w:color w:val="auto"/>
              </w:rPr>
              <w:t>Financial Officer and Principal Accounting Officer)</w:t>
            </w:r>
          </w:p>
        </w:tc>
      </w:tr>
      <w:tr>
        <w:trPr>
          <w:trHeight w:val="324"/>
        </w:trPr>
        <w:tc>
          <w:tcPr>
            <w:tcW w:w="1960" w:type="dxa"/>
            <w:vAlign w:val="bottom"/>
            <w:tcBorders>
              <w:bottom w:val="single" w:sz="8" w:color="auto"/>
            </w:tcBorders>
            <w:gridSpan w:val="2"/>
          </w:tcPr>
          <w:p>
            <w:pPr>
              <w:ind w:left="1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w:t>
            </w:r>
          </w:p>
        </w:tc>
        <w:tc>
          <w:tcPr>
            <w:tcW w:w="3120" w:type="dxa"/>
            <w:vAlign w:val="bottom"/>
            <w:tcBorders>
              <w:bottom w:val="single" w:sz="8" w:color="auto"/>
            </w:tcBorders>
            <w:gridSpan w:val="3"/>
          </w:tcPr>
          <w:p>
            <w:pPr>
              <w:jc w:val="center"/>
              <w:ind w:right="1600"/>
              <w:spacing w:after="0"/>
              <w:rPr>
                <w:sz w:val="20"/>
                <w:szCs w:val="20"/>
                <w:color w:val="auto"/>
              </w:rPr>
            </w:pPr>
            <w:r>
              <w:rPr>
                <w:rFonts w:ascii="Times New Roman" w:cs="Times New Roman" w:eastAsia="Times New Roman" w:hAnsi="Times New Roman"/>
                <w:sz w:val="18"/>
                <w:szCs w:val="18"/>
                <w:color w:val="auto"/>
              </w:rPr>
              <w:t>C</w:t>
            </w:r>
            <w:r>
              <w:rPr>
                <w:rFonts w:ascii="Times New Roman" w:cs="Times New Roman" w:eastAsia="Times New Roman" w:hAnsi="Times New Roman"/>
                <w:sz w:val="14"/>
                <w:szCs w:val="14"/>
                <w:color w:val="auto"/>
              </w:rPr>
              <w:t>ARL</w:t>
            </w:r>
            <w:r>
              <w:rPr>
                <w:rFonts w:ascii="Times New Roman" w:cs="Times New Roman" w:eastAsia="Times New Roman" w:hAnsi="Times New Roman"/>
                <w:sz w:val="18"/>
                <w:szCs w:val="18"/>
                <w:color w:val="auto"/>
              </w:rPr>
              <w:t xml:space="preserve"> A. A</w:t>
            </w:r>
            <w:r>
              <w:rPr>
                <w:rFonts w:ascii="Times New Roman" w:cs="Times New Roman" w:eastAsia="Times New Roman" w:hAnsi="Times New Roman"/>
                <w:sz w:val="14"/>
                <w:szCs w:val="14"/>
                <w:color w:val="auto"/>
              </w:rPr>
              <w:t>LBERT</w:t>
            </w:r>
          </w:p>
        </w:tc>
        <w:tc>
          <w:tcPr>
            <w:tcW w:w="16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March 29, 2013</w:t>
            </w:r>
          </w:p>
        </w:tc>
        <w:tc>
          <w:tcPr>
            <w:tcW w:w="4640" w:type="dxa"/>
            <w:vAlign w:val="bottom"/>
            <w:gridSpan w:val="3"/>
          </w:tcPr>
          <w:p>
            <w:pPr>
              <w:ind w:left="400"/>
              <w:spacing w:after="0"/>
              <w:rPr>
                <w:sz w:val="20"/>
                <w:szCs w:val="20"/>
                <w:color w:val="auto"/>
              </w:rPr>
            </w:pPr>
            <w:r>
              <w:rPr>
                <w:rFonts w:ascii="Times New Roman" w:cs="Times New Roman" w:eastAsia="Times New Roman" w:hAnsi="Times New Roman"/>
                <w:sz w:val="18"/>
                <w:szCs w:val="18"/>
                <w:color w:val="auto"/>
              </w:rPr>
              <w:t>Director</w:t>
            </w:r>
          </w:p>
        </w:tc>
      </w:tr>
      <w:tr>
        <w:trPr>
          <w:trHeight w:val="223"/>
        </w:trPr>
        <w:tc>
          <w:tcPr>
            <w:tcW w:w="1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120" w:type="dxa"/>
            <w:vAlign w:val="bottom"/>
            <w:gridSpan w:val="3"/>
          </w:tcPr>
          <w:p>
            <w:pPr>
              <w:jc w:val="center"/>
              <w:ind w:right="1940"/>
              <w:spacing w:after="0"/>
              <w:rPr>
                <w:sz w:val="20"/>
                <w:szCs w:val="20"/>
                <w:color w:val="auto"/>
              </w:rPr>
            </w:pPr>
            <w:r>
              <w:rPr>
                <w:rFonts w:ascii="Times New Roman" w:cs="Times New Roman" w:eastAsia="Times New Roman" w:hAnsi="Times New Roman"/>
                <w:sz w:val="18"/>
                <w:szCs w:val="18"/>
                <w:color w:val="auto"/>
                <w:w w:val="98"/>
              </w:rPr>
              <w:t>Carl A. Albert</w:t>
            </w:r>
          </w:p>
        </w:tc>
        <w:tc>
          <w:tcPr>
            <w:tcW w:w="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960" w:type="dxa"/>
            <w:vAlign w:val="bottom"/>
          </w:tcPr>
          <w:p>
            <w:pPr>
              <w:spacing w:after="0"/>
              <w:rPr>
                <w:sz w:val="19"/>
                <w:szCs w:val="19"/>
                <w:color w:val="auto"/>
              </w:rPr>
            </w:pPr>
          </w:p>
        </w:tc>
      </w:tr>
      <w:tr>
        <w:trPr>
          <w:trHeight w:val="324"/>
        </w:trPr>
        <w:tc>
          <w:tcPr>
            <w:tcW w:w="1860" w:type="dxa"/>
            <w:vAlign w:val="bottom"/>
            <w:tcBorders>
              <w:bottom w:val="single" w:sz="8" w:color="auto"/>
            </w:tcBorders>
          </w:tcPr>
          <w:p>
            <w:pPr>
              <w:ind w:left="1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w:t>
            </w:r>
          </w:p>
        </w:tc>
        <w:tc>
          <w:tcPr>
            <w:tcW w:w="100" w:type="dxa"/>
            <w:vAlign w:val="bottom"/>
            <w:tcBorders>
              <w:bottom w:val="single" w:sz="8" w:color="auto"/>
            </w:tcBorders>
          </w:tcPr>
          <w:p>
            <w:pPr>
              <w:spacing w:after="0"/>
              <w:rPr>
                <w:sz w:val="24"/>
                <w:szCs w:val="24"/>
                <w:color w:val="auto"/>
              </w:rPr>
            </w:pPr>
          </w:p>
        </w:tc>
        <w:tc>
          <w:tcPr>
            <w:tcW w:w="3120" w:type="dxa"/>
            <w:vAlign w:val="bottom"/>
            <w:tcBorders>
              <w:bottom w:val="single" w:sz="8" w:color="auto"/>
            </w:tcBorders>
            <w:gridSpan w:val="3"/>
          </w:tcPr>
          <w:p>
            <w:pPr>
              <w:jc w:val="center"/>
              <w:ind w:right="1600"/>
              <w:spacing w:after="0"/>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4"/>
                <w:szCs w:val="14"/>
                <w:color w:val="auto"/>
              </w:rPr>
              <w:t>TEPHEN</w:t>
            </w:r>
            <w:r>
              <w:rPr>
                <w:rFonts w:ascii="Times New Roman" w:cs="Times New Roman" w:eastAsia="Times New Roman" w:hAnsi="Times New Roman"/>
                <w:sz w:val="18"/>
                <w:szCs w:val="18"/>
                <w:color w:val="auto"/>
              </w:rPr>
              <w:t xml:space="preserve"> H. B</w:t>
            </w:r>
            <w:r>
              <w:rPr>
                <w:rFonts w:ascii="Times New Roman" w:cs="Times New Roman" w:eastAsia="Times New Roman" w:hAnsi="Times New Roman"/>
                <w:sz w:val="14"/>
                <w:szCs w:val="14"/>
                <w:color w:val="auto"/>
              </w:rPr>
              <w:t>ITTEL</w:t>
            </w:r>
          </w:p>
        </w:tc>
        <w:tc>
          <w:tcPr>
            <w:tcW w:w="16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March 29, 2013</w:t>
            </w:r>
          </w:p>
        </w:tc>
        <w:tc>
          <w:tcPr>
            <w:tcW w:w="4640" w:type="dxa"/>
            <w:vAlign w:val="bottom"/>
            <w:gridSpan w:val="3"/>
          </w:tcPr>
          <w:p>
            <w:pPr>
              <w:ind w:left="400"/>
              <w:spacing w:after="0"/>
              <w:rPr>
                <w:sz w:val="20"/>
                <w:szCs w:val="20"/>
                <w:color w:val="auto"/>
              </w:rPr>
            </w:pPr>
            <w:r>
              <w:rPr>
                <w:rFonts w:ascii="Times New Roman" w:cs="Times New Roman" w:eastAsia="Times New Roman" w:hAnsi="Times New Roman"/>
                <w:sz w:val="18"/>
                <w:szCs w:val="18"/>
                <w:color w:val="auto"/>
              </w:rPr>
              <w:t>Director</w:t>
            </w:r>
          </w:p>
        </w:tc>
      </w:tr>
      <w:tr>
        <w:trPr>
          <w:trHeight w:val="223"/>
        </w:trPr>
        <w:tc>
          <w:tcPr>
            <w:tcW w:w="1860" w:type="dxa"/>
            <w:vAlign w:val="bottom"/>
          </w:tcPr>
          <w:p>
            <w:pPr>
              <w:spacing w:after="0"/>
              <w:rPr>
                <w:sz w:val="19"/>
                <w:szCs w:val="19"/>
                <w:color w:val="auto"/>
              </w:rPr>
            </w:pPr>
          </w:p>
        </w:tc>
        <w:tc>
          <w:tcPr>
            <w:tcW w:w="3220" w:type="dxa"/>
            <w:vAlign w:val="bottom"/>
            <w:gridSpan w:val="4"/>
          </w:tcPr>
          <w:p>
            <w:pPr>
              <w:jc w:val="center"/>
              <w:ind w:right="1840"/>
              <w:spacing w:after="0"/>
              <w:rPr>
                <w:sz w:val="20"/>
                <w:szCs w:val="20"/>
                <w:color w:val="auto"/>
              </w:rPr>
            </w:pPr>
            <w:r>
              <w:rPr>
                <w:rFonts w:ascii="Times New Roman" w:cs="Times New Roman" w:eastAsia="Times New Roman" w:hAnsi="Times New Roman"/>
                <w:sz w:val="18"/>
                <w:szCs w:val="18"/>
                <w:color w:val="auto"/>
                <w:w w:val="97"/>
              </w:rPr>
              <w:t>Stephen H. Bittel</w:t>
            </w:r>
          </w:p>
        </w:tc>
        <w:tc>
          <w:tcPr>
            <w:tcW w:w="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960" w:type="dxa"/>
            <w:vAlign w:val="bottom"/>
          </w:tcPr>
          <w:p>
            <w:pPr>
              <w:spacing w:after="0"/>
              <w:rPr>
                <w:sz w:val="19"/>
                <w:szCs w:val="19"/>
                <w:color w:val="auto"/>
              </w:rPr>
            </w:pPr>
          </w:p>
        </w:tc>
      </w:tr>
      <w:tr>
        <w:trPr>
          <w:trHeight w:val="324"/>
        </w:trPr>
        <w:tc>
          <w:tcPr>
            <w:tcW w:w="1860" w:type="dxa"/>
            <w:vAlign w:val="bottom"/>
            <w:tcBorders>
              <w:bottom w:val="single" w:sz="8" w:color="auto"/>
            </w:tcBorders>
          </w:tcPr>
          <w:p>
            <w:pPr>
              <w:ind w:left="1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w:t>
            </w:r>
          </w:p>
        </w:tc>
        <w:tc>
          <w:tcPr>
            <w:tcW w:w="100" w:type="dxa"/>
            <w:vAlign w:val="bottom"/>
            <w:tcBorders>
              <w:bottom w:val="single" w:sz="8" w:color="auto"/>
            </w:tcBorders>
          </w:tcPr>
          <w:p>
            <w:pPr>
              <w:spacing w:after="0"/>
              <w:rPr>
                <w:sz w:val="24"/>
                <w:szCs w:val="24"/>
                <w:color w:val="auto"/>
              </w:rPr>
            </w:pPr>
          </w:p>
        </w:tc>
        <w:tc>
          <w:tcPr>
            <w:tcW w:w="3120" w:type="dxa"/>
            <w:vAlign w:val="bottom"/>
            <w:tcBorders>
              <w:bottom w:val="single" w:sz="8" w:color="auto"/>
            </w:tcBorders>
            <w:gridSpan w:val="3"/>
          </w:tcPr>
          <w:p>
            <w:pPr>
              <w:jc w:val="center"/>
              <w:ind w:right="1600"/>
              <w:spacing w:after="0"/>
              <w:rPr>
                <w:sz w:val="20"/>
                <w:szCs w:val="20"/>
                <w:color w:val="auto"/>
              </w:rPr>
            </w:pPr>
            <w:r>
              <w:rPr>
                <w:rFonts w:ascii="Times New Roman" w:cs="Times New Roman" w:eastAsia="Times New Roman" w:hAnsi="Times New Roman"/>
                <w:sz w:val="18"/>
                <w:szCs w:val="18"/>
                <w:color w:val="auto"/>
              </w:rPr>
              <w:t>P</w:t>
            </w:r>
            <w:r>
              <w:rPr>
                <w:rFonts w:ascii="Times New Roman" w:cs="Times New Roman" w:eastAsia="Times New Roman" w:hAnsi="Times New Roman"/>
                <w:sz w:val="14"/>
                <w:szCs w:val="14"/>
                <w:color w:val="auto"/>
              </w:rPr>
              <w:t>ETER</w:t>
            </w:r>
            <w:r>
              <w:rPr>
                <w:rFonts w:ascii="Times New Roman" w:cs="Times New Roman" w:eastAsia="Times New Roman" w:hAnsi="Times New Roman"/>
                <w:sz w:val="18"/>
                <w:szCs w:val="18"/>
                <w:color w:val="auto"/>
              </w:rPr>
              <w:t xml:space="preserve"> R. D</w:t>
            </w:r>
            <w:r>
              <w:rPr>
                <w:rFonts w:ascii="Times New Roman" w:cs="Times New Roman" w:eastAsia="Times New Roman" w:hAnsi="Times New Roman"/>
                <w:sz w:val="14"/>
                <w:szCs w:val="14"/>
                <w:color w:val="auto"/>
              </w:rPr>
              <w:t>EUTSCH</w:t>
            </w:r>
          </w:p>
        </w:tc>
        <w:tc>
          <w:tcPr>
            <w:tcW w:w="16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March 29, 2013</w:t>
            </w:r>
          </w:p>
        </w:tc>
        <w:tc>
          <w:tcPr>
            <w:tcW w:w="4640" w:type="dxa"/>
            <w:vAlign w:val="bottom"/>
            <w:gridSpan w:val="3"/>
          </w:tcPr>
          <w:p>
            <w:pPr>
              <w:ind w:left="400"/>
              <w:spacing w:after="0"/>
              <w:rPr>
                <w:sz w:val="20"/>
                <w:szCs w:val="20"/>
                <w:color w:val="auto"/>
              </w:rPr>
            </w:pPr>
            <w:r>
              <w:rPr>
                <w:rFonts w:ascii="Times New Roman" w:cs="Times New Roman" w:eastAsia="Times New Roman" w:hAnsi="Times New Roman"/>
                <w:sz w:val="18"/>
                <w:szCs w:val="18"/>
                <w:color w:val="auto"/>
              </w:rPr>
              <w:t>Director</w:t>
            </w:r>
          </w:p>
        </w:tc>
      </w:tr>
      <w:tr>
        <w:trPr>
          <w:trHeight w:val="223"/>
        </w:trPr>
        <w:tc>
          <w:tcPr>
            <w:tcW w:w="1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120" w:type="dxa"/>
            <w:vAlign w:val="bottom"/>
            <w:gridSpan w:val="3"/>
          </w:tcPr>
          <w:p>
            <w:pPr>
              <w:jc w:val="center"/>
              <w:ind w:right="1940"/>
              <w:spacing w:after="0"/>
              <w:rPr>
                <w:sz w:val="20"/>
                <w:szCs w:val="20"/>
                <w:color w:val="auto"/>
              </w:rPr>
            </w:pPr>
            <w:r>
              <w:rPr>
                <w:rFonts w:ascii="Times New Roman" w:cs="Times New Roman" w:eastAsia="Times New Roman" w:hAnsi="Times New Roman"/>
                <w:sz w:val="18"/>
                <w:szCs w:val="18"/>
                <w:color w:val="auto"/>
                <w:w w:val="97"/>
              </w:rPr>
              <w:t>Peter R. Deutsch</w:t>
            </w:r>
          </w:p>
        </w:tc>
        <w:tc>
          <w:tcPr>
            <w:tcW w:w="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960" w:type="dxa"/>
            <w:vAlign w:val="bottom"/>
          </w:tcPr>
          <w:p>
            <w:pPr>
              <w:spacing w:after="0"/>
              <w:rPr>
                <w:sz w:val="19"/>
                <w:szCs w:val="19"/>
                <w:color w:val="auto"/>
              </w:rPr>
            </w:pPr>
          </w:p>
        </w:tc>
      </w:tr>
      <w:tr>
        <w:trPr>
          <w:trHeight w:val="324"/>
        </w:trPr>
        <w:tc>
          <w:tcPr>
            <w:tcW w:w="1860" w:type="dxa"/>
            <w:vAlign w:val="bottom"/>
            <w:tcBorders>
              <w:bottom w:val="single" w:sz="8" w:color="auto"/>
            </w:tcBorders>
          </w:tcPr>
          <w:p>
            <w:pPr>
              <w:ind w:left="1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w:t>
            </w:r>
          </w:p>
        </w:tc>
        <w:tc>
          <w:tcPr>
            <w:tcW w:w="100" w:type="dxa"/>
            <w:vAlign w:val="bottom"/>
            <w:tcBorders>
              <w:bottom w:val="single" w:sz="8" w:color="auto"/>
            </w:tcBorders>
          </w:tcPr>
          <w:p>
            <w:pPr>
              <w:spacing w:after="0"/>
              <w:rPr>
                <w:sz w:val="24"/>
                <w:szCs w:val="24"/>
                <w:color w:val="auto"/>
              </w:rPr>
            </w:pPr>
          </w:p>
        </w:tc>
        <w:tc>
          <w:tcPr>
            <w:tcW w:w="3120" w:type="dxa"/>
            <w:vAlign w:val="bottom"/>
            <w:tcBorders>
              <w:bottom w:val="single" w:sz="8" w:color="auto"/>
            </w:tcBorders>
            <w:gridSpan w:val="3"/>
          </w:tcPr>
          <w:p>
            <w:pPr>
              <w:jc w:val="center"/>
              <w:ind w:right="1580"/>
              <w:spacing w:after="0"/>
              <w:rPr>
                <w:sz w:val="20"/>
                <w:szCs w:val="20"/>
                <w:color w:val="auto"/>
              </w:rPr>
            </w:pPr>
            <w:r>
              <w:rPr>
                <w:rFonts w:ascii="Times New Roman" w:cs="Times New Roman" w:eastAsia="Times New Roman" w:hAnsi="Times New Roman"/>
                <w:sz w:val="18"/>
                <w:szCs w:val="18"/>
                <w:color w:val="auto"/>
              </w:rPr>
              <w:t>N</w:t>
            </w:r>
            <w:r>
              <w:rPr>
                <w:rFonts w:ascii="Times New Roman" w:cs="Times New Roman" w:eastAsia="Times New Roman" w:hAnsi="Times New Roman"/>
                <w:sz w:val="14"/>
                <w:szCs w:val="14"/>
                <w:color w:val="auto"/>
              </w:rPr>
              <w:t>ATHAN</w:t>
            </w:r>
            <w:r>
              <w:rPr>
                <w:rFonts w:ascii="Times New Roman" w:cs="Times New Roman" w:eastAsia="Times New Roman" w:hAnsi="Times New Roman"/>
                <w:sz w:val="18"/>
                <w:szCs w:val="18"/>
                <w:color w:val="auto"/>
              </w:rPr>
              <w:t xml:space="preserve"> D. L</w:t>
            </w:r>
            <w:r>
              <w:rPr>
                <w:rFonts w:ascii="Times New Roman" w:cs="Times New Roman" w:eastAsia="Times New Roman" w:hAnsi="Times New Roman"/>
                <w:sz w:val="14"/>
                <w:szCs w:val="14"/>
                <w:color w:val="auto"/>
              </w:rPr>
              <w:t>EIGHT</w:t>
            </w:r>
          </w:p>
        </w:tc>
        <w:tc>
          <w:tcPr>
            <w:tcW w:w="16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March 29, 2013</w:t>
            </w:r>
          </w:p>
        </w:tc>
        <w:tc>
          <w:tcPr>
            <w:tcW w:w="4640" w:type="dxa"/>
            <w:vAlign w:val="bottom"/>
            <w:gridSpan w:val="3"/>
          </w:tcPr>
          <w:p>
            <w:pPr>
              <w:ind w:left="400"/>
              <w:spacing w:after="0"/>
              <w:rPr>
                <w:sz w:val="20"/>
                <w:szCs w:val="20"/>
                <w:color w:val="auto"/>
              </w:rPr>
            </w:pPr>
            <w:r>
              <w:rPr>
                <w:rFonts w:ascii="Times New Roman" w:cs="Times New Roman" w:eastAsia="Times New Roman" w:hAnsi="Times New Roman"/>
                <w:sz w:val="18"/>
                <w:szCs w:val="18"/>
                <w:color w:val="auto"/>
              </w:rPr>
              <w:t>Director</w:t>
            </w:r>
          </w:p>
        </w:tc>
      </w:tr>
      <w:tr>
        <w:trPr>
          <w:trHeight w:val="223"/>
        </w:trPr>
        <w:tc>
          <w:tcPr>
            <w:tcW w:w="1860" w:type="dxa"/>
            <w:vAlign w:val="bottom"/>
          </w:tcPr>
          <w:p>
            <w:pPr>
              <w:spacing w:after="0"/>
              <w:rPr>
                <w:sz w:val="19"/>
                <w:szCs w:val="19"/>
                <w:color w:val="auto"/>
              </w:rPr>
            </w:pPr>
          </w:p>
        </w:tc>
        <w:tc>
          <w:tcPr>
            <w:tcW w:w="3220" w:type="dxa"/>
            <w:vAlign w:val="bottom"/>
            <w:gridSpan w:val="4"/>
          </w:tcPr>
          <w:p>
            <w:pPr>
              <w:jc w:val="center"/>
              <w:ind w:right="1840"/>
              <w:spacing w:after="0"/>
              <w:rPr>
                <w:sz w:val="20"/>
                <w:szCs w:val="20"/>
                <w:color w:val="auto"/>
              </w:rPr>
            </w:pPr>
            <w:r>
              <w:rPr>
                <w:rFonts w:ascii="Times New Roman" w:cs="Times New Roman" w:eastAsia="Times New Roman" w:hAnsi="Times New Roman"/>
                <w:sz w:val="18"/>
                <w:szCs w:val="18"/>
                <w:color w:val="auto"/>
                <w:w w:val="97"/>
              </w:rPr>
              <w:t>Nathan D. Leight</w:t>
            </w:r>
          </w:p>
        </w:tc>
        <w:tc>
          <w:tcPr>
            <w:tcW w:w="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960" w:type="dxa"/>
            <w:vAlign w:val="bottom"/>
          </w:tcPr>
          <w:p>
            <w:pPr>
              <w:spacing w:after="0"/>
              <w:rPr>
                <w:sz w:val="19"/>
                <w:szCs w:val="19"/>
                <w:color w:val="auto"/>
              </w:rPr>
            </w:pPr>
          </w:p>
        </w:tc>
      </w:tr>
      <w:tr>
        <w:trPr>
          <w:trHeight w:val="324"/>
        </w:trPr>
        <w:tc>
          <w:tcPr>
            <w:tcW w:w="1860" w:type="dxa"/>
            <w:vAlign w:val="bottom"/>
            <w:tcBorders>
              <w:bottom w:val="single" w:sz="8" w:color="auto"/>
            </w:tcBorders>
          </w:tcPr>
          <w:p>
            <w:pPr>
              <w:ind w:left="1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w:t>
            </w:r>
          </w:p>
        </w:tc>
        <w:tc>
          <w:tcPr>
            <w:tcW w:w="3220" w:type="dxa"/>
            <w:vAlign w:val="bottom"/>
            <w:tcBorders>
              <w:bottom w:val="single" w:sz="8" w:color="auto"/>
            </w:tcBorders>
            <w:gridSpan w:val="4"/>
          </w:tcPr>
          <w:p>
            <w:pPr>
              <w:jc w:val="center"/>
              <w:ind w:right="1500"/>
              <w:spacing w:after="0"/>
              <w:rPr>
                <w:sz w:val="20"/>
                <w:szCs w:val="20"/>
                <w:color w:val="auto"/>
              </w:rPr>
            </w:pPr>
            <w:r>
              <w:rPr>
                <w:rFonts w:ascii="Times New Roman" w:cs="Times New Roman" w:eastAsia="Times New Roman" w:hAnsi="Times New Roman"/>
                <w:sz w:val="18"/>
                <w:szCs w:val="18"/>
                <w:color w:val="auto"/>
              </w:rPr>
              <w:t>D</w:t>
            </w:r>
            <w:r>
              <w:rPr>
                <w:rFonts w:ascii="Times New Roman" w:cs="Times New Roman" w:eastAsia="Times New Roman" w:hAnsi="Times New Roman"/>
                <w:sz w:val="14"/>
                <w:szCs w:val="14"/>
                <w:color w:val="auto"/>
              </w:rPr>
              <w:t>OUGLAS</w:t>
            </w:r>
            <w:r>
              <w:rPr>
                <w:rFonts w:ascii="Times New Roman" w:cs="Times New Roman" w:eastAsia="Times New Roman" w:hAnsi="Times New Roman"/>
                <w:sz w:val="18"/>
                <w:szCs w:val="18"/>
                <w:color w:val="auto"/>
              </w:rPr>
              <w:t xml:space="preserve"> B. M</w:t>
            </w:r>
            <w:r>
              <w:rPr>
                <w:rFonts w:ascii="Times New Roman" w:cs="Times New Roman" w:eastAsia="Times New Roman" w:hAnsi="Times New Roman"/>
                <w:sz w:val="14"/>
                <w:szCs w:val="14"/>
                <w:color w:val="auto"/>
              </w:rPr>
              <w:t>ACKIE</w:t>
            </w:r>
          </w:p>
        </w:tc>
        <w:tc>
          <w:tcPr>
            <w:tcW w:w="16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March 29, 2013</w:t>
            </w:r>
          </w:p>
        </w:tc>
        <w:tc>
          <w:tcPr>
            <w:tcW w:w="4640" w:type="dxa"/>
            <w:vAlign w:val="bottom"/>
            <w:gridSpan w:val="3"/>
          </w:tcPr>
          <w:p>
            <w:pPr>
              <w:ind w:left="400"/>
              <w:spacing w:after="0"/>
              <w:rPr>
                <w:sz w:val="20"/>
                <w:szCs w:val="20"/>
                <w:color w:val="auto"/>
              </w:rPr>
            </w:pPr>
            <w:r>
              <w:rPr>
                <w:rFonts w:ascii="Times New Roman" w:cs="Times New Roman" w:eastAsia="Times New Roman" w:hAnsi="Times New Roman"/>
                <w:sz w:val="18"/>
                <w:szCs w:val="18"/>
                <w:color w:val="auto"/>
              </w:rPr>
              <w:t>Director</w:t>
            </w:r>
          </w:p>
        </w:tc>
      </w:tr>
      <w:tr>
        <w:trPr>
          <w:trHeight w:val="223"/>
        </w:trPr>
        <w:tc>
          <w:tcPr>
            <w:tcW w:w="1860" w:type="dxa"/>
            <w:vAlign w:val="bottom"/>
          </w:tcPr>
          <w:p>
            <w:pPr>
              <w:spacing w:after="0"/>
              <w:rPr>
                <w:sz w:val="19"/>
                <w:szCs w:val="19"/>
                <w:color w:val="auto"/>
              </w:rPr>
            </w:pPr>
          </w:p>
        </w:tc>
        <w:tc>
          <w:tcPr>
            <w:tcW w:w="3220" w:type="dxa"/>
            <w:vAlign w:val="bottom"/>
            <w:gridSpan w:val="4"/>
          </w:tcPr>
          <w:p>
            <w:pPr>
              <w:jc w:val="center"/>
              <w:ind w:right="1860"/>
              <w:spacing w:after="0"/>
              <w:rPr>
                <w:sz w:val="20"/>
                <w:szCs w:val="20"/>
                <w:color w:val="auto"/>
              </w:rPr>
            </w:pPr>
            <w:r>
              <w:rPr>
                <w:rFonts w:ascii="Times New Roman" w:cs="Times New Roman" w:eastAsia="Times New Roman" w:hAnsi="Times New Roman"/>
                <w:sz w:val="18"/>
                <w:szCs w:val="18"/>
                <w:color w:val="auto"/>
                <w:w w:val="97"/>
              </w:rPr>
              <w:t>Douglas B. Mackie</w:t>
            </w:r>
          </w:p>
        </w:tc>
        <w:tc>
          <w:tcPr>
            <w:tcW w:w="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960" w:type="dxa"/>
            <w:vAlign w:val="bottom"/>
          </w:tcPr>
          <w:p>
            <w:pPr>
              <w:spacing w:after="0"/>
              <w:rPr>
                <w:sz w:val="19"/>
                <w:szCs w:val="19"/>
                <w:color w:val="auto"/>
              </w:rPr>
            </w:pPr>
          </w:p>
        </w:tc>
      </w:tr>
      <w:tr>
        <w:trPr>
          <w:trHeight w:val="324"/>
        </w:trPr>
        <w:tc>
          <w:tcPr>
            <w:tcW w:w="1960" w:type="dxa"/>
            <w:vAlign w:val="bottom"/>
            <w:tcBorders>
              <w:bottom w:val="single" w:sz="8" w:color="auto"/>
            </w:tcBorders>
            <w:gridSpan w:val="2"/>
          </w:tcPr>
          <w:p>
            <w:pPr>
              <w:ind w:left="1780"/>
              <w:spacing w:after="0"/>
              <w:rPr>
                <w:sz w:val="20"/>
                <w:szCs w:val="20"/>
                <w:color w:val="auto"/>
              </w:rPr>
            </w:pPr>
            <w:r>
              <w:rPr>
                <w:rFonts w:ascii="Times New Roman" w:cs="Times New Roman" w:eastAsia="Times New Roman" w:hAnsi="Times New Roman"/>
                <w:sz w:val="18"/>
                <w:szCs w:val="18"/>
                <w:color w:val="auto"/>
                <w:w w:val="89"/>
              </w:rPr>
              <w:t>/</w:t>
            </w:r>
            <w:r>
              <w:rPr>
                <w:rFonts w:ascii="Times New Roman" w:cs="Times New Roman" w:eastAsia="Times New Roman" w:hAnsi="Times New Roman"/>
                <w:sz w:val="14"/>
                <w:szCs w:val="14"/>
                <w:color w:val="auto"/>
                <w:w w:val="89"/>
              </w:rPr>
              <w:t>S</w:t>
            </w:r>
            <w:r>
              <w:rPr>
                <w:rFonts w:ascii="Times New Roman" w:cs="Times New Roman" w:eastAsia="Times New Roman" w:hAnsi="Times New Roman"/>
                <w:sz w:val="18"/>
                <w:szCs w:val="18"/>
                <w:color w:val="auto"/>
                <w:w w:val="89"/>
              </w:rPr>
              <w:t>/</w:t>
            </w:r>
          </w:p>
        </w:tc>
        <w:tc>
          <w:tcPr>
            <w:tcW w:w="3120" w:type="dxa"/>
            <w:vAlign w:val="bottom"/>
            <w:tcBorders>
              <w:bottom w:val="single" w:sz="8" w:color="auto"/>
            </w:tcBorders>
            <w:gridSpan w:val="3"/>
          </w:tcPr>
          <w:p>
            <w:pPr>
              <w:jc w:val="center"/>
              <w:ind w:right="1580"/>
              <w:spacing w:after="0"/>
              <w:rPr>
                <w:sz w:val="20"/>
                <w:szCs w:val="20"/>
                <w:color w:val="auto"/>
              </w:rPr>
            </w:pPr>
            <w:r>
              <w:rPr>
                <w:rFonts w:ascii="Times New Roman" w:cs="Times New Roman" w:eastAsia="Times New Roman" w:hAnsi="Times New Roman"/>
                <w:sz w:val="18"/>
                <w:szCs w:val="18"/>
                <w:color w:val="auto"/>
              </w:rPr>
              <w:t>J</w:t>
            </w:r>
            <w:r>
              <w:rPr>
                <w:rFonts w:ascii="Times New Roman" w:cs="Times New Roman" w:eastAsia="Times New Roman" w:hAnsi="Times New Roman"/>
                <w:sz w:val="14"/>
                <w:szCs w:val="14"/>
                <w:color w:val="auto"/>
              </w:rPr>
              <w:t>ASON</w:t>
            </w:r>
            <w:r>
              <w:rPr>
                <w:rFonts w:ascii="Times New Roman" w:cs="Times New Roman" w:eastAsia="Times New Roman" w:hAnsi="Times New Roman"/>
                <w:sz w:val="18"/>
                <w:szCs w:val="18"/>
                <w:color w:val="auto"/>
              </w:rPr>
              <w:t xml:space="preserve"> G. W</w:t>
            </w:r>
            <w:r>
              <w:rPr>
                <w:rFonts w:ascii="Times New Roman" w:cs="Times New Roman" w:eastAsia="Times New Roman" w:hAnsi="Times New Roman"/>
                <w:sz w:val="14"/>
                <w:szCs w:val="14"/>
                <w:color w:val="auto"/>
              </w:rPr>
              <w:t>EISS</w:t>
            </w:r>
          </w:p>
        </w:tc>
        <w:tc>
          <w:tcPr>
            <w:tcW w:w="16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March 29, 2013</w:t>
            </w:r>
          </w:p>
        </w:tc>
        <w:tc>
          <w:tcPr>
            <w:tcW w:w="4640" w:type="dxa"/>
            <w:vAlign w:val="bottom"/>
            <w:gridSpan w:val="3"/>
          </w:tcPr>
          <w:p>
            <w:pPr>
              <w:ind w:left="400"/>
              <w:spacing w:after="0"/>
              <w:rPr>
                <w:sz w:val="20"/>
                <w:szCs w:val="20"/>
                <w:color w:val="auto"/>
              </w:rPr>
            </w:pPr>
            <w:r>
              <w:rPr>
                <w:rFonts w:ascii="Times New Roman" w:cs="Times New Roman" w:eastAsia="Times New Roman" w:hAnsi="Times New Roman"/>
                <w:sz w:val="18"/>
                <w:szCs w:val="18"/>
                <w:color w:val="auto"/>
              </w:rPr>
              <w:t>Director</w:t>
            </w:r>
          </w:p>
        </w:tc>
      </w:tr>
      <w:tr>
        <w:trPr>
          <w:trHeight w:val="223"/>
        </w:trPr>
        <w:tc>
          <w:tcPr>
            <w:tcW w:w="1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120" w:type="dxa"/>
            <w:vAlign w:val="bottom"/>
            <w:gridSpan w:val="3"/>
          </w:tcPr>
          <w:p>
            <w:pPr>
              <w:jc w:val="center"/>
              <w:ind w:right="1940"/>
              <w:spacing w:after="0"/>
              <w:rPr>
                <w:sz w:val="20"/>
                <w:szCs w:val="20"/>
                <w:color w:val="auto"/>
              </w:rPr>
            </w:pPr>
            <w:r>
              <w:rPr>
                <w:rFonts w:ascii="Times New Roman" w:cs="Times New Roman" w:eastAsia="Times New Roman" w:hAnsi="Times New Roman"/>
                <w:sz w:val="18"/>
                <w:szCs w:val="18"/>
                <w:color w:val="auto"/>
                <w:w w:val="95"/>
              </w:rPr>
              <w:t>Jason G. Weiss</w:t>
            </w:r>
          </w:p>
        </w:tc>
        <w:tc>
          <w:tcPr>
            <w:tcW w:w="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960" w:type="dxa"/>
            <w:vAlign w:val="bottom"/>
          </w:tcPr>
          <w:p>
            <w:pPr>
              <w:spacing w:after="0"/>
              <w:rPr>
                <w:sz w:val="19"/>
                <w:szCs w:val="19"/>
                <w:color w:val="auto"/>
              </w:rPr>
            </w:pPr>
          </w:p>
        </w:tc>
      </w:tr>
      <w:tr>
        <w:trPr>
          <w:trHeight w:val="364"/>
        </w:trPr>
        <w:tc>
          <w:tcPr>
            <w:tcW w:w="1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8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100</w:t>
            </w:r>
          </w:p>
        </w:tc>
        <w:tc>
          <w:tcPr>
            <w:tcW w:w="3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960" w:type="dxa"/>
            <w:vAlign w:val="bottom"/>
          </w:tcPr>
          <w:p>
            <w:pPr>
              <w:spacing w:after="0"/>
              <w:rPr>
                <w:sz w:val="24"/>
                <w:szCs w:val="24"/>
                <w:color w:val="auto"/>
              </w:rPr>
            </w:pPr>
          </w:p>
        </w:tc>
      </w:tr>
    </w:tbl>
    <w:p>
      <w:pPr>
        <w:sectPr>
          <w:pgSz w:w="11900" w:h="16838" w:orient="portrait"/>
          <w:cols w:equalWidth="0" w:num="1">
            <w:col w:w="11360"/>
          </w:cols>
          <w:pgMar w:left="240" w:top="455" w:right="299" w:bottom="1440" w:gutter="0" w:footer="0" w:header="0"/>
        </w:sectPr>
      </w:pPr>
    </w:p>
    <w:bookmarkStart w:id="102" w:name="page103"/>
    <w:bookmarkEnd w:id="10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20" w:type="dxa"/>
            <w:vAlign w:val="bottom"/>
          </w:tcPr>
          <w:p>
            <w:pPr>
              <w:spacing w:after="0"/>
              <w:rPr>
                <w:sz w:val="20"/>
                <w:szCs w:val="20"/>
                <w:color w:val="auto"/>
              </w:rPr>
            </w:pPr>
          </w:p>
        </w:tc>
        <w:tc>
          <w:tcPr>
            <w:tcW w:w="4180" w:type="dxa"/>
            <w:vAlign w:val="bottom"/>
          </w:tcPr>
          <w:p>
            <w:pPr>
              <w:spacing w:after="0"/>
              <w:rPr>
                <w:sz w:val="20"/>
                <w:szCs w:val="20"/>
                <w:color w:val="auto"/>
              </w:rPr>
            </w:pPr>
          </w:p>
        </w:tc>
        <w:tc>
          <w:tcPr>
            <w:tcW w:w="6700" w:type="dxa"/>
            <w:vAlign w:val="bottom"/>
            <w:gridSpan w:val="4"/>
          </w:tcPr>
          <w:p>
            <w:pPr>
              <w:ind w:left="260"/>
              <w:spacing w:after="0"/>
              <w:rPr>
                <w:sz w:val="20"/>
                <w:szCs w:val="20"/>
                <w:color w:val="auto"/>
              </w:rPr>
            </w:pPr>
            <w:r>
              <w:rPr>
                <w:rFonts w:ascii="Times New Roman" w:cs="Times New Roman" w:eastAsia="Times New Roman" w:hAnsi="Times New Roman"/>
                <w:sz w:val="18"/>
                <w:szCs w:val="18"/>
                <w:b w:val="1"/>
                <w:bCs w:val="1"/>
                <w:color w:val="auto"/>
              </w:rPr>
              <w:t>I. EXHIBIT INDEX</w:t>
            </w:r>
          </w:p>
        </w:tc>
      </w:tr>
      <w:tr>
        <w:trPr>
          <w:trHeight w:val="353"/>
        </w:trPr>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96"/>
              </w:rPr>
              <w:t>Number</w:t>
            </w:r>
          </w:p>
        </w:tc>
        <w:tc>
          <w:tcPr>
            <w:tcW w:w="4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w w:val="96"/>
              </w:rPr>
              <w:t>Document Description</w:t>
            </w:r>
          </w:p>
        </w:tc>
        <w:tc>
          <w:tcPr>
            <w:tcW w:w="4360" w:type="dxa"/>
            <w:vAlign w:val="bottom"/>
          </w:tcPr>
          <w:p>
            <w:pPr>
              <w:spacing w:after="0"/>
              <w:rPr>
                <w:sz w:val="24"/>
                <w:szCs w:val="24"/>
                <w:color w:val="auto"/>
              </w:rPr>
            </w:pPr>
          </w:p>
        </w:tc>
      </w:tr>
      <w:tr>
        <w:trPr>
          <w:trHeight w:val="303"/>
        </w:trPr>
        <w:tc>
          <w:tcPr>
            <w:tcW w:w="520" w:type="dxa"/>
            <w:vAlign w:val="bottom"/>
          </w:tcPr>
          <w:p>
            <w:pPr>
              <w:jc w:val="right"/>
              <w:ind w:right="114"/>
              <w:spacing w:after="0"/>
              <w:rPr>
                <w:sz w:val="20"/>
                <w:szCs w:val="20"/>
                <w:color w:val="auto"/>
              </w:rPr>
            </w:pPr>
            <w:r>
              <w:rPr>
                <w:rFonts w:ascii="Times New Roman" w:cs="Times New Roman" w:eastAsia="Times New Roman" w:hAnsi="Times New Roman"/>
                <w:sz w:val="18"/>
                <w:szCs w:val="18"/>
                <w:color w:val="auto"/>
              </w:rPr>
              <w:t>2.1</w:t>
            </w:r>
          </w:p>
        </w:tc>
        <w:tc>
          <w:tcPr>
            <w:tcW w:w="10880" w:type="dxa"/>
            <w:vAlign w:val="bottom"/>
            <w:gridSpan w:val="5"/>
          </w:tcPr>
          <w:p>
            <w:pPr>
              <w:ind w:left="780"/>
              <w:spacing w:after="0"/>
              <w:rPr>
                <w:sz w:val="20"/>
                <w:szCs w:val="20"/>
                <w:color w:val="auto"/>
              </w:rPr>
            </w:pPr>
            <w:r>
              <w:rPr>
                <w:rFonts w:ascii="Times New Roman" w:cs="Times New Roman" w:eastAsia="Times New Roman" w:hAnsi="Times New Roman"/>
                <w:sz w:val="18"/>
                <w:szCs w:val="18"/>
                <w:color w:val="auto"/>
              </w:rPr>
              <w:t>Amended and Restated Agreement and Plan of Merger dated as of December 22, 2003, among Great Lakes Dredge &amp; Dock Corporation,</w:t>
            </w:r>
          </w:p>
        </w:tc>
      </w:tr>
      <w:tr>
        <w:trPr>
          <w:trHeight w:val="228"/>
        </w:trPr>
        <w:tc>
          <w:tcPr>
            <w:tcW w:w="520" w:type="dxa"/>
            <w:vAlign w:val="bottom"/>
          </w:tcPr>
          <w:p>
            <w:pPr>
              <w:spacing w:after="0"/>
              <w:rPr>
                <w:sz w:val="19"/>
                <w:szCs w:val="19"/>
                <w:color w:val="auto"/>
              </w:rPr>
            </w:pPr>
          </w:p>
        </w:tc>
        <w:tc>
          <w:tcPr>
            <w:tcW w:w="10880" w:type="dxa"/>
            <w:vAlign w:val="bottom"/>
            <w:gridSpan w:val="5"/>
          </w:tcPr>
          <w:p>
            <w:pPr>
              <w:ind w:left="780"/>
              <w:spacing w:after="0"/>
              <w:rPr>
                <w:sz w:val="20"/>
                <w:szCs w:val="20"/>
                <w:color w:val="auto"/>
              </w:rPr>
            </w:pPr>
            <w:r>
              <w:rPr>
                <w:rFonts w:ascii="Times New Roman" w:cs="Times New Roman" w:eastAsia="Times New Roman" w:hAnsi="Times New Roman"/>
                <w:sz w:val="18"/>
                <w:szCs w:val="18"/>
                <w:color w:val="auto"/>
              </w:rPr>
              <w:t>GLDD Acquisitions Corp., GLDD Merger Sub, Inc. and Vectura Holding Company LLC. (1)</w:t>
            </w:r>
          </w:p>
        </w:tc>
      </w:tr>
      <w:tr>
        <w:trPr>
          <w:trHeight w:val="312"/>
        </w:trPr>
        <w:tc>
          <w:tcPr>
            <w:tcW w:w="520" w:type="dxa"/>
            <w:vAlign w:val="bottom"/>
          </w:tcPr>
          <w:p>
            <w:pPr>
              <w:jc w:val="right"/>
              <w:ind w:right="114"/>
              <w:spacing w:after="0"/>
              <w:rPr>
                <w:sz w:val="20"/>
                <w:szCs w:val="20"/>
                <w:color w:val="auto"/>
              </w:rPr>
            </w:pPr>
            <w:r>
              <w:rPr>
                <w:rFonts w:ascii="Times New Roman" w:cs="Times New Roman" w:eastAsia="Times New Roman" w:hAnsi="Times New Roman"/>
                <w:sz w:val="18"/>
                <w:szCs w:val="18"/>
                <w:color w:val="auto"/>
              </w:rPr>
              <w:t>2.2</w:t>
            </w:r>
          </w:p>
        </w:tc>
        <w:tc>
          <w:tcPr>
            <w:tcW w:w="10880" w:type="dxa"/>
            <w:vAlign w:val="bottom"/>
            <w:gridSpan w:val="5"/>
          </w:tcPr>
          <w:p>
            <w:pPr>
              <w:ind w:left="780"/>
              <w:spacing w:after="0"/>
              <w:rPr>
                <w:sz w:val="20"/>
                <w:szCs w:val="20"/>
                <w:color w:val="auto"/>
              </w:rPr>
            </w:pPr>
            <w:r>
              <w:rPr>
                <w:rFonts w:ascii="Times New Roman" w:cs="Times New Roman" w:eastAsia="Times New Roman" w:hAnsi="Times New Roman"/>
                <w:sz w:val="18"/>
                <w:szCs w:val="18"/>
                <w:color w:val="auto"/>
              </w:rPr>
              <w:t>Agreement and Plan of Merger by and among GLDD Acquisitions Corp., Aldabra Acquisition Corporation, and certain shareholders of</w:t>
            </w:r>
          </w:p>
        </w:tc>
      </w:tr>
      <w:tr>
        <w:trPr>
          <w:trHeight w:val="228"/>
        </w:trPr>
        <w:tc>
          <w:tcPr>
            <w:tcW w:w="520" w:type="dxa"/>
            <w:vAlign w:val="bottom"/>
          </w:tcPr>
          <w:p>
            <w:pPr>
              <w:spacing w:after="0"/>
              <w:rPr>
                <w:sz w:val="19"/>
                <w:szCs w:val="19"/>
                <w:color w:val="auto"/>
              </w:rPr>
            </w:pPr>
          </w:p>
        </w:tc>
        <w:tc>
          <w:tcPr>
            <w:tcW w:w="10880" w:type="dxa"/>
            <w:vAlign w:val="bottom"/>
            <w:gridSpan w:val="5"/>
          </w:tcPr>
          <w:p>
            <w:pPr>
              <w:ind w:left="780"/>
              <w:spacing w:after="0"/>
              <w:rPr>
                <w:sz w:val="20"/>
                <w:szCs w:val="20"/>
                <w:color w:val="auto"/>
              </w:rPr>
            </w:pPr>
            <w:r>
              <w:rPr>
                <w:rFonts w:ascii="Times New Roman" w:cs="Times New Roman" w:eastAsia="Times New Roman" w:hAnsi="Times New Roman"/>
                <w:sz w:val="18"/>
                <w:szCs w:val="18"/>
                <w:color w:val="auto"/>
              </w:rPr>
              <w:t>Aldabra Acquisition Corporation and GLDD Acquisitions Corp., dated as of June 20, 2006. (2)</w:t>
            </w:r>
          </w:p>
        </w:tc>
      </w:tr>
      <w:tr>
        <w:trPr>
          <w:trHeight w:val="312"/>
        </w:trPr>
        <w:tc>
          <w:tcPr>
            <w:tcW w:w="520" w:type="dxa"/>
            <w:vAlign w:val="bottom"/>
          </w:tcPr>
          <w:p>
            <w:pPr>
              <w:jc w:val="right"/>
              <w:ind w:right="114"/>
              <w:spacing w:after="0"/>
              <w:rPr>
                <w:sz w:val="20"/>
                <w:szCs w:val="20"/>
                <w:color w:val="auto"/>
              </w:rPr>
            </w:pPr>
            <w:r>
              <w:rPr>
                <w:rFonts w:ascii="Times New Roman" w:cs="Times New Roman" w:eastAsia="Times New Roman" w:hAnsi="Times New Roman"/>
                <w:sz w:val="18"/>
                <w:szCs w:val="18"/>
                <w:color w:val="auto"/>
              </w:rPr>
              <w:t>2.3</w:t>
            </w:r>
          </w:p>
        </w:tc>
        <w:tc>
          <w:tcPr>
            <w:tcW w:w="10880" w:type="dxa"/>
            <w:vAlign w:val="bottom"/>
            <w:gridSpan w:val="5"/>
          </w:tcPr>
          <w:p>
            <w:pPr>
              <w:ind w:left="780"/>
              <w:spacing w:after="0"/>
              <w:rPr>
                <w:sz w:val="20"/>
                <w:szCs w:val="20"/>
                <w:color w:val="auto"/>
              </w:rPr>
            </w:pPr>
            <w:r>
              <w:rPr>
                <w:rFonts w:ascii="Times New Roman" w:cs="Times New Roman" w:eastAsia="Times New Roman" w:hAnsi="Times New Roman"/>
                <w:sz w:val="18"/>
                <w:szCs w:val="18"/>
                <w:color w:val="auto"/>
              </w:rPr>
              <w:t>Agreement and Plan of Merger, dated as of August 21, 2006, among Great Lakes Dredge &amp; Dock Holdings Corp., Aldabra Acquisition</w:t>
            </w:r>
          </w:p>
        </w:tc>
      </w:tr>
      <w:tr>
        <w:trPr>
          <w:trHeight w:val="228"/>
        </w:trPr>
        <w:tc>
          <w:tcPr>
            <w:tcW w:w="520" w:type="dxa"/>
            <w:vAlign w:val="bottom"/>
          </w:tcPr>
          <w:p>
            <w:pPr>
              <w:spacing w:after="0"/>
              <w:rPr>
                <w:sz w:val="19"/>
                <w:szCs w:val="19"/>
                <w:color w:val="auto"/>
              </w:rPr>
            </w:pPr>
          </w:p>
        </w:tc>
        <w:tc>
          <w:tcPr>
            <w:tcW w:w="10880" w:type="dxa"/>
            <w:vAlign w:val="bottom"/>
            <w:gridSpan w:val="5"/>
          </w:tcPr>
          <w:p>
            <w:pPr>
              <w:ind w:left="780"/>
              <w:spacing w:after="0"/>
              <w:rPr>
                <w:sz w:val="20"/>
                <w:szCs w:val="20"/>
                <w:color w:val="auto"/>
              </w:rPr>
            </w:pPr>
            <w:r>
              <w:rPr>
                <w:rFonts w:ascii="Times New Roman" w:cs="Times New Roman" w:eastAsia="Times New Roman" w:hAnsi="Times New Roman"/>
                <w:sz w:val="18"/>
                <w:szCs w:val="18"/>
                <w:color w:val="auto"/>
              </w:rPr>
              <w:t>Corporation, and GLH Merger Sub, L.L.C. (3)</w:t>
            </w:r>
          </w:p>
        </w:tc>
      </w:tr>
      <w:tr>
        <w:trPr>
          <w:trHeight w:val="312"/>
        </w:trPr>
        <w:tc>
          <w:tcPr>
            <w:tcW w:w="520" w:type="dxa"/>
            <w:vAlign w:val="bottom"/>
          </w:tcPr>
          <w:p>
            <w:pPr>
              <w:jc w:val="right"/>
              <w:ind w:right="114"/>
              <w:spacing w:after="0"/>
              <w:rPr>
                <w:sz w:val="20"/>
                <w:szCs w:val="20"/>
                <w:color w:val="auto"/>
              </w:rPr>
            </w:pPr>
            <w:r>
              <w:rPr>
                <w:rFonts w:ascii="Times New Roman" w:cs="Times New Roman" w:eastAsia="Times New Roman" w:hAnsi="Times New Roman"/>
                <w:sz w:val="18"/>
                <w:szCs w:val="18"/>
                <w:color w:val="auto"/>
              </w:rPr>
              <w:t>3.1</w:t>
            </w:r>
          </w:p>
        </w:tc>
        <w:tc>
          <w:tcPr>
            <w:tcW w:w="10880" w:type="dxa"/>
            <w:vAlign w:val="bottom"/>
            <w:gridSpan w:val="5"/>
          </w:tcPr>
          <w:p>
            <w:pPr>
              <w:ind w:left="780"/>
              <w:spacing w:after="0"/>
              <w:rPr>
                <w:sz w:val="20"/>
                <w:szCs w:val="20"/>
                <w:color w:val="auto"/>
              </w:rPr>
            </w:pPr>
            <w:r>
              <w:rPr>
                <w:rFonts w:ascii="Times New Roman" w:cs="Times New Roman" w:eastAsia="Times New Roman" w:hAnsi="Times New Roman"/>
                <w:sz w:val="18"/>
                <w:szCs w:val="18"/>
                <w:color w:val="auto"/>
              </w:rPr>
              <w:t>Amended and Restated Certificate of Incorporation of Great Lakes Dredge &amp; Dock Holdings Corp., effective December 26, 2006 (now</w:t>
            </w:r>
          </w:p>
        </w:tc>
      </w:tr>
      <w:tr>
        <w:trPr>
          <w:trHeight w:val="228"/>
        </w:trPr>
        <w:tc>
          <w:tcPr>
            <w:tcW w:w="520" w:type="dxa"/>
            <w:vAlign w:val="bottom"/>
          </w:tcPr>
          <w:p>
            <w:pPr>
              <w:spacing w:after="0"/>
              <w:rPr>
                <w:sz w:val="19"/>
                <w:szCs w:val="19"/>
                <w:color w:val="auto"/>
              </w:rPr>
            </w:pPr>
          </w:p>
        </w:tc>
        <w:tc>
          <w:tcPr>
            <w:tcW w:w="10880" w:type="dxa"/>
            <w:vAlign w:val="bottom"/>
            <w:gridSpan w:val="5"/>
          </w:tcPr>
          <w:p>
            <w:pPr>
              <w:ind w:left="780"/>
              <w:spacing w:after="0"/>
              <w:rPr>
                <w:sz w:val="20"/>
                <w:szCs w:val="20"/>
                <w:color w:val="auto"/>
              </w:rPr>
            </w:pPr>
            <w:r>
              <w:rPr>
                <w:rFonts w:ascii="Times New Roman" w:cs="Times New Roman" w:eastAsia="Times New Roman" w:hAnsi="Times New Roman"/>
                <w:sz w:val="18"/>
                <w:szCs w:val="18"/>
                <w:color w:val="auto"/>
              </w:rPr>
              <w:t>renamed Great Lakes Dredge &amp; Dock Corporation). (4)</w:t>
            </w:r>
          </w:p>
        </w:tc>
      </w:tr>
      <w:tr>
        <w:trPr>
          <w:trHeight w:val="324"/>
        </w:trPr>
        <w:tc>
          <w:tcPr>
            <w:tcW w:w="520" w:type="dxa"/>
            <w:vAlign w:val="bottom"/>
          </w:tcPr>
          <w:p>
            <w:pPr>
              <w:jc w:val="right"/>
              <w:ind w:right="114"/>
              <w:spacing w:after="0"/>
              <w:rPr>
                <w:sz w:val="20"/>
                <w:szCs w:val="20"/>
                <w:color w:val="auto"/>
              </w:rPr>
            </w:pPr>
            <w:r>
              <w:rPr>
                <w:rFonts w:ascii="Times New Roman" w:cs="Times New Roman" w:eastAsia="Times New Roman" w:hAnsi="Times New Roman"/>
                <w:sz w:val="18"/>
                <w:szCs w:val="18"/>
                <w:color w:val="auto"/>
              </w:rPr>
              <w:t>3.2</w:t>
            </w:r>
          </w:p>
        </w:tc>
        <w:tc>
          <w:tcPr>
            <w:tcW w:w="10880" w:type="dxa"/>
            <w:vAlign w:val="bottom"/>
            <w:gridSpan w:val="5"/>
          </w:tcPr>
          <w:p>
            <w:pPr>
              <w:ind w:left="780"/>
              <w:spacing w:after="0"/>
              <w:rPr>
                <w:sz w:val="20"/>
                <w:szCs w:val="20"/>
                <w:color w:val="auto"/>
              </w:rPr>
            </w:pPr>
            <w:r>
              <w:rPr>
                <w:rFonts w:ascii="Times New Roman" w:cs="Times New Roman" w:eastAsia="Times New Roman" w:hAnsi="Times New Roman"/>
                <w:sz w:val="18"/>
                <w:szCs w:val="18"/>
                <w:color w:val="auto"/>
              </w:rPr>
              <w:t>Third Amended and Restated Bylaws of Great Lakes Dredge &amp; Dock Corporation, effective as of March 8, 2011. (5)</w:t>
            </w:r>
          </w:p>
        </w:tc>
      </w:tr>
      <w:tr>
        <w:trPr>
          <w:trHeight w:val="312"/>
        </w:trPr>
        <w:tc>
          <w:tcPr>
            <w:tcW w:w="520" w:type="dxa"/>
            <w:vAlign w:val="bottom"/>
          </w:tcPr>
          <w:p>
            <w:pPr>
              <w:jc w:val="right"/>
              <w:ind w:right="114"/>
              <w:spacing w:after="0"/>
              <w:rPr>
                <w:sz w:val="20"/>
                <w:szCs w:val="20"/>
                <w:color w:val="auto"/>
              </w:rPr>
            </w:pPr>
            <w:r>
              <w:rPr>
                <w:rFonts w:ascii="Times New Roman" w:cs="Times New Roman" w:eastAsia="Times New Roman" w:hAnsi="Times New Roman"/>
                <w:sz w:val="18"/>
                <w:szCs w:val="18"/>
                <w:color w:val="auto"/>
              </w:rPr>
              <w:t>3.3</w:t>
            </w:r>
          </w:p>
        </w:tc>
        <w:tc>
          <w:tcPr>
            <w:tcW w:w="10880" w:type="dxa"/>
            <w:vAlign w:val="bottom"/>
            <w:gridSpan w:val="5"/>
          </w:tcPr>
          <w:p>
            <w:pPr>
              <w:ind w:left="780"/>
              <w:spacing w:after="0"/>
              <w:rPr>
                <w:sz w:val="20"/>
                <w:szCs w:val="20"/>
                <w:color w:val="auto"/>
              </w:rPr>
            </w:pPr>
            <w:r>
              <w:rPr>
                <w:rFonts w:ascii="Times New Roman" w:cs="Times New Roman" w:eastAsia="Times New Roman" w:hAnsi="Times New Roman"/>
                <w:sz w:val="18"/>
                <w:szCs w:val="18"/>
                <w:color w:val="auto"/>
                <w:w w:val="99"/>
              </w:rPr>
              <w:t>Certificate of Ownership and Merger of Great Lakes Dredge &amp; Dock Corporation with and into Great Lakes Dredge &amp; Dock Holdings Corp.</w:t>
            </w:r>
          </w:p>
        </w:tc>
      </w:tr>
      <w:tr>
        <w:trPr>
          <w:trHeight w:val="228"/>
        </w:trPr>
        <w:tc>
          <w:tcPr>
            <w:tcW w:w="520" w:type="dxa"/>
            <w:vAlign w:val="bottom"/>
          </w:tcPr>
          <w:p>
            <w:pPr>
              <w:spacing w:after="0"/>
              <w:rPr>
                <w:sz w:val="19"/>
                <w:szCs w:val="19"/>
                <w:color w:val="auto"/>
              </w:rPr>
            </w:pPr>
          </w:p>
        </w:tc>
        <w:tc>
          <w:tcPr>
            <w:tcW w:w="418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(6)</w:t>
            </w:r>
          </w:p>
        </w:tc>
        <w:tc>
          <w:tcPr>
            <w:tcW w:w="6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4360" w:type="dxa"/>
            <w:vAlign w:val="bottom"/>
          </w:tcPr>
          <w:p>
            <w:pPr>
              <w:spacing w:after="0"/>
              <w:rPr>
                <w:sz w:val="19"/>
                <w:szCs w:val="19"/>
                <w:color w:val="auto"/>
              </w:rPr>
            </w:pPr>
          </w:p>
        </w:tc>
      </w:tr>
      <w:tr>
        <w:trPr>
          <w:trHeight w:val="312"/>
        </w:trPr>
        <w:tc>
          <w:tcPr>
            <w:tcW w:w="520" w:type="dxa"/>
            <w:vAlign w:val="bottom"/>
          </w:tcPr>
          <w:p>
            <w:pPr>
              <w:jc w:val="right"/>
              <w:ind w:right="114"/>
              <w:spacing w:after="0"/>
              <w:rPr>
                <w:sz w:val="20"/>
                <w:szCs w:val="20"/>
                <w:color w:val="auto"/>
              </w:rPr>
            </w:pPr>
            <w:r>
              <w:rPr>
                <w:rFonts w:ascii="Times New Roman" w:cs="Times New Roman" w:eastAsia="Times New Roman" w:hAnsi="Times New Roman"/>
                <w:sz w:val="18"/>
                <w:szCs w:val="18"/>
                <w:color w:val="auto"/>
              </w:rPr>
              <w:t>4.1</w:t>
            </w:r>
          </w:p>
        </w:tc>
        <w:tc>
          <w:tcPr>
            <w:tcW w:w="10880" w:type="dxa"/>
            <w:vAlign w:val="bottom"/>
            <w:gridSpan w:val="5"/>
          </w:tcPr>
          <w:p>
            <w:pPr>
              <w:ind w:left="780"/>
              <w:spacing w:after="0"/>
              <w:rPr>
                <w:sz w:val="20"/>
                <w:szCs w:val="20"/>
                <w:color w:val="auto"/>
              </w:rPr>
            </w:pPr>
            <w:r>
              <w:rPr>
                <w:rFonts w:ascii="Times New Roman" w:cs="Times New Roman" w:eastAsia="Times New Roman" w:hAnsi="Times New Roman"/>
                <w:sz w:val="18"/>
                <w:szCs w:val="18"/>
                <w:color w:val="auto"/>
                <w:w w:val="99"/>
              </w:rPr>
              <w:t>Indenture, dated January 28, 2011, by and among the Company, certain subsidiary guarantors named therein and Wells Fargo Bank, National</w:t>
            </w:r>
          </w:p>
        </w:tc>
      </w:tr>
      <w:tr>
        <w:trPr>
          <w:trHeight w:val="228"/>
        </w:trPr>
        <w:tc>
          <w:tcPr>
            <w:tcW w:w="520" w:type="dxa"/>
            <w:vAlign w:val="bottom"/>
          </w:tcPr>
          <w:p>
            <w:pPr>
              <w:spacing w:after="0"/>
              <w:rPr>
                <w:sz w:val="19"/>
                <w:szCs w:val="19"/>
                <w:color w:val="auto"/>
              </w:rPr>
            </w:pPr>
          </w:p>
        </w:tc>
        <w:tc>
          <w:tcPr>
            <w:tcW w:w="10880" w:type="dxa"/>
            <w:vAlign w:val="bottom"/>
            <w:gridSpan w:val="5"/>
          </w:tcPr>
          <w:p>
            <w:pPr>
              <w:ind w:left="780"/>
              <w:spacing w:after="0"/>
              <w:rPr>
                <w:sz w:val="20"/>
                <w:szCs w:val="20"/>
                <w:color w:val="auto"/>
              </w:rPr>
            </w:pPr>
            <w:r>
              <w:rPr>
                <w:rFonts w:ascii="Times New Roman" w:cs="Times New Roman" w:eastAsia="Times New Roman" w:hAnsi="Times New Roman"/>
                <w:sz w:val="18"/>
                <w:szCs w:val="18"/>
                <w:color w:val="auto"/>
              </w:rPr>
              <w:t>Association, as trustee. (7)</w:t>
            </w:r>
          </w:p>
        </w:tc>
      </w:tr>
      <w:tr>
        <w:trPr>
          <w:trHeight w:val="312"/>
        </w:trPr>
        <w:tc>
          <w:tcPr>
            <w:tcW w:w="520" w:type="dxa"/>
            <w:vAlign w:val="bottom"/>
          </w:tcPr>
          <w:p>
            <w:pPr>
              <w:jc w:val="right"/>
              <w:ind w:right="114"/>
              <w:spacing w:after="0"/>
              <w:rPr>
                <w:sz w:val="20"/>
                <w:szCs w:val="20"/>
                <w:color w:val="auto"/>
              </w:rPr>
            </w:pPr>
            <w:r>
              <w:rPr>
                <w:rFonts w:ascii="Times New Roman" w:cs="Times New Roman" w:eastAsia="Times New Roman" w:hAnsi="Times New Roman"/>
                <w:sz w:val="18"/>
                <w:szCs w:val="18"/>
                <w:color w:val="auto"/>
              </w:rPr>
              <w:t>4.2</w:t>
            </w:r>
          </w:p>
        </w:tc>
        <w:tc>
          <w:tcPr>
            <w:tcW w:w="10880" w:type="dxa"/>
            <w:vAlign w:val="bottom"/>
            <w:gridSpan w:val="5"/>
          </w:tcPr>
          <w:p>
            <w:pPr>
              <w:ind w:left="780"/>
              <w:spacing w:after="0"/>
              <w:rPr>
                <w:sz w:val="20"/>
                <w:szCs w:val="20"/>
                <w:color w:val="auto"/>
              </w:rPr>
            </w:pPr>
            <w:r>
              <w:rPr>
                <w:rFonts w:ascii="Times New Roman" w:cs="Times New Roman" w:eastAsia="Times New Roman" w:hAnsi="Times New Roman"/>
                <w:sz w:val="18"/>
                <w:szCs w:val="18"/>
                <w:color w:val="auto"/>
                <w:w w:val="98"/>
              </w:rPr>
              <w:t>Supplemental Indenture, dated May 6, 2011, among NASDI, LLC, a Delaware limited liability company (the “New Guarantor”), a subsidiary</w:t>
            </w:r>
          </w:p>
        </w:tc>
      </w:tr>
      <w:tr>
        <w:trPr>
          <w:trHeight w:val="216"/>
        </w:trPr>
        <w:tc>
          <w:tcPr>
            <w:tcW w:w="520" w:type="dxa"/>
            <w:vAlign w:val="bottom"/>
          </w:tcPr>
          <w:p>
            <w:pPr>
              <w:spacing w:after="0"/>
              <w:rPr>
                <w:sz w:val="18"/>
                <w:szCs w:val="18"/>
                <w:color w:val="auto"/>
              </w:rPr>
            </w:pPr>
          </w:p>
        </w:tc>
        <w:tc>
          <w:tcPr>
            <w:tcW w:w="10880" w:type="dxa"/>
            <w:vAlign w:val="bottom"/>
            <w:gridSpan w:val="5"/>
          </w:tcPr>
          <w:p>
            <w:pPr>
              <w:ind w:left="780"/>
              <w:spacing w:after="0"/>
              <w:rPr>
                <w:sz w:val="20"/>
                <w:szCs w:val="20"/>
                <w:color w:val="auto"/>
              </w:rPr>
            </w:pPr>
            <w:r>
              <w:rPr>
                <w:rFonts w:ascii="Times New Roman" w:cs="Times New Roman" w:eastAsia="Times New Roman" w:hAnsi="Times New Roman"/>
                <w:sz w:val="18"/>
                <w:szCs w:val="18"/>
                <w:color w:val="auto"/>
              </w:rPr>
              <w:t>of Great Lakes Dredge &amp; Dock Corporation, as issuer (the “Company”), the Company, the existing Guarantors, and Wells Fargo Bank,</w:t>
            </w:r>
          </w:p>
        </w:tc>
      </w:tr>
      <w:tr>
        <w:trPr>
          <w:trHeight w:val="228"/>
        </w:trPr>
        <w:tc>
          <w:tcPr>
            <w:tcW w:w="520" w:type="dxa"/>
            <w:vAlign w:val="bottom"/>
          </w:tcPr>
          <w:p>
            <w:pPr>
              <w:spacing w:after="0"/>
              <w:rPr>
                <w:sz w:val="19"/>
                <w:szCs w:val="19"/>
                <w:color w:val="auto"/>
              </w:rPr>
            </w:pPr>
          </w:p>
        </w:tc>
        <w:tc>
          <w:tcPr>
            <w:tcW w:w="10880" w:type="dxa"/>
            <w:vAlign w:val="bottom"/>
            <w:gridSpan w:val="5"/>
          </w:tcPr>
          <w:p>
            <w:pPr>
              <w:ind w:left="780"/>
              <w:spacing w:after="0"/>
              <w:rPr>
                <w:sz w:val="20"/>
                <w:szCs w:val="20"/>
                <w:color w:val="auto"/>
              </w:rPr>
            </w:pPr>
            <w:r>
              <w:rPr>
                <w:rFonts w:ascii="Times New Roman" w:cs="Times New Roman" w:eastAsia="Times New Roman" w:hAnsi="Times New Roman"/>
                <w:sz w:val="18"/>
                <w:szCs w:val="18"/>
                <w:color w:val="auto"/>
              </w:rPr>
              <w:t>National Association, as trustee. (33)</w:t>
            </w:r>
          </w:p>
        </w:tc>
      </w:tr>
      <w:tr>
        <w:trPr>
          <w:trHeight w:val="312"/>
        </w:trPr>
        <w:tc>
          <w:tcPr>
            <w:tcW w:w="520" w:type="dxa"/>
            <w:vAlign w:val="bottom"/>
          </w:tcPr>
          <w:p>
            <w:pPr>
              <w:jc w:val="right"/>
              <w:ind w:right="114"/>
              <w:spacing w:after="0"/>
              <w:rPr>
                <w:sz w:val="20"/>
                <w:szCs w:val="20"/>
                <w:color w:val="auto"/>
              </w:rPr>
            </w:pPr>
            <w:r>
              <w:rPr>
                <w:rFonts w:ascii="Times New Roman" w:cs="Times New Roman" w:eastAsia="Times New Roman" w:hAnsi="Times New Roman"/>
                <w:sz w:val="18"/>
                <w:szCs w:val="18"/>
                <w:color w:val="auto"/>
              </w:rPr>
              <w:t>4.3</w:t>
            </w:r>
          </w:p>
        </w:tc>
        <w:tc>
          <w:tcPr>
            <w:tcW w:w="10880" w:type="dxa"/>
            <w:vAlign w:val="bottom"/>
            <w:gridSpan w:val="5"/>
          </w:tcPr>
          <w:p>
            <w:pPr>
              <w:ind w:left="780"/>
              <w:spacing w:after="0"/>
              <w:rPr>
                <w:sz w:val="20"/>
                <w:szCs w:val="20"/>
                <w:color w:val="auto"/>
              </w:rPr>
            </w:pPr>
            <w:r>
              <w:rPr>
                <w:rFonts w:ascii="Times New Roman" w:cs="Times New Roman" w:eastAsia="Times New Roman" w:hAnsi="Times New Roman"/>
                <w:sz w:val="18"/>
                <w:szCs w:val="18"/>
                <w:color w:val="auto"/>
              </w:rPr>
              <w:t>Supplemental Indenture, dated January 15, 2013, among Terra Contracting Services, LLC, a Delaware limited liability company (the “New</w:t>
            </w:r>
          </w:p>
        </w:tc>
      </w:tr>
      <w:tr>
        <w:trPr>
          <w:trHeight w:val="216"/>
        </w:trPr>
        <w:tc>
          <w:tcPr>
            <w:tcW w:w="520" w:type="dxa"/>
            <w:vAlign w:val="bottom"/>
          </w:tcPr>
          <w:p>
            <w:pPr>
              <w:spacing w:after="0"/>
              <w:rPr>
                <w:sz w:val="18"/>
                <w:szCs w:val="18"/>
                <w:color w:val="auto"/>
              </w:rPr>
            </w:pPr>
          </w:p>
        </w:tc>
        <w:tc>
          <w:tcPr>
            <w:tcW w:w="10880" w:type="dxa"/>
            <w:vAlign w:val="bottom"/>
            <w:gridSpan w:val="5"/>
          </w:tcPr>
          <w:p>
            <w:pPr>
              <w:ind w:left="780"/>
              <w:spacing w:after="0"/>
              <w:rPr>
                <w:sz w:val="20"/>
                <w:szCs w:val="20"/>
                <w:color w:val="auto"/>
              </w:rPr>
            </w:pPr>
            <w:r>
              <w:rPr>
                <w:rFonts w:ascii="Times New Roman" w:cs="Times New Roman" w:eastAsia="Times New Roman" w:hAnsi="Times New Roman"/>
                <w:sz w:val="18"/>
                <w:szCs w:val="18"/>
                <w:color w:val="auto"/>
                <w:w w:val="98"/>
              </w:rPr>
              <w:t>Guarantor”), a subsidiary of Great Lakes Dredge &amp; Dock Corporation, as issuer (the “Company”), the Company, the existing Guarantors, and</w:t>
            </w:r>
          </w:p>
        </w:tc>
      </w:tr>
      <w:tr>
        <w:trPr>
          <w:trHeight w:val="228"/>
        </w:trPr>
        <w:tc>
          <w:tcPr>
            <w:tcW w:w="520" w:type="dxa"/>
            <w:vAlign w:val="bottom"/>
          </w:tcPr>
          <w:p>
            <w:pPr>
              <w:spacing w:after="0"/>
              <w:rPr>
                <w:sz w:val="19"/>
                <w:szCs w:val="19"/>
                <w:color w:val="auto"/>
              </w:rPr>
            </w:pPr>
          </w:p>
        </w:tc>
        <w:tc>
          <w:tcPr>
            <w:tcW w:w="10880" w:type="dxa"/>
            <w:vAlign w:val="bottom"/>
            <w:gridSpan w:val="5"/>
          </w:tcPr>
          <w:p>
            <w:pPr>
              <w:ind w:left="780"/>
              <w:spacing w:after="0"/>
              <w:rPr>
                <w:sz w:val="20"/>
                <w:szCs w:val="20"/>
                <w:color w:val="auto"/>
              </w:rPr>
            </w:pPr>
            <w:r>
              <w:rPr>
                <w:rFonts w:ascii="Times New Roman" w:cs="Times New Roman" w:eastAsia="Times New Roman" w:hAnsi="Times New Roman"/>
                <w:sz w:val="18"/>
                <w:szCs w:val="18"/>
                <w:color w:val="auto"/>
              </w:rPr>
              <w:t>Wells Fargo Bank, National Association, as trustee *</w:t>
            </w:r>
          </w:p>
        </w:tc>
      </w:tr>
      <w:tr>
        <w:trPr>
          <w:trHeight w:val="286"/>
        </w:trPr>
        <w:tc>
          <w:tcPr>
            <w:tcW w:w="520" w:type="dxa"/>
            <w:vAlign w:val="bottom"/>
          </w:tcPr>
          <w:p>
            <w:pPr>
              <w:jc w:val="right"/>
              <w:ind w:right="114"/>
              <w:spacing w:after="0"/>
              <w:rPr>
                <w:sz w:val="20"/>
                <w:szCs w:val="20"/>
                <w:color w:val="auto"/>
              </w:rPr>
            </w:pPr>
            <w:r>
              <w:rPr>
                <w:rFonts w:ascii="Times New Roman" w:cs="Times New Roman" w:eastAsia="Times New Roman" w:hAnsi="Times New Roman"/>
                <w:sz w:val="18"/>
                <w:szCs w:val="18"/>
                <w:color w:val="auto"/>
              </w:rPr>
              <w:t>4.4</w:t>
            </w:r>
          </w:p>
        </w:tc>
        <w:tc>
          <w:tcPr>
            <w:tcW w:w="10880" w:type="dxa"/>
            <w:vAlign w:val="bottom"/>
            <w:gridSpan w:val="5"/>
          </w:tcPr>
          <w:p>
            <w:pPr>
              <w:ind w:left="780"/>
              <w:spacing w:after="0"/>
              <w:rPr>
                <w:sz w:val="20"/>
                <w:szCs w:val="20"/>
                <w:color w:val="auto"/>
              </w:rPr>
            </w:pPr>
            <w:r>
              <w:rPr>
                <w:rFonts w:ascii="Times New Roman" w:cs="Times New Roman" w:eastAsia="Times New Roman" w:hAnsi="Times New Roman"/>
                <w:sz w:val="18"/>
                <w:szCs w:val="18"/>
                <w:color w:val="auto"/>
              </w:rPr>
              <w:t>Form of 7.375% Senior Note due 2019 (filed as Exhibit A to the Indenture, dated January 28, 2011, by and among the Company, certain</w:t>
            </w:r>
          </w:p>
        </w:tc>
      </w:tr>
      <w:tr>
        <w:trPr>
          <w:trHeight w:val="20"/>
        </w:trPr>
        <w:tc>
          <w:tcPr>
            <w:tcW w:w="52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020" w:type="dxa"/>
            <w:vAlign w:val="bottom"/>
            <w:gridSpan w:val="3"/>
          </w:tcPr>
          <w:p>
            <w:pPr>
              <w:spacing w:after="0" w:line="20" w:lineRule="exact"/>
              <w:rPr>
                <w:sz w:val="1"/>
                <w:szCs w:val="1"/>
                <w:color w:val="auto"/>
              </w:rPr>
            </w:pPr>
          </w:p>
        </w:tc>
      </w:tr>
      <w:tr>
        <w:trPr>
          <w:trHeight w:val="235"/>
        </w:trPr>
        <w:tc>
          <w:tcPr>
            <w:tcW w:w="520" w:type="dxa"/>
            <w:vAlign w:val="bottom"/>
          </w:tcPr>
          <w:p>
            <w:pPr>
              <w:spacing w:after="0"/>
              <w:rPr>
                <w:sz w:val="20"/>
                <w:szCs w:val="20"/>
                <w:color w:val="auto"/>
              </w:rPr>
            </w:pPr>
          </w:p>
        </w:tc>
        <w:tc>
          <w:tcPr>
            <w:tcW w:w="10880" w:type="dxa"/>
            <w:vAlign w:val="bottom"/>
            <w:gridSpan w:val="5"/>
          </w:tcPr>
          <w:p>
            <w:pPr>
              <w:ind w:left="780"/>
              <w:spacing w:after="0"/>
              <w:rPr>
                <w:sz w:val="20"/>
                <w:szCs w:val="20"/>
                <w:color w:val="auto"/>
              </w:rPr>
            </w:pPr>
            <w:r>
              <w:rPr>
                <w:rFonts w:ascii="Times New Roman" w:cs="Times New Roman" w:eastAsia="Times New Roman" w:hAnsi="Times New Roman"/>
                <w:sz w:val="18"/>
                <w:szCs w:val="18"/>
                <w:color w:val="auto"/>
              </w:rPr>
              <w:t>subsidiary guarantors named therein and Wells Fargo Bank, National Association, as trustee). (7)</w:t>
            </w:r>
          </w:p>
        </w:tc>
      </w:tr>
      <w:tr>
        <w:trPr>
          <w:trHeight w:val="324"/>
        </w:trPr>
        <w:tc>
          <w:tcPr>
            <w:tcW w:w="520" w:type="dxa"/>
            <w:vAlign w:val="bottom"/>
          </w:tcPr>
          <w:p>
            <w:pPr>
              <w:jc w:val="right"/>
              <w:ind w:right="114"/>
              <w:spacing w:after="0"/>
              <w:rPr>
                <w:sz w:val="20"/>
                <w:szCs w:val="20"/>
                <w:color w:val="auto"/>
              </w:rPr>
            </w:pPr>
            <w:r>
              <w:rPr>
                <w:rFonts w:ascii="Times New Roman" w:cs="Times New Roman" w:eastAsia="Times New Roman" w:hAnsi="Times New Roman"/>
                <w:sz w:val="18"/>
                <w:szCs w:val="18"/>
                <w:color w:val="auto"/>
              </w:rPr>
              <w:t>4.5</w:t>
            </w:r>
          </w:p>
        </w:tc>
        <w:tc>
          <w:tcPr>
            <w:tcW w:w="10880" w:type="dxa"/>
            <w:vAlign w:val="bottom"/>
            <w:gridSpan w:val="5"/>
          </w:tcPr>
          <w:p>
            <w:pPr>
              <w:ind w:left="780"/>
              <w:spacing w:after="0"/>
              <w:rPr>
                <w:sz w:val="20"/>
                <w:szCs w:val="20"/>
                <w:color w:val="auto"/>
              </w:rPr>
            </w:pPr>
            <w:r>
              <w:rPr>
                <w:rFonts w:ascii="Times New Roman" w:cs="Times New Roman" w:eastAsia="Times New Roman" w:hAnsi="Times New Roman"/>
                <w:sz w:val="18"/>
                <w:szCs w:val="18"/>
                <w:color w:val="auto"/>
              </w:rPr>
              <w:t>Specimen Common Stock Certificate for Great Lakes Dredge &amp; Dock Corporation. (11)</w:t>
            </w:r>
          </w:p>
        </w:tc>
      </w:tr>
      <w:tr>
        <w:trPr>
          <w:trHeight w:val="312"/>
        </w:trPr>
        <w:tc>
          <w:tcPr>
            <w:tcW w:w="520" w:type="dxa"/>
            <w:vAlign w:val="bottom"/>
          </w:tcPr>
          <w:p>
            <w:pPr>
              <w:jc w:val="right"/>
              <w:ind w:right="114"/>
              <w:spacing w:after="0"/>
              <w:rPr>
                <w:sz w:val="20"/>
                <w:szCs w:val="20"/>
                <w:color w:val="auto"/>
              </w:rPr>
            </w:pPr>
            <w:r>
              <w:rPr>
                <w:rFonts w:ascii="Times New Roman" w:cs="Times New Roman" w:eastAsia="Times New Roman" w:hAnsi="Times New Roman"/>
                <w:sz w:val="18"/>
                <w:szCs w:val="18"/>
                <w:color w:val="auto"/>
                <w:w w:val="95"/>
              </w:rPr>
              <w:t>10.1</w:t>
            </w:r>
          </w:p>
        </w:tc>
        <w:tc>
          <w:tcPr>
            <w:tcW w:w="10880" w:type="dxa"/>
            <w:vAlign w:val="bottom"/>
            <w:gridSpan w:val="5"/>
          </w:tcPr>
          <w:p>
            <w:pPr>
              <w:ind w:left="780"/>
              <w:spacing w:after="0"/>
              <w:rPr>
                <w:sz w:val="20"/>
                <w:szCs w:val="20"/>
                <w:color w:val="auto"/>
              </w:rPr>
            </w:pPr>
            <w:r>
              <w:rPr>
                <w:rFonts w:ascii="Times New Roman" w:cs="Times New Roman" w:eastAsia="Times New Roman" w:hAnsi="Times New Roman"/>
                <w:sz w:val="18"/>
                <w:szCs w:val="18"/>
                <w:color w:val="auto"/>
              </w:rPr>
              <w:t>Third Amended and Restated Underwriting and Continuing Indemnity Agreement, dated as of December 22, 2003, among Great Lakes</w:t>
            </w:r>
          </w:p>
        </w:tc>
      </w:tr>
      <w:tr>
        <w:trPr>
          <w:trHeight w:val="216"/>
        </w:trPr>
        <w:tc>
          <w:tcPr>
            <w:tcW w:w="520" w:type="dxa"/>
            <w:vAlign w:val="bottom"/>
          </w:tcPr>
          <w:p>
            <w:pPr>
              <w:spacing w:after="0"/>
              <w:rPr>
                <w:sz w:val="18"/>
                <w:szCs w:val="18"/>
                <w:color w:val="auto"/>
              </w:rPr>
            </w:pPr>
          </w:p>
        </w:tc>
        <w:tc>
          <w:tcPr>
            <w:tcW w:w="10880" w:type="dxa"/>
            <w:vAlign w:val="bottom"/>
            <w:gridSpan w:val="5"/>
          </w:tcPr>
          <w:p>
            <w:pPr>
              <w:ind w:left="780"/>
              <w:spacing w:after="0"/>
              <w:rPr>
                <w:sz w:val="20"/>
                <w:szCs w:val="20"/>
                <w:color w:val="auto"/>
              </w:rPr>
            </w:pPr>
            <w:r>
              <w:rPr>
                <w:rFonts w:ascii="Times New Roman" w:cs="Times New Roman" w:eastAsia="Times New Roman" w:hAnsi="Times New Roman"/>
                <w:sz w:val="18"/>
                <w:szCs w:val="18"/>
                <w:color w:val="auto"/>
                <w:w w:val="98"/>
              </w:rPr>
              <w:t>Dredge &amp; Dock Corporation, certain of its subsidiaries, Travelers Casualty and Surety Company and Travelers Casualty and Surety Company</w:t>
            </w:r>
          </w:p>
        </w:tc>
      </w:tr>
      <w:tr>
        <w:trPr>
          <w:trHeight w:val="228"/>
        </w:trPr>
        <w:tc>
          <w:tcPr>
            <w:tcW w:w="520" w:type="dxa"/>
            <w:vAlign w:val="bottom"/>
          </w:tcPr>
          <w:p>
            <w:pPr>
              <w:spacing w:after="0"/>
              <w:rPr>
                <w:sz w:val="19"/>
                <w:szCs w:val="19"/>
                <w:color w:val="auto"/>
              </w:rPr>
            </w:pPr>
          </w:p>
        </w:tc>
        <w:tc>
          <w:tcPr>
            <w:tcW w:w="10880" w:type="dxa"/>
            <w:vAlign w:val="bottom"/>
            <w:gridSpan w:val="5"/>
          </w:tcPr>
          <w:p>
            <w:pPr>
              <w:ind w:left="780"/>
              <w:spacing w:after="0"/>
              <w:rPr>
                <w:sz w:val="20"/>
                <w:szCs w:val="20"/>
                <w:color w:val="auto"/>
              </w:rPr>
            </w:pPr>
            <w:r>
              <w:rPr>
                <w:rFonts w:ascii="Times New Roman" w:cs="Times New Roman" w:eastAsia="Times New Roman" w:hAnsi="Times New Roman"/>
                <w:sz w:val="18"/>
                <w:szCs w:val="18"/>
                <w:color w:val="auto"/>
              </w:rPr>
              <w:t>of America. (9)</w:t>
            </w:r>
          </w:p>
        </w:tc>
      </w:tr>
      <w:tr>
        <w:trPr>
          <w:trHeight w:val="312"/>
        </w:trPr>
        <w:tc>
          <w:tcPr>
            <w:tcW w:w="520" w:type="dxa"/>
            <w:vAlign w:val="bottom"/>
          </w:tcPr>
          <w:p>
            <w:pPr>
              <w:jc w:val="right"/>
              <w:ind w:right="114"/>
              <w:spacing w:after="0"/>
              <w:rPr>
                <w:sz w:val="20"/>
                <w:szCs w:val="20"/>
                <w:color w:val="auto"/>
              </w:rPr>
            </w:pPr>
            <w:r>
              <w:rPr>
                <w:rFonts w:ascii="Times New Roman" w:cs="Times New Roman" w:eastAsia="Times New Roman" w:hAnsi="Times New Roman"/>
                <w:sz w:val="18"/>
                <w:szCs w:val="18"/>
                <w:color w:val="auto"/>
                <w:w w:val="95"/>
              </w:rPr>
              <w:t>10.2</w:t>
            </w:r>
          </w:p>
        </w:tc>
        <w:tc>
          <w:tcPr>
            <w:tcW w:w="10880" w:type="dxa"/>
            <w:vAlign w:val="bottom"/>
            <w:gridSpan w:val="5"/>
          </w:tcPr>
          <w:p>
            <w:pPr>
              <w:ind w:left="780"/>
              <w:spacing w:after="0"/>
              <w:rPr>
                <w:sz w:val="20"/>
                <w:szCs w:val="20"/>
                <w:color w:val="auto"/>
              </w:rPr>
            </w:pPr>
            <w:r>
              <w:rPr>
                <w:rFonts w:ascii="Times New Roman" w:cs="Times New Roman" w:eastAsia="Times New Roman" w:hAnsi="Times New Roman"/>
                <w:sz w:val="18"/>
                <w:szCs w:val="18"/>
                <w:color w:val="auto"/>
                <w:w w:val="97"/>
              </w:rPr>
              <w:t>First Amendment to Third Amended and Restated Underwriting and Continuing Indemnity Agreement, dated as of September 30, 2004, by and</w:t>
            </w:r>
          </w:p>
        </w:tc>
      </w:tr>
      <w:tr>
        <w:trPr>
          <w:trHeight w:val="216"/>
        </w:trPr>
        <w:tc>
          <w:tcPr>
            <w:tcW w:w="520" w:type="dxa"/>
            <w:vAlign w:val="bottom"/>
          </w:tcPr>
          <w:p>
            <w:pPr>
              <w:spacing w:after="0"/>
              <w:rPr>
                <w:sz w:val="18"/>
                <w:szCs w:val="18"/>
                <w:color w:val="auto"/>
              </w:rPr>
            </w:pPr>
          </w:p>
        </w:tc>
        <w:tc>
          <w:tcPr>
            <w:tcW w:w="10880" w:type="dxa"/>
            <w:vAlign w:val="bottom"/>
            <w:gridSpan w:val="5"/>
          </w:tcPr>
          <w:p>
            <w:pPr>
              <w:ind w:left="780"/>
              <w:spacing w:after="0"/>
              <w:rPr>
                <w:sz w:val="20"/>
                <w:szCs w:val="20"/>
                <w:color w:val="auto"/>
              </w:rPr>
            </w:pPr>
            <w:r>
              <w:rPr>
                <w:rFonts w:ascii="Times New Roman" w:cs="Times New Roman" w:eastAsia="Times New Roman" w:hAnsi="Times New Roman"/>
                <w:sz w:val="18"/>
                <w:szCs w:val="18"/>
                <w:color w:val="auto"/>
                <w:w w:val="99"/>
              </w:rPr>
              <w:t>among Great Lakes Dredge &amp; Dock Corporation, certain of its subsidiaries, Travelers Casualty and Surety Company and Travelers Casualty</w:t>
            </w:r>
          </w:p>
        </w:tc>
      </w:tr>
      <w:tr>
        <w:trPr>
          <w:trHeight w:val="228"/>
        </w:trPr>
        <w:tc>
          <w:tcPr>
            <w:tcW w:w="520" w:type="dxa"/>
            <w:vAlign w:val="bottom"/>
          </w:tcPr>
          <w:p>
            <w:pPr>
              <w:spacing w:after="0"/>
              <w:rPr>
                <w:sz w:val="19"/>
                <w:szCs w:val="19"/>
                <w:color w:val="auto"/>
              </w:rPr>
            </w:pPr>
          </w:p>
        </w:tc>
        <w:tc>
          <w:tcPr>
            <w:tcW w:w="10880" w:type="dxa"/>
            <w:vAlign w:val="bottom"/>
            <w:gridSpan w:val="5"/>
          </w:tcPr>
          <w:p>
            <w:pPr>
              <w:ind w:left="780"/>
              <w:spacing w:after="0"/>
              <w:rPr>
                <w:sz w:val="20"/>
                <w:szCs w:val="20"/>
                <w:color w:val="auto"/>
              </w:rPr>
            </w:pPr>
            <w:r>
              <w:rPr>
                <w:rFonts w:ascii="Times New Roman" w:cs="Times New Roman" w:eastAsia="Times New Roman" w:hAnsi="Times New Roman"/>
                <w:sz w:val="18"/>
                <w:szCs w:val="18"/>
                <w:color w:val="auto"/>
              </w:rPr>
              <w:t>and Surety Company of America. (10)</w:t>
            </w:r>
          </w:p>
        </w:tc>
      </w:tr>
      <w:tr>
        <w:trPr>
          <w:trHeight w:val="312"/>
        </w:trPr>
        <w:tc>
          <w:tcPr>
            <w:tcW w:w="520" w:type="dxa"/>
            <w:vAlign w:val="bottom"/>
          </w:tcPr>
          <w:p>
            <w:pPr>
              <w:jc w:val="right"/>
              <w:ind w:right="114"/>
              <w:spacing w:after="0"/>
              <w:rPr>
                <w:sz w:val="20"/>
                <w:szCs w:val="20"/>
                <w:color w:val="auto"/>
              </w:rPr>
            </w:pPr>
            <w:r>
              <w:rPr>
                <w:rFonts w:ascii="Times New Roman" w:cs="Times New Roman" w:eastAsia="Times New Roman" w:hAnsi="Times New Roman"/>
                <w:sz w:val="18"/>
                <w:szCs w:val="18"/>
                <w:color w:val="auto"/>
                <w:w w:val="95"/>
              </w:rPr>
              <w:t>10.3</w:t>
            </w:r>
          </w:p>
        </w:tc>
        <w:tc>
          <w:tcPr>
            <w:tcW w:w="10880" w:type="dxa"/>
            <w:vAlign w:val="bottom"/>
            <w:gridSpan w:val="5"/>
          </w:tcPr>
          <w:p>
            <w:pPr>
              <w:ind w:left="780"/>
              <w:spacing w:after="0"/>
              <w:rPr>
                <w:sz w:val="20"/>
                <w:szCs w:val="20"/>
                <w:color w:val="auto"/>
              </w:rPr>
            </w:pPr>
            <w:r>
              <w:rPr>
                <w:rFonts w:ascii="Times New Roman" w:cs="Times New Roman" w:eastAsia="Times New Roman" w:hAnsi="Times New Roman"/>
                <w:sz w:val="18"/>
                <w:szCs w:val="18"/>
                <w:color w:val="auto"/>
                <w:w w:val="98"/>
              </w:rPr>
              <w:t>Second Amendment to Third Amended and Restated Underwriting and Continuing Indemnity Agreement, dated as of November 14, 2005, by</w:t>
            </w:r>
          </w:p>
        </w:tc>
      </w:tr>
      <w:tr>
        <w:trPr>
          <w:trHeight w:val="216"/>
        </w:trPr>
        <w:tc>
          <w:tcPr>
            <w:tcW w:w="520" w:type="dxa"/>
            <w:vAlign w:val="bottom"/>
          </w:tcPr>
          <w:p>
            <w:pPr>
              <w:spacing w:after="0"/>
              <w:rPr>
                <w:sz w:val="18"/>
                <w:szCs w:val="18"/>
                <w:color w:val="auto"/>
              </w:rPr>
            </w:pPr>
          </w:p>
        </w:tc>
        <w:tc>
          <w:tcPr>
            <w:tcW w:w="10880" w:type="dxa"/>
            <w:vAlign w:val="bottom"/>
            <w:gridSpan w:val="5"/>
          </w:tcPr>
          <w:p>
            <w:pPr>
              <w:ind w:left="780"/>
              <w:spacing w:after="0"/>
              <w:rPr>
                <w:sz w:val="20"/>
                <w:szCs w:val="20"/>
                <w:color w:val="auto"/>
              </w:rPr>
            </w:pPr>
            <w:r>
              <w:rPr>
                <w:rFonts w:ascii="Times New Roman" w:cs="Times New Roman" w:eastAsia="Times New Roman" w:hAnsi="Times New Roman"/>
                <w:sz w:val="18"/>
                <w:szCs w:val="18"/>
                <w:color w:val="auto"/>
                <w:w w:val="99"/>
              </w:rPr>
              <w:t>and among the Great Lakes Dredge &amp; Dock Corporation, the subsidiaries of Great Lakes Dredge &amp; Dock Company, Travelers Casualty and</w:t>
            </w:r>
          </w:p>
        </w:tc>
      </w:tr>
      <w:tr>
        <w:trPr>
          <w:trHeight w:val="216"/>
        </w:trPr>
        <w:tc>
          <w:tcPr>
            <w:tcW w:w="520" w:type="dxa"/>
            <w:vAlign w:val="bottom"/>
          </w:tcPr>
          <w:p>
            <w:pPr>
              <w:spacing w:after="0"/>
              <w:rPr>
                <w:sz w:val="18"/>
                <w:szCs w:val="18"/>
                <w:color w:val="auto"/>
              </w:rPr>
            </w:pPr>
          </w:p>
        </w:tc>
        <w:tc>
          <w:tcPr>
            <w:tcW w:w="10880" w:type="dxa"/>
            <w:vAlign w:val="bottom"/>
            <w:gridSpan w:val="5"/>
          </w:tcPr>
          <w:p>
            <w:pPr>
              <w:ind w:left="780"/>
              <w:spacing w:after="0"/>
              <w:rPr>
                <w:sz w:val="20"/>
                <w:szCs w:val="20"/>
                <w:color w:val="auto"/>
              </w:rPr>
            </w:pPr>
            <w:r>
              <w:rPr>
                <w:rFonts w:ascii="Times New Roman" w:cs="Times New Roman" w:eastAsia="Times New Roman" w:hAnsi="Times New Roman"/>
                <w:sz w:val="18"/>
                <w:szCs w:val="18"/>
                <w:color w:val="auto"/>
                <w:w w:val="97"/>
              </w:rPr>
              <w:t>Surety Company, United Pacific Insurance Company, Reliance National Insurance Company, Reliance Surety Company and Travelers Casualty</w:t>
            </w:r>
          </w:p>
        </w:tc>
      </w:tr>
      <w:tr>
        <w:trPr>
          <w:trHeight w:val="228"/>
        </w:trPr>
        <w:tc>
          <w:tcPr>
            <w:tcW w:w="520" w:type="dxa"/>
            <w:vAlign w:val="bottom"/>
          </w:tcPr>
          <w:p>
            <w:pPr>
              <w:spacing w:after="0"/>
              <w:rPr>
                <w:sz w:val="19"/>
                <w:szCs w:val="19"/>
                <w:color w:val="auto"/>
              </w:rPr>
            </w:pPr>
          </w:p>
        </w:tc>
        <w:tc>
          <w:tcPr>
            <w:tcW w:w="10880" w:type="dxa"/>
            <w:vAlign w:val="bottom"/>
            <w:gridSpan w:val="5"/>
          </w:tcPr>
          <w:p>
            <w:pPr>
              <w:ind w:left="780"/>
              <w:spacing w:after="0"/>
              <w:rPr>
                <w:sz w:val="20"/>
                <w:szCs w:val="20"/>
                <w:color w:val="auto"/>
              </w:rPr>
            </w:pPr>
            <w:r>
              <w:rPr>
                <w:rFonts w:ascii="Times New Roman" w:cs="Times New Roman" w:eastAsia="Times New Roman" w:hAnsi="Times New Roman"/>
                <w:sz w:val="18"/>
                <w:szCs w:val="18"/>
                <w:color w:val="auto"/>
              </w:rPr>
              <w:t>and Surety Company of America. (13)</w:t>
            </w:r>
          </w:p>
        </w:tc>
      </w:tr>
      <w:tr>
        <w:trPr>
          <w:trHeight w:val="365"/>
        </w:trPr>
        <w:tc>
          <w:tcPr>
            <w:tcW w:w="520" w:type="dxa"/>
            <w:vAlign w:val="bottom"/>
          </w:tcPr>
          <w:p>
            <w:pPr>
              <w:spacing w:after="0"/>
              <w:rPr>
                <w:sz w:val="24"/>
                <w:szCs w:val="24"/>
                <w:color w:val="auto"/>
              </w:rPr>
            </w:pPr>
          </w:p>
        </w:tc>
        <w:tc>
          <w:tcPr>
            <w:tcW w:w="6520" w:type="dxa"/>
            <w:vAlign w:val="bottom"/>
            <w:gridSpan w:val="4"/>
          </w:tcPr>
          <w:p>
            <w:pPr>
              <w:ind w:left="5060"/>
              <w:spacing w:after="0"/>
              <w:rPr>
                <w:sz w:val="20"/>
                <w:szCs w:val="20"/>
                <w:color w:val="auto"/>
              </w:rPr>
            </w:pPr>
            <w:r>
              <w:rPr>
                <w:rFonts w:ascii="Times New Roman" w:cs="Times New Roman" w:eastAsia="Times New Roman" w:hAnsi="Times New Roman"/>
                <w:sz w:val="18"/>
                <w:szCs w:val="18"/>
                <w:color w:val="auto"/>
              </w:rPr>
              <w:t>101</w:t>
            </w:r>
          </w:p>
        </w:tc>
        <w:tc>
          <w:tcPr>
            <w:tcW w:w="4360" w:type="dxa"/>
            <w:vAlign w:val="bottom"/>
          </w:tcPr>
          <w:p>
            <w:pPr>
              <w:spacing w:after="0"/>
              <w:rPr>
                <w:sz w:val="24"/>
                <w:szCs w:val="24"/>
                <w:color w:val="auto"/>
              </w:rPr>
            </w:pPr>
          </w:p>
        </w:tc>
      </w:tr>
    </w:tbl>
    <w:p>
      <w:pPr>
        <w:sectPr>
          <w:pgSz w:w="11900" w:h="16838" w:orient="portrait"/>
          <w:cols w:equalWidth="0" w:num="1">
            <w:col w:w="11400"/>
          </w:cols>
          <w:pgMar w:left="240" w:top="455" w:right="259" w:bottom="1440" w:gutter="0" w:footer="0" w:header="0"/>
        </w:sectPr>
      </w:pPr>
    </w:p>
    <w:bookmarkStart w:id="103" w:name="page104"/>
    <w:bookmarkEnd w:id="10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5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w w:val="96"/>
              </w:rPr>
              <w:t>Number</w:t>
            </w:r>
          </w:p>
        </w:tc>
        <w:tc>
          <w:tcPr>
            <w:tcW w:w="5100" w:type="dxa"/>
            <w:vAlign w:val="bottom"/>
          </w:tcPr>
          <w:p>
            <w:pPr>
              <w:spacing w:after="0"/>
              <w:rPr>
                <w:sz w:val="14"/>
                <w:szCs w:val="14"/>
                <w:color w:val="auto"/>
              </w:rPr>
            </w:pPr>
          </w:p>
        </w:tc>
        <w:tc>
          <w:tcPr>
            <w:tcW w:w="13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w w:val="98"/>
              </w:rPr>
              <w:t>Document Description</w:t>
            </w:r>
          </w:p>
        </w:tc>
        <w:tc>
          <w:tcPr>
            <w:tcW w:w="4400" w:type="dxa"/>
            <w:vAlign w:val="bottom"/>
          </w:tcPr>
          <w:p>
            <w:pPr>
              <w:spacing w:after="0"/>
              <w:rPr>
                <w:sz w:val="14"/>
                <w:szCs w:val="14"/>
                <w:color w:val="auto"/>
              </w:rPr>
            </w:pPr>
          </w:p>
        </w:tc>
      </w:tr>
      <w:tr>
        <w:trPr>
          <w:trHeight w:val="303"/>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0880" w:type="dxa"/>
            <w:vAlign w:val="bottom"/>
            <w:gridSpan w:val="3"/>
          </w:tcPr>
          <w:p>
            <w:pPr>
              <w:ind w:left="660"/>
              <w:spacing w:after="0"/>
              <w:rPr>
                <w:sz w:val="20"/>
                <w:szCs w:val="20"/>
                <w:color w:val="auto"/>
              </w:rPr>
            </w:pPr>
            <w:r>
              <w:rPr>
                <w:rFonts w:ascii="Times New Roman" w:cs="Times New Roman" w:eastAsia="Times New Roman" w:hAnsi="Times New Roman"/>
                <w:sz w:val="18"/>
                <w:szCs w:val="18"/>
                <w:color w:val="auto"/>
                <w:w w:val="98"/>
              </w:rPr>
              <w:t>Third Amendment to Third Amended and Restated Underwriting and Continuing Indemnity Agreement dated as of September 28, 2006, by and</w:t>
            </w:r>
          </w:p>
        </w:tc>
      </w:tr>
      <w:tr>
        <w:trPr>
          <w:trHeight w:val="216"/>
        </w:trPr>
        <w:tc>
          <w:tcPr>
            <w:tcW w:w="520" w:type="dxa"/>
            <w:vAlign w:val="bottom"/>
          </w:tcPr>
          <w:p>
            <w:pPr>
              <w:spacing w:after="0"/>
              <w:rPr>
                <w:sz w:val="18"/>
                <w:szCs w:val="18"/>
                <w:color w:val="auto"/>
              </w:rPr>
            </w:pPr>
          </w:p>
        </w:tc>
        <w:tc>
          <w:tcPr>
            <w:tcW w:w="10880" w:type="dxa"/>
            <w:vAlign w:val="bottom"/>
            <w:gridSpan w:val="3"/>
          </w:tcPr>
          <w:p>
            <w:pPr>
              <w:ind w:left="660"/>
              <w:spacing w:after="0"/>
              <w:rPr>
                <w:sz w:val="20"/>
                <w:szCs w:val="20"/>
                <w:color w:val="auto"/>
              </w:rPr>
            </w:pPr>
            <w:r>
              <w:rPr>
                <w:rFonts w:ascii="Times New Roman" w:cs="Times New Roman" w:eastAsia="Times New Roman" w:hAnsi="Times New Roman"/>
                <w:sz w:val="18"/>
                <w:szCs w:val="18"/>
                <w:color w:val="auto"/>
                <w:w w:val="97"/>
              </w:rPr>
              <w:t>among Great Lakes Dredge &amp; Dock Corporation, certain of its subsidiaries, Travelers Casualty and Surety Company and Travelers Casualty and</w:t>
            </w:r>
          </w:p>
        </w:tc>
      </w:tr>
      <w:tr>
        <w:trPr>
          <w:trHeight w:val="228"/>
        </w:trPr>
        <w:tc>
          <w:tcPr>
            <w:tcW w:w="520" w:type="dxa"/>
            <w:vAlign w:val="bottom"/>
          </w:tcPr>
          <w:p>
            <w:pPr>
              <w:spacing w:after="0"/>
              <w:rPr>
                <w:sz w:val="19"/>
                <w:szCs w:val="19"/>
                <w:color w:val="auto"/>
              </w:rPr>
            </w:pPr>
          </w:p>
        </w:tc>
        <w:tc>
          <w:tcPr>
            <w:tcW w:w="10880" w:type="dxa"/>
            <w:vAlign w:val="bottom"/>
            <w:gridSpan w:val="3"/>
          </w:tcPr>
          <w:p>
            <w:pPr>
              <w:ind w:left="660"/>
              <w:spacing w:after="0"/>
              <w:rPr>
                <w:sz w:val="20"/>
                <w:szCs w:val="20"/>
                <w:color w:val="auto"/>
              </w:rPr>
            </w:pPr>
            <w:r>
              <w:rPr>
                <w:rFonts w:ascii="Times New Roman" w:cs="Times New Roman" w:eastAsia="Times New Roman" w:hAnsi="Times New Roman"/>
                <w:sz w:val="18"/>
                <w:szCs w:val="18"/>
                <w:color w:val="auto"/>
              </w:rPr>
              <w:t>Surety Company of America. (14)</w:t>
            </w:r>
          </w:p>
        </w:tc>
      </w:tr>
      <w:tr>
        <w:trPr>
          <w:trHeight w:val="312"/>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10.5</w:t>
            </w:r>
          </w:p>
        </w:tc>
        <w:tc>
          <w:tcPr>
            <w:tcW w:w="10880" w:type="dxa"/>
            <w:vAlign w:val="bottom"/>
            <w:gridSpan w:val="3"/>
          </w:tcPr>
          <w:p>
            <w:pPr>
              <w:ind w:left="660"/>
              <w:spacing w:after="0"/>
              <w:rPr>
                <w:sz w:val="20"/>
                <w:szCs w:val="20"/>
                <w:color w:val="auto"/>
              </w:rPr>
            </w:pPr>
            <w:r>
              <w:rPr>
                <w:rFonts w:ascii="Times New Roman" w:cs="Times New Roman" w:eastAsia="Times New Roman" w:hAnsi="Times New Roman"/>
                <w:sz w:val="18"/>
                <w:szCs w:val="18"/>
                <w:color w:val="auto"/>
              </w:rPr>
              <w:t>Fourth Amendment to Third Amended and Restated Underwriting and Continuing Indemnity Agreement dated as of June 12, 2007, by and</w:t>
            </w:r>
          </w:p>
        </w:tc>
      </w:tr>
      <w:tr>
        <w:trPr>
          <w:trHeight w:val="228"/>
        </w:trPr>
        <w:tc>
          <w:tcPr>
            <w:tcW w:w="520" w:type="dxa"/>
            <w:vAlign w:val="bottom"/>
          </w:tcPr>
          <w:p>
            <w:pPr>
              <w:spacing w:after="0"/>
              <w:rPr>
                <w:sz w:val="19"/>
                <w:szCs w:val="19"/>
                <w:color w:val="auto"/>
              </w:rPr>
            </w:pPr>
          </w:p>
        </w:tc>
        <w:tc>
          <w:tcPr>
            <w:tcW w:w="10880" w:type="dxa"/>
            <w:vAlign w:val="bottom"/>
            <w:gridSpan w:val="3"/>
          </w:tcPr>
          <w:p>
            <w:pPr>
              <w:ind w:left="660"/>
              <w:spacing w:after="0"/>
              <w:rPr>
                <w:sz w:val="20"/>
                <w:szCs w:val="20"/>
                <w:color w:val="auto"/>
              </w:rPr>
            </w:pPr>
            <w:r>
              <w:rPr>
                <w:rFonts w:ascii="Times New Roman" w:cs="Times New Roman" w:eastAsia="Times New Roman" w:hAnsi="Times New Roman"/>
                <w:sz w:val="18"/>
                <w:szCs w:val="18"/>
                <w:color w:val="auto"/>
              </w:rPr>
              <w:t>among Great Lakes Dredge &amp; Dock Corporation, certain of its subsidiaries, Travelers Casualty and Surety Company of America. (18)</w:t>
            </w:r>
          </w:p>
        </w:tc>
      </w:tr>
      <w:tr>
        <w:trPr>
          <w:trHeight w:val="312"/>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10.6</w:t>
            </w:r>
          </w:p>
        </w:tc>
        <w:tc>
          <w:tcPr>
            <w:tcW w:w="10880" w:type="dxa"/>
            <w:vAlign w:val="bottom"/>
            <w:gridSpan w:val="3"/>
          </w:tcPr>
          <w:p>
            <w:pPr>
              <w:ind w:left="660"/>
              <w:spacing w:after="0"/>
              <w:rPr>
                <w:sz w:val="20"/>
                <w:szCs w:val="20"/>
                <w:color w:val="auto"/>
              </w:rPr>
            </w:pPr>
            <w:r>
              <w:rPr>
                <w:rFonts w:ascii="Times New Roman" w:cs="Times New Roman" w:eastAsia="Times New Roman" w:hAnsi="Times New Roman"/>
                <w:sz w:val="18"/>
                <w:szCs w:val="18"/>
                <w:color w:val="auto"/>
                <w:w w:val="97"/>
              </w:rPr>
              <w:t>Fifth Amendment to Third Amended and Restated Underwriting and Continuing Indemnity Agreement dated as of April 27, 2009, by and among</w:t>
            </w:r>
          </w:p>
        </w:tc>
      </w:tr>
      <w:tr>
        <w:trPr>
          <w:trHeight w:val="228"/>
        </w:trPr>
        <w:tc>
          <w:tcPr>
            <w:tcW w:w="520" w:type="dxa"/>
            <w:vAlign w:val="bottom"/>
          </w:tcPr>
          <w:p>
            <w:pPr>
              <w:spacing w:after="0"/>
              <w:rPr>
                <w:sz w:val="19"/>
                <w:szCs w:val="19"/>
                <w:color w:val="auto"/>
              </w:rPr>
            </w:pPr>
          </w:p>
        </w:tc>
        <w:tc>
          <w:tcPr>
            <w:tcW w:w="10880" w:type="dxa"/>
            <w:vAlign w:val="bottom"/>
            <w:gridSpan w:val="3"/>
          </w:tcPr>
          <w:p>
            <w:pPr>
              <w:ind w:left="660"/>
              <w:spacing w:after="0"/>
              <w:rPr>
                <w:sz w:val="20"/>
                <w:szCs w:val="20"/>
                <w:color w:val="auto"/>
              </w:rPr>
            </w:pPr>
            <w:r>
              <w:rPr>
                <w:rFonts w:ascii="Times New Roman" w:cs="Times New Roman" w:eastAsia="Times New Roman" w:hAnsi="Times New Roman"/>
                <w:sz w:val="18"/>
                <w:szCs w:val="18"/>
                <w:color w:val="auto"/>
              </w:rPr>
              <w:t>Great Lakes Dredge &amp; Dock Corporation, certain of its subsidiaries, Travelers Casualty and Surety Company of America. (15)</w:t>
            </w:r>
          </w:p>
        </w:tc>
      </w:tr>
      <w:tr>
        <w:trPr>
          <w:trHeight w:val="312"/>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10.7</w:t>
            </w:r>
          </w:p>
        </w:tc>
        <w:tc>
          <w:tcPr>
            <w:tcW w:w="10880" w:type="dxa"/>
            <w:vAlign w:val="bottom"/>
            <w:gridSpan w:val="3"/>
          </w:tcPr>
          <w:p>
            <w:pPr>
              <w:ind w:left="660"/>
              <w:spacing w:after="0"/>
              <w:rPr>
                <w:sz w:val="20"/>
                <w:szCs w:val="20"/>
                <w:color w:val="auto"/>
              </w:rPr>
            </w:pPr>
            <w:r>
              <w:rPr>
                <w:rFonts w:ascii="Times New Roman" w:cs="Times New Roman" w:eastAsia="Times New Roman" w:hAnsi="Times New Roman"/>
                <w:sz w:val="18"/>
                <w:szCs w:val="18"/>
                <w:color w:val="auto"/>
                <w:w w:val="98"/>
              </w:rPr>
              <w:t>Sixth Amendment to Third Amended and Restated Underwriting and Continuing Indemnity Agreement, dated January 24, 2011, by and among</w:t>
            </w:r>
          </w:p>
        </w:tc>
      </w:tr>
      <w:tr>
        <w:trPr>
          <w:trHeight w:val="216"/>
        </w:trPr>
        <w:tc>
          <w:tcPr>
            <w:tcW w:w="520" w:type="dxa"/>
            <w:vAlign w:val="bottom"/>
          </w:tcPr>
          <w:p>
            <w:pPr>
              <w:spacing w:after="0"/>
              <w:rPr>
                <w:sz w:val="18"/>
                <w:szCs w:val="18"/>
                <w:color w:val="auto"/>
              </w:rPr>
            </w:pPr>
          </w:p>
        </w:tc>
        <w:tc>
          <w:tcPr>
            <w:tcW w:w="10880" w:type="dxa"/>
            <w:vAlign w:val="bottom"/>
            <w:gridSpan w:val="3"/>
          </w:tcPr>
          <w:p>
            <w:pPr>
              <w:ind w:left="660"/>
              <w:spacing w:after="0"/>
              <w:rPr>
                <w:sz w:val="20"/>
                <w:szCs w:val="20"/>
                <w:color w:val="auto"/>
              </w:rPr>
            </w:pPr>
            <w:r>
              <w:rPr>
                <w:rFonts w:ascii="Times New Roman" w:cs="Times New Roman" w:eastAsia="Times New Roman" w:hAnsi="Times New Roman"/>
                <w:sz w:val="18"/>
                <w:szCs w:val="18"/>
                <w:color w:val="auto"/>
              </w:rPr>
              <w:t>the Company, the subsidiaries of the Company party thereto, Travelers Casualty and Surety Company and Travelers Casualty and Surety</w:t>
            </w:r>
          </w:p>
        </w:tc>
      </w:tr>
      <w:tr>
        <w:trPr>
          <w:trHeight w:val="228"/>
        </w:trPr>
        <w:tc>
          <w:tcPr>
            <w:tcW w:w="520" w:type="dxa"/>
            <w:vAlign w:val="bottom"/>
          </w:tcPr>
          <w:p>
            <w:pPr>
              <w:spacing w:after="0"/>
              <w:rPr>
                <w:sz w:val="19"/>
                <w:szCs w:val="19"/>
                <w:color w:val="auto"/>
              </w:rPr>
            </w:pPr>
          </w:p>
        </w:tc>
        <w:tc>
          <w:tcPr>
            <w:tcW w:w="10880" w:type="dxa"/>
            <w:vAlign w:val="bottom"/>
            <w:gridSpan w:val="3"/>
          </w:tcPr>
          <w:p>
            <w:pPr>
              <w:ind w:left="660"/>
              <w:spacing w:after="0"/>
              <w:rPr>
                <w:sz w:val="20"/>
                <w:szCs w:val="20"/>
                <w:color w:val="auto"/>
              </w:rPr>
            </w:pPr>
            <w:r>
              <w:rPr>
                <w:rFonts w:ascii="Times New Roman" w:cs="Times New Roman" w:eastAsia="Times New Roman" w:hAnsi="Times New Roman"/>
                <w:sz w:val="18"/>
                <w:szCs w:val="18"/>
                <w:color w:val="auto"/>
              </w:rPr>
              <w:t>Company of America. (7)</w:t>
            </w:r>
          </w:p>
        </w:tc>
      </w:tr>
      <w:tr>
        <w:trPr>
          <w:trHeight w:val="312"/>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10.8</w:t>
            </w:r>
          </w:p>
        </w:tc>
        <w:tc>
          <w:tcPr>
            <w:tcW w:w="10880" w:type="dxa"/>
            <w:vAlign w:val="bottom"/>
            <w:gridSpan w:val="3"/>
          </w:tcPr>
          <w:p>
            <w:pPr>
              <w:ind w:left="660"/>
              <w:spacing w:after="0"/>
              <w:rPr>
                <w:sz w:val="20"/>
                <w:szCs w:val="20"/>
                <w:color w:val="auto"/>
              </w:rPr>
            </w:pPr>
            <w:r>
              <w:rPr>
                <w:rFonts w:ascii="Times New Roman" w:cs="Times New Roman" w:eastAsia="Times New Roman" w:hAnsi="Times New Roman"/>
                <w:sz w:val="18"/>
                <w:szCs w:val="18"/>
                <w:color w:val="auto"/>
                <w:w w:val="99"/>
              </w:rPr>
              <w:t>Seventh Amendment to Third Amended and Restated Underwriting and Continuing Indemnity Agreement, dated as of November 11, 2011, by</w:t>
            </w:r>
          </w:p>
        </w:tc>
      </w:tr>
      <w:tr>
        <w:trPr>
          <w:trHeight w:val="216"/>
        </w:trPr>
        <w:tc>
          <w:tcPr>
            <w:tcW w:w="520" w:type="dxa"/>
            <w:vAlign w:val="bottom"/>
          </w:tcPr>
          <w:p>
            <w:pPr>
              <w:spacing w:after="0"/>
              <w:rPr>
                <w:sz w:val="18"/>
                <w:szCs w:val="18"/>
                <w:color w:val="auto"/>
              </w:rPr>
            </w:pPr>
          </w:p>
        </w:tc>
        <w:tc>
          <w:tcPr>
            <w:tcW w:w="10880" w:type="dxa"/>
            <w:vAlign w:val="bottom"/>
            <w:gridSpan w:val="3"/>
          </w:tcPr>
          <w:p>
            <w:pPr>
              <w:ind w:left="660"/>
              <w:spacing w:after="0"/>
              <w:rPr>
                <w:sz w:val="20"/>
                <w:szCs w:val="20"/>
                <w:color w:val="auto"/>
              </w:rPr>
            </w:pPr>
            <w:r>
              <w:rPr>
                <w:rFonts w:ascii="Times New Roman" w:cs="Times New Roman" w:eastAsia="Times New Roman" w:hAnsi="Times New Roman"/>
                <w:sz w:val="18"/>
                <w:szCs w:val="18"/>
                <w:color w:val="auto"/>
                <w:w w:val="97"/>
              </w:rPr>
              <w:t>and among Great Lakes Dredge &amp; Dock Corporation, certain of its subsidiaries, Travelers Casualty and Surety Company and Travelers Casualty</w:t>
            </w:r>
          </w:p>
        </w:tc>
      </w:tr>
      <w:tr>
        <w:trPr>
          <w:trHeight w:val="228"/>
        </w:trPr>
        <w:tc>
          <w:tcPr>
            <w:tcW w:w="520" w:type="dxa"/>
            <w:vAlign w:val="bottom"/>
          </w:tcPr>
          <w:p>
            <w:pPr>
              <w:spacing w:after="0"/>
              <w:rPr>
                <w:sz w:val="19"/>
                <w:szCs w:val="19"/>
                <w:color w:val="auto"/>
              </w:rPr>
            </w:pPr>
          </w:p>
        </w:tc>
        <w:tc>
          <w:tcPr>
            <w:tcW w:w="10880" w:type="dxa"/>
            <w:vAlign w:val="bottom"/>
            <w:gridSpan w:val="3"/>
          </w:tcPr>
          <w:p>
            <w:pPr>
              <w:ind w:left="660"/>
              <w:spacing w:after="0"/>
              <w:rPr>
                <w:sz w:val="20"/>
                <w:szCs w:val="20"/>
                <w:color w:val="auto"/>
              </w:rPr>
            </w:pPr>
            <w:r>
              <w:rPr>
                <w:rFonts w:ascii="Times New Roman" w:cs="Times New Roman" w:eastAsia="Times New Roman" w:hAnsi="Times New Roman"/>
                <w:sz w:val="18"/>
                <w:szCs w:val="18"/>
                <w:color w:val="auto"/>
              </w:rPr>
              <w:t>and Surety Company of America. (26)</w:t>
            </w:r>
          </w:p>
        </w:tc>
      </w:tr>
      <w:tr>
        <w:trPr>
          <w:trHeight w:val="312"/>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10.9</w:t>
            </w:r>
          </w:p>
        </w:tc>
        <w:tc>
          <w:tcPr>
            <w:tcW w:w="10880" w:type="dxa"/>
            <w:vAlign w:val="bottom"/>
            <w:gridSpan w:val="3"/>
          </w:tcPr>
          <w:p>
            <w:pPr>
              <w:ind w:left="660"/>
              <w:spacing w:after="0"/>
              <w:rPr>
                <w:sz w:val="20"/>
                <w:szCs w:val="20"/>
                <w:color w:val="auto"/>
              </w:rPr>
            </w:pPr>
            <w:r>
              <w:rPr>
                <w:rFonts w:ascii="Times New Roman" w:cs="Times New Roman" w:eastAsia="Times New Roman" w:hAnsi="Times New Roman"/>
                <w:sz w:val="18"/>
                <w:szCs w:val="18"/>
                <w:color w:val="auto"/>
                <w:w w:val="99"/>
              </w:rPr>
              <w:t>International Letter of Credit Agreement, dated September 29, 2006, by and among Great Lakes Dredge &amp; Dock Corporation and Wells Fargo</w:t>
            </w:r>
          </w:p>
        </w:tc>
      </w:tr>
      <w:tr>
        <w:trPr>
          <w:trHeight w:val="216"/>
        </w:trPr>
        <w:tc>
          <w:tcPr>
            <w:tcW w:w="520" w:type="dxa"/>
            <w:vAlign w:val="bottom"/>
          </w:tcPr>
          <w:p>
            <w:pPr>
              <w:spacing w:after="0"/>
              <w:rPr>
                <w:sz w:val="18"/>
                <w:szCs w:val="18"/>
                <w:color w:val="auto"/>
              </w:rPr>
            </w:pPr>
          </w:p>
        </w:tc>
        <w:tc>
          <w:tcPr>
            <w:tcW w:w="10880" w:type="dxa"/>
            <w:vAlign w:val="bottom"/>
            <w:gridSpan w:val="3"/>
          </w:tcPr>
          <w:p>
            <w:pPr>
              <w:ind w:left="660"/>
              <w:spacing w:after="0"/>
              <w:rPr>
                <w:sz w:val="20"/>
                <w:szCs w:val="20"/>
                <w:color w:val="auto"/>
              </w:rPr>
            </w:pPr>
            <w:r>
              <w:rPr>
                <w:rFonts w:ascii="Times New Roman" w:cs="Times New Roman" w:eastAsia="Times New Roman" w:hAnsi="Times New Roman"/>
                <w:sz w:val="18"/>
                <w:szCs w:val="18"/>
                <w:color w:val="auto"/>
                <w:w w:val="97"/>
              </w:rPr>
              <w:t>Bank, National Association, as successor by merger to Wells Fargo HSBC Trade Bank, as amended (the “International Letter of Credit Facility”).</w:t>
            </w:r>
          </w:p>
        </w:tc>
      </w:tr>
      <w:tr>
        <w:trPr>
          <w:trHeight w:val="228"/>
        </w:trPr>
        <w:tc>
          <w:tcPr>
            <w:tcW w:w="520" w:type="dxa"/>
            <w:vAlign w:val="bottom"/>
          </w:tcPr>
          <w:p>
            <w:pPr>
              <w:spacing w:after="0"/>
              <w:rPr>
                <w:sz w:val="19"/>
                <w:szCs w:val="19"/>
                <w:color w:val="auto"/>
              </w:rPr>
            </w:pPr>
          </w:p>
        </w:tc>
        <w:tc>
          <w:tcPr>
            <w:tcW w:w="51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(23)</w:t>
            </w:r>
          </w:p>
        </w:tc>
        <w:tc>
          <w:tcPr>
            <w:tcW w:w="1380" w:type="dxa"/>
            <w:vAlign w:val="bottom"/>
          </w:tcPr>
          <w:p>
            <w:pPr>
              <w:spacing w:after="0"/>
              <w:rPr>
                <w:sz w:val="19"/>
                <w:szCs w:val="19"/>
                <w:color w:val="auto"/>
              </w:rPr>
            </w:pPr>
          </w:p>
        </w:tc>
        <w:tc>
          <w:tcPr>
            <w:tcW w:w="4400" w:type="dxa"/>
            <w:vAlign w:val="bottom"/>
          </w:tcPr>
          <w:p>
            <w:pPr>
              <w:spacing w:after="0"/>
              <w:rPr>
                <w:sz w:val="19"/>
                <w:szCs w:val="19"/>
                <w:color w:val="auto"/>
              </w:rPr>
            </w:pPr>
          </w:p>
        </w:tc>
      </w:tr>
      <w:tr>
        <w:trPr>
          <w:trHeight w:val="312"/>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10.10</w:t>
            </w:r>
          </w:p>
        </w:tc>
        <w:tc>
          <w:tcPr>
            <w:tcW w:w="10880" w:type="dxa"/>
            <w:vAlign w:val="bottom"/>
            <w:gridSpan w:val="3"/>
          </w:tcPr>
          <w:p>
            <w:pPr>
              <w:ind w:left="660"/>
              <w:spacing w:after="0"/>
              <w:rPr>
                <w:sz w:val="20"/>
                <w:szCs w:val="20"/>
                <w:color w:val="auto"/>
              </w:rPr>
            </w:pPr>
            <w:r>
              <w:rPr>
                <w:rFonts w:ascii="Times New Roman" w:cs="Times New Roman" w:eastAsia="Times New Roman" w:hAnsi="Times New Roman"/>
                <w:sz w:val="18"/>
                <w:szCs w:val="18"/>
                <w:color w:val="auto"/>
                <w:w w:val="98"/>
              </w:rPr>
              <w:t>First Amendment to International Letter of Credit Agreement, dated July 16, 2007, by and among Great Lakes Dredge &amp; Dock Corporation and</w:t>
            </w:r>
          </w:p>
        </w:tc>
      </w:tr>
      <w:tr>
        <w:trPr>
          <w:trHeight w:val="216"/>
        </w:trPr>
        <w:tc>
          <w:tcPr>
            <w:tcW w:w="520" w:type="dxa"/>
            <w:vAlign w:val="bottom"/>
          </w:tcPr>
          <w:p>
            <w:pPr>
              <w:spacing w:after="0"/>
              <w:rPr>
                <w:sz w:val="18"/>
                <w:szCs w:val="18"/>
                <w:color w:val="auto"/>
              </w:rPr>
            </w:pPr>
          </w:p>
        </w:tc>
        <w:tc>
          <w:tcPr>
            <w:tcW w:w="10880" w:type="dxa"/>
            <w:vAlign w:val="bottom"/>
            <w:gridSpan w:val="3"/>
          </w:tcPr>
          <w:p>
            <w:pPr>
              <w:ind w:left="660"/>
              <w:spacing w:after="0"/>
              <w:rPr>
                <w:sz w:val="20"/>
                <w:szCs w:val="20"/>
                <w:color w:val="auto"/>
              </w:rPr>
            </w:pPr>
            <w:r>
              <w:rPr>
                <w:rFonts w:ascii="Times New Roman" w:cs="Times New Roman" w:eastAsia="Times New Roman" w:hAnsi="Times New Roman"/>
                <w:sz w:val="18"/>
                <w:szCs w:val="18"/>
                <w:color w:val="auto"/>
              </w:rPr>
              <w:t>Wells Fargo Bank, National Association, as successor by merger to Wells Fargo HSBC Trade Bank, as amended (the “International Letter of</w:t>
            </w:r>
          </w:p>
        </w:tc>
      </w:tr>
      <w:tr>
        <w:trPr>
          <w:trHeight w:val="228"/>
        </w:trPr>
        <w:tc>
          <w:tcPr>
            <w:tcW w:w="520" w:type="dxa"/>
            <w:vAlign w:val="bottom"/>
          </w:tcPr>
          <w:p>
            <w:pPr>
              <w:spacing w:after="0"/>
              <w:rPr>
                <w:sz w:val="19"/>
                <w:szCs w:val="19"/>
                <w:color w:val="auto"/>
              </w:rPr>
            </w:pPr>
          </w:p>
        </w:tc>
        <w:tc>
          <w:tcPr>
            <w:tcW w:w="10880" w:type="dxa"/>
            <w:vAlign w:val="bottom"/>
            <w:gridSpan w:val="3"/>
          </w:tcPr>
          <w:p>
            <w:pPr>
              <w:ind w:left="660"/>
              <w:spacing w:after="0"/>
              <w:rPr>
                <w:sz w:val="20"/>
                <w:szCs w:val="20"/>
                <w:color w:val="auto"/>
              </w:rPr>
            </w:pPr>
            <w:r>
              <w:rPr>
                <w:rFonts w:ascii="Times New Roman" w:cs="Times New Roman" w:eastAsia="Times New Roman" w:hAnsi="Times New Roman"/>
                <w:sz w:val="18"/>
                <w:szCs w:val="18"/>
                <w:color w:val="auto"/>
              </w:rPr>
              <w:t>Credit Facility”). (16)</w:t>
            </w:r>
          </w:p>
        </w:tc>
      </w:tr>
      <w:tr>
        <w:trPr>
          <w:trHeight w:val="312"/>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10.11</w:t>
            </w:r>
          </w:p>
        </w:tc>
        <w:tc>
          <w:tcPr>
            <w:tcW w:w="10880" w:type="dxa"/>
            <w:vAlign w:val="bottom"/>
            <w:gridSpan w:val="3"/>
          </w:tcPr>
          <w:p>
            <w:pPr>
              <w:ind w:left="660"/>
              <w:spacing w:after="0"/>
              <w:rPr>
                <w:sz w:val="20"/>
                <w:szCs w:val="20"/>
                <w:color w:val="auto"/>
              </w:rPr>
            </w:pPr>
            <w:r>
              <w:rPr>
                <w:rFonts w:ascii="Times New Roman" w:cs="Times New Roman" w:eastAsia="Times New Roman" w:hAnsi="Times New Roman"/>
                <w:sz w:val="18"/>
                <w:szCs w:val="18"/>
                <w:color w:val="auto"/>
              </w:rPr>
              <w:t>Second Amendment to International Letter of Credit Agreement dated September 29, 2009, by and among Great Lakes Dredge &amp; Dock</w:t>
            </w:r>
          </w:p>
        </w:tc>
      </w:tr>
      <w:tr>
        <w:trPr>
          <w:trHeight w:val="216"/>
        </w:trPr>
        <w:tc>
          <w:tcPr>
            <w:tcW w:w="520" w:type="dxa"/>
            <w:vAlign w:val="bottom"/>
          </w:tcPr>
          <w:p>
            <w:pPr>
              <w:spacing w:after="0"/>
              <w:rPr>
                <w:sz w:val="18"/>
                <w:szCs w:val="18"/>
                <w:color w:val="auto"/>
              </w:rPr>
            </w:pPr>
          </w:p>
        </w:tc>
        <w:tc>
          <w:tcPr>
            <w:tcW w:w="10880" w:type="dxa"/>
            <w:vAlign w:val="bottom"/>
            <w:gridSpan w:val="3"/>
          </w:tcPr>
          <w:p>
            <w:pPr>
              <w:ind w:left="660"/>
              <w:spacing w:after="0"/>
              <w:rPr>
                <w:sz w:val="20"/>
                <w:szCs w:val="20"/>
                <w:color w:val="auto"/>
              </w:rPr>
            </w:pPr>
            <w:r>
              <w:rPr>
                <w:rFonts w:ascii="Times New Roman" w:cs="Times New Roman" w:eastAsia="Times New Roman" w:hAnsi="Times New Roman"/>
                <w:sz w:val="18"/>
                <w:szCs w:val="18"/>
                <w:color w:val="auto"/>
                <w:w w:val="98"/>
              </w:rPr>
              <w:t>Corporation, Great Lakes Dredge &amp; Dock Company, LLC and Wells Fargo Bank, National Association, as successor by merger to Wells Fargo</w:t>
            </w:r>
          </w:p>
        </w:tc>
      </w:tr>
      <w:tr>
        <w:trPr>
          <w:trHeight w:val="228"/>
        </w:trPr>
        <w:tc>
          <w:tcPr>
            <w:tcW w:w="520" w:type="dxa"/>
            <w:vAlign w:val="bottom"/>
          </w:tcPr>
          <w:p>
            <w:pPr>
              <w:spacing w:after="0"/>
              <w:rPr>
                <w:sz w:val="19"/>
                <w:szCs w:val="19"/>
                <w:color w:val="auto"/>
              </w:rPr>
            </w:pPr>
          </w:p>
        </w:tc>
        <w:tc>
          <w:tcPr>
            <w:tcW w:w="10880" w:type="dxa"/>
            <w:vAlign w:val="bottom"/>
            <w:gridSpan w:val="3"/>
          </w:tcPr>
          <w:p>
            <w:pPr>
              <w:ind w:left="660"/>
              <w:spacing w:after="0"/>
              <w:rPr>
                <w:sz w:val="20"/>
                <w:szCs w:val="20"/>
                <w:color w:val="auto"/>
              </w:rPr>
            </w:pPr>
            <w:r>
              <w:rPr>
                <w:rFonts w:ascii="Times New Roman" w:cs="Times New Roman" w:eastAsia="Times New Roman" w:hAnsi="Times New Roman"/>
                <w:sz w:val="18"/>
                <w:szCs w:val="18"/>
                <w:color w:val="auto"/>
              </w:rPr>
              <w:t>HSBC Trade Bank, as amended (the “International Letter of Credit Facility”). (17)</w:t>
            </w:r>
          </w:p>
        </w:tc>
      </w:tr>
      <w:tr>
        <w:trPr>
          <w:trHeight w:val="312"/>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10.12</w:t>
            </w:r>
          </w:p>
        </w:tc>
        <w:tc>
          <w:tcPr>
            <w:tcW w:w="10880" w:type="dxa"/>
            <w:vAlign w:val="bottom"/>
            <w:gridSpan w:val="3"/>
          </w:tcPr>
          <w:p>
            <w:pPr>
              <w:ind w:left="660"/>
              <w:spacing w:after="0"/>
              <w:rPr>
                <w:sz w:val="20"/>
                <w:szCs w:val="20"/>
                <w:color w:val="auto"/>
              </w:rPr>
            </w:pPr>
            <w:r>
              <w:rPr>
                <w:rFonts w:ascii="Times New Roman" w:cs="Times New Roman" w:eastAsia="Times New Roman" w:hAnsi="Times New Roman"/>
                <w:sz w:val="18"/>
                <w:szCs w:val="18"/>
                <w:color w:val="auto"/>
              </w:rPr>
              <w:t>Third Amendment to International Letter of Credit Agreement dated June 12, 2012, by and among Great Lakes Dredge &amp; Dock Corporation,</w:t>
            </w:r>
          </w:p>
        </w:tc>
      </w:tr>
      <w:tr>
        <w:trPr>
          <w:trHeight w:val="216"/>
        </w:trPr>
        <w:tc>
          <w:tcPr>
            <w:tcW w:w="520" w:type="dxa"/>
            <w:vAlign w:val="bottom"/>
          </w:tcPr>
          <w:p>
            <w:pPr>
              <w:spacing w:after="0"/>
              <w:rPr>
                <w:sz w:val="18"/>
                <w:szCs w:val="18"/>
                <w:color w:val="auto"/>
              </w:rPr>
            </w:pPr>
          </w:p>
        </w:tc>
        <w:tc>
          <w:tcPr>
            <w:tcW w:w="10880" w:type="dxa"/>
            <w:vAlign w:val="bottom"/>
            <w:gridSpan w:val="3"/>
          </w:tcPr>
          <w:p>
            <w:pPr>
              <w:ind w:left="660"/>
              <w:spacing w:after="0"/>
              <w:rPr>
                <w:sz w:val="20"/>
                <w:szCs w:val="20"/>
                <w:color w:val="auto"/>
              </w:rPr>
            </w:pPr>
            <w:r>
              <w:rPr>
                <w:rFonts w:ascii="Times New Roman" w:cs="Times New Roman" w:eastAsia="Times New Roman" w:hAnsi="Times New Roman"/>
                <w:sz w:val="18"/>
                <w:szCs w:val="18"/>
                <w:color w:val="auto"/>
                <w:w w:val="98"/>
              </w:rPr>
              <w:t>Great Lakes Dredge &amp; Dock Company, LLC and Wells Fargo Bank, National Association, as successor by merger to Wells Fargo HSBC Trade</w:t>
            </w:r>
          </w:p>
        </w:tc>
      </w:tr>
      <w:tr>
        <w:trPr>
          <w:trHeight w:val="228"/>
        </w:trPr>
        <w:tc>
          <w:tcPr>
            <w:tcW w:w="520" w:type="dxa"/>
            <w:vAlign w:val="bottom"/>
          </w:tcPr>
          <w:p>
            <w:pPr>
              <w:spacing w:after="0"/>
              <w:rPr>
                <w:sz w:val="19"/>
                <w:szCs w:val="19"/>
                <w:color w:val="auto"/>
              </w:rPr>
            </w:pPr>
          </w:p>
        </w:tc>
        <w:tc>
          <w:tcPr>
            <w:tcW w:w="10880" w:type="dxa"/>
            <w:vAlign w:val="bottom"/>
            <w:gridSpan w:val="3"/>
          </w:tcPr>
          <w:p>
            <w:pPr>
              <w:ind w:left="660"/>
              <w:spacing w:after="0"/>
              <w:rPr>
                <w:sz w:val="20"/>
                <w:szCs w:val="20"/>
                <w:color w:val="auto"/>
              </w:rPr>
            </w:pPr>
            <w:r>
              <w:rPr>
                <w:rFonts w:ascii="Times New Roman" w:cs="Times New Roman" w:eastAsia="Times New Roman" w:hAnsi="Times New Roman"/>
                <w:sz w:val="18"/>
                <w:szCs w:val="18"/>
                <w:color w:val="auto"/>
              </w:rPr>
              <w:t>Bank, as amended (the “International Letter of Credit Facility”). *</w:t>
            </w:r>
          </w:p>
        </w:tc>
      </w:tr>
      <w:tr>
        <w:trPr>
          <w:trHeight w:val="312"/>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10.13</w:t>
            </w:r>
          </w:p>
        </w:tc>
        <w:tc>
          <w:tcPr>
            <w:tcW w:w="10880" w:type="dxa"/>
            <w:vAlign w:val="bottom"/>
            <w:gridSpan w:val="3"/>
          </w:tcPr>
          <w:p>
            <w:pPr>
              <w:ind w:left="660"/>
              <w:spacing w:after="0"/>
              <w:rPr>
                <w:sz w:val="20"/>
                <w:szCs w:val="20"/>
                <w:color w:val="auto"/>
              </w:rPr>
            </w:pPr>
            <w:r>
              <w:rPr>
                <w:rFonts w:ascii="Times New Roman" w:cs="Times New Roman" w:eastAsia="Times New Roman" w:hAnsi="Times New Roman"/>
                <w:sz w:val="18"/>
                <w:szCs w:val="18"/>
                <w:color w:val="auto"/>
                <w:w w:val="98"/>
              </w:rPr>
              <w:t>Waiver to International Letter of Credit Agreement, dated as of March 15, 2013, to the International Letter of Credit Agreement, by and among</w:t>
            </w:r>
          </w:p>
        </w:tc>
      </w:tr>
      <w:tr>
        <w:trPr>
          <w:trHeight w:val="228"/>
        </w:trPr>
        <w:tc>
          <w:tcPr>
            <w:tcW w:w="520" w:type="dxa"/>
            <w:vAlign w:val="bottom"/>
          </w:tcPr>
          <w:p>
            <w:pPr>
              <w:spacing w:after="0"/>
              <w:rPr>
                <w:sz w:val="19"/>
                <w:szCs w:val="19"/>
                <w:color w:val="auto"/>
              </w:rPr>
            </w:pPr>
          </w:p>
        </w:tc>
        <w:tc>
          <w:tcPr>
            <w:tcW w:w="10880" w:type="dxa"/>
            <w:vAlign w:val="bottom"/>
            <w:gridSpan w:val="3"/>
          </w:tcPr>
          <w:p>
            <w:pPr>
              <w:ind w:left="660"/>
              <w:spacing w:after="0"/>
              <w:rPr>
                <w:sz w:val="20"/>
                <w:szCs w:val="20"/>
                <w:color w:val="auto"/>
              </w:rPr>
            </w:pPr>
            <w:r>
              <w:rPr>
                <w:rFonts w:ascii="Times New Roman" w:cs="Times New Roman" w:eastAsia="Times New Roman" w:hAnsi="Times New Roman"/>
                <w:sz w:val="18"/>
                <w:szCs w:val="18"/>
                <w:color w:val="auto"/>
              </w:rPr>
              <w:t>Great Lakes Dredge &amp; Dock Corporation, Great Lakes Dredge &amp; Dock Company, LLC and Wells Fargo Bank, National Association. (32)</w:t>
            </w:r>
          </w:p>
        </w:tc>
      </w:tr>
      <w:tr>
        <w:trPr>
          <w:trHeight w:val="312"/>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10.14</w:t>
            </w:r>
          </w:p>
        </w:tc>
        <w:tc>
          <w:tcPr>
            <w:tcW w:w="10880" w:type="dxa"/>
            <w:vAlign w:val="bottom"/>
            <w:gridSpan w:val="3"/>
          </w:tcPr>
          <w:p>
            <w:pPr>
              <w:ind w:left="660"/>
              <w:spacing w:after="0"/>
              <w:rPr>
                <w:sz w:val="20"/>
                <w:szCs w:val="20"/>
                <w:color w:val="auto"/>
              </w:rPr>
            </w:pPr>
            <w:r>
              <w:rPr>
                <w:rFonts w:ascii="Times New Roman" w:cs="Times New Roman" w:eastAsia="Times New Roman" w:hAnsi="Times New Roman"/>
                <w:sz w:val="18"/>
                <w:szCs w:val="18"/>
                <w:color w:val="auto"/>
              </w:rPr>
              <w:t>Reaffirmation, Ratification and Assumption Agreement dated December 26, 2006, by and between Great Lakes Dredge &amp; Dock Corporation</w:t>
            </w:r>
          </w:p>
        </w:tc>
      </w:tr>
      <w:tr>
        <w:trPr>
          <w:trHeight w:val="216"/>
        </w:trPr>
        <w:tc>
          <w:tcPr>
            <w:tcW w:w="520" w:type="dxa"/>
            <w:vAlign w:val="bottom"/>
          </w:tcPr>
          <w:p>
            <w:pPr>
              <w:spacing w:after="0"/>
              <w:rPr>
                <w:sz w:val="18"/>
                <w:szCs w:val="18"/>
                <w:color w:val="auto"/>
              </w:rPr>
            </w:pPr>
          </w:p>
        </w:tc>
        <w:tc>
          <w:tcPr>
            <w:tcW w:w="10880" w:type="dxa"/>
            <w:vAlign w:val="bottom"/>
            <w:gridSpan w:val="3"/>
          </w:tcPr>
          <w:p>
            <w:pPr>
              <w:ind w:left="660"/>
              <w:spacing w:after="0"/>
              <w:rPr>
                <w:sz w:val="20"/>
                <w:szCs w:val="20"/>
                <w:color w:val="auto"/>
              </w:rPr>
            </w:pPr>
            <w:r>
              <w:rPr>
                <w:rFonts w:ascii="Times New Roman" w:cs="Times New Roman" w:eastAsia="Times New Roman" w:hAnsi="Times New Roman"/>
                <w:sz w:val="18"/>
                <w:szCs w:val="18"/>
                <w:color w:val="auto"/>
                <w:w w:val="99"/>
              </w:rPr>
              <w:t>(formerly named Great Lakes Dredge &amp; Dock Holdings Corp.) and Wells Fargo Bank, National Association, as successor by merger to Wells</w:t>
            </w:r>
          </w:p>
        </w:tc>
      </w:tr>
      <w:tr>
        <w:trPr>
          <w:trHeight w:val="228"/>
        </w:trPr>
        <w:tc>
          <w:tcPr>
            <w:tcW w:w="520" w:type="dxa"/>
            <w:vAlign w:val="bottom"/>
          </w:tcPr>
          <w:p>
            <w:pPr>
              <w:spacing w:after="0"/>
              <w:rPr>
                <w:sz w:val="19"/>
                <w:szCs w:val="19"/>
                <w:color w:val="auto"/>
              </w:rPr>
            </w:pPr>
          </w:p>
        </w:tc>
        <w:tc>
          <w:tcPr>
            <w:tcW w:w="10880" w:type="dxa"/>
            <w:vAlign w:val="bottom"/>
            <w:gridSpan w:val="3"/>
          </w:tcPr>
          <w:p>
            <w:pPr>
              <w:ind w:left="660"/>
              <w:spacing w:after="0"/>
              <w:rPr>
                <w:sz w:val="20"/>
                <w:szCs w:val="20"/>
                <w:color w:val="auto"/>
              </w:rPr>
            </w:pPr>
            <w:r>
              <w:rPr>
                <w:rFonts w:ascii="Times New Roman" w:cs="Times New Roman" w:eastAsia="Times New Roman" w:hAnsi="Times New Roman"/>
                <w:sz w:val="18"/>
                <w:szCs w:val="18"/>
                <w:color w:val="auto"/>
              </w:rPr>
              <w:t>Fargo HSBC Trade Bank, as amended (the “International Letter of Credit Facility”). (6)</w:t>
            </w:r>
          </w:p>
        </w:tc>
      </w:tr>
      <w:tr>
        <w:trPr>
          <w:trHeight w:val="312"/>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10.15</w:t>
            </w:r>
          </w:p>
        </w:tc>
        <w:tc>
          <w:tcPr>
            <w:tcW w:w="10880" w:type="dxa"/>
            <w:vAlign w:val="bottom"/>
            <w:gridSpan w:val="3"/>
          </w:tcPr>
          <w:p>
            <w:pPr>
              <w:ind w:left="660"/>
              <w:spacing w:after="0"/>
              <w:rPr>
                <w:sz w:val="20"/>
                <w:szCs w:val="20"/>
                <w:color w:val="auto"/>
              </w:rPr>
            </w:pPr>
            <w:r>
              <w:rPr>
                <w:rFonts w:ascii="Times New Roman" w:cs="Times New Roman" w:eastAsia="Times New Roman" w:hAnsi="Times New Roman"/>
                <w:sz w:val="18"/>
                <w:szCs w:val="18"/>
                <w:color w:val="auto"/>
                <w:w w:val="98"/>
              </w:rPr>
              <w:t>Amended and Restated Management Equity Agreement dated December 26, 2006 by and among Aldabra Acquisition Corporation, Great Lakes</w:t>
            </w:r>
          </w:p>
        </w:tc>
      </w:tr>
      <w:tr>
        <w:trPr>
          <w:trHeight w:val="228"/>
        </w:trPr>
        <w:tc>
          <w:tcPr>
            <w:tcW w:w="520" w:type="dxa"/>
            <w:vAlign w:val="bottom"/>
          </w:tcPr>
          <w:p>
            <w:pPr>
              <w:spacing w:after="0"/>
              <w:rPr>
                <w:sz w:val="19"/>
                <w:szCs w:val="19"/>
                <w:color w:val="auto"/>
              </w:rPr>
            </w:pPr>
          </w:p>
        </w:tc>
        <w:tc>
          <w:tcPr>
            <w:tcW w:w="10880" w:type="dxa"/>
            <w:vAlign w:val="bottom"/>
            <w:gridSpan w:val="3"/>
          </w:tcPr>
          <w:p>
            <w:pPr>
              <w:ind w:left="660"/>
              <w:spacing w:after="0"/>
              <w:rPr>
                <w:sz w:val="20"/>
                <w:szCs w:val="20"/>
                <w:color w:val="auto"/>
              </w:rPr>
            </w:pPr>
            <w:r>
              <w:rPr>
                <w:rFonts w:ascii="Times New Roman" w:cs="Times New Roman" w:eastAsia="Times New Roman" w:hAnsi="Times New Roman"/>
                <w:sz w:val="18"/>
                <w:szCs w:val="18"/>
                <w:color w:val="auto"/>
              </w:rPr>
              <w:t>Dredge &amp; Dock Holdings Corp. and each of the other persons identified on the signature pages thereto. †(6)</w:t>
            </w:r>
          </w:p>
        </w:tc>
      </w:tr>
      <w:tr>
        <w:trPr>
          <w:trHeight w:val="32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10.16</w:t>
            </w:r>
          </w:p>
        </w:tc>
        <w:tc>
          <w:tcPr>
            <w:tcW w:w="10880" w:type="dxa"/>
            <w:vAlign w:val="bottom"/>
            <w:gridSpan w:val="3"/>
          </w:tcPr>
          <w:p>
            <w:pPr>
              <w:ind w:left="660"/>
              <w:spacing w:after="0"/>
              <w:rPr>
                <w:sz w:val="20"/>
                <w:szCs w:val="20"/>
                <w:color w:val="auto"/>
              </w:rPr>
            </w:pPr>
            <w:r>
              <w:rPr>
                <w:rFonts w:ascii="Times New Roman" w:cs="Times New Roman" w:eastAsia="Times New Roman" w:hAnsi="Times New Roman"/>
                <w:sz w:val="18"/>
                <w:szCs w:val="18"/>
                <w:color w:val="auto"/>
              </w:rPr>
              <w:t>Employment Agreement between the Company and Jonathan W. Berger. †(12)</w:t>
            </w:r>
          </w:p>
        </w:tc>
      </w:tr>
      <w:tr>
        <w:trPr>
          <w:trHeight w:val="32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10.17</w:t>
            </w:r>
          </w:p>
        </w:tc>
        <w:tc>
          <w:tcPr>
            <w:tcW w:w="10880" w:type="dxa"/>
            <w:vAlign w:val="bottom"/>
            <w:gridSpan w:val="3"/>
          </w:tcPr>
          <w:p>
            <w:pPr>
              <w:ind w:left="660"/>
              <w:spacing w:after="0"/>
              <w:rPr>
                <w:sz w:val="20"/>
                <w:szCs w:val="20"/>
                <w:color w:val="auto"/>
              </w:rPr>
            </w:pPr>
            <w:r>
              <w:rPr>
                <w:rFonts w:ascii="Times New Roman" w:cs="Times New Roman" w:eastAsia="Times New Roman" w:hAnsi="Times New Roman"/>
                <w:sz w:val="18"/>
                <w:szCs w:val="18"/>
                <w:color w:val="auto"/>
              </w:rPr>
              <w:t>Employment Agreement between the Company and Bruce J. Biemeck. †(12)</w:t>
            </w:r>
          </w:p>
        </w:tc>
      </w:tr>
      <w:tr>
        <w:trPr>
          <w:trHeight w:val="365"/>
        </w:trPr>
        <w:tc>
          <w:tcPr>
            <w:tcW w:w="520" w:type="dxa"/>
            <w:vAlign w:val="bottom"/>
          </w:tcPr>
          <w:p>
            <w:pPr>
              <w:spacing w:after="0"/>
              <w:rPr>
                <w:sz w:val="24"/>
                <w:szCs w:val="24"/>
                <w:color w:val="auto"/>
              </w:rPr>
            </w:pPr>
          </w:p>
        </w:tc>
        <w:tc>
          <w:tcPr>
            <w:tcW w:w="6480" w:type="dxa"/>
            <w:vAlign w:val="bottom"/>
            <w:gridSpan w:val="2"/>
          </w:tcPr>
          <w:p>
            <w:pPr>
              <w:ind w:left="5060"/>
              <w:spacing w:after="0"/>
              <w:rPr>
                <w:sz w:val="20"/>
                <w:szCs w:val="20"/>
                <w:color w:val="auto"/>
              </w:rPr>
            </w:pPr>
            <w:r>
              <w:rPr>
                <w:rFonts w:ascii="Times New Roman" w:cs="Times New Roman" w:eastAsia="Times New Roman" w:hAnsi="Times New Roman"/>
                <w:sz w:val="18"/>
                <w:szCs w:val="18"/>
                <w:color w:val="auto"/>
              </w:rPr>
              <w:t>102</w:t>
            </w:r>
          </w:p>
        </w:tc>
        <w:tc>
          <w:tcPr>
            <w:tcW w:w="4400" w:type="dxa"/>
            <w:vAlign w:val="bottom"/>
          </w:tcPr>
          <w:p>
            <w:pPr>
              <w:spacing w:after="0"/>
              <w:rPr>
                <w:sz w:val="24"/>
                <w:szCs w:val="24"/>
                <w:color w:val="auto"/>
              </w:rPr>
            </w:pPr>
          </w:p>
        </w:tc>
      </w:tr>
    </w:tbl>
    <w:p>
      <w:pPr>
        <w:sectPr>
          <w:pgSz w:w="11900" w:h="16838" w:orient="portrait"/>
          <w:cols w:equalWidth="0" w:num="1">
            <w:col w:w="11400"/>
          </w:cols>
          <w:pgMar w:left="240" w:top="455" w:right="259" w:bottom="1440" w:gutter="0" w:footer="0" w:header="0"/>
        </w:sectPr>
      </w:pPr>
    </w:p>
    <w:bookmarkStart w:id="104" w:name="page105"/>
    <w:bookmarkEnd w:id="10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5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w w:val="96"/>
              </w:rPr>
              <w:t>Number</w:t>
            </w:r>
          </w:p>
        </w:tc>
        <w:tc>
          <w:tcPr>
            <w:tcW w:w="5100" w:type="dxa"/>
            <w:vAlign w:val="bottom"/>
          </w:tcPr>
          <w:p>
            <w:pPr>
              <w:spacing w:after="0"/>
              <w:rPr>
                <w:sz w:val="14"/>
                <w:szCs w:val="14"/>
                <w:color w:val="auto"/>
              </w:rPr>
            </w:pPr>
          </w:p>
        </w:tc>
        <w:tc>
          <w:tcPr>
            <w:tcW w:w="13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w w:val="98"/>
              </w:rPr>
              <w:t>Document Description</w:t>
            </w:r>
          </w:p>
        </w:tc>
        <w:tc>
          <w:tcPr>
            <w:tcW w:w="4340" w:type="dxa"/>
            <w:vAlign w:val="bottom"/>
          </w:tcPr>
          <w:p>
            <w:pPr>
              <w:spacing w:after="0"/>
              <w:rPr>
                <w:sz w:val="14"/>
                <w:szCs w:val="14"/>
                <w:color w:val="auto"/>
              </w:rPr>
            </w:pPr>
          </w:p>
        </w:tc>
      </w:tr>
      <w:tr>
        <w:trPr>
          <w:trHeight w:val="316"/>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10.18</w:t>
            </w:r>
          </w:p>
        </w:tc>
        <w:tc>
          <w:tcPr>
            <w:tcW w:w="10820" w:type="dxa"/>
            <w:vAlign w:val="bottom"/>
            <w:gridSpan w:val="3"/>
          </w:tcPr>
          <w:p>
            <w:pPr>
              <w:ind w:left="660"/>
              <w:spacing w:after="0"/>
              <w:rPr>
                <w:sz w:val="20"/>
                <w:szCs w:val="20"/>
                <w:color w:val="auto"/>
              </w:rPr>
            </w:pPr>
            <w:r>
              <w:rPr>
                <w:rFonts w:ascii="Times New Roman" w:cs="Times New Roman" w:eastAsia="Times New Roman" w:hAnsi="Times New Roman"/>
                <w:sz w:val="18"/>
                <w:szCs w:val="18"/>
                <w:color w:val="auto"/>
              </w:rPr>
              <w:t>Employment Agreement dated as of January 9, 2012 between Great Lakes Dredge &amp; Dock Corporation and Steven E. Pegg. †(27)</w:t>
            </w:r>
          </w:p>
        </w:tc>
      </w:tr>
      <w:tr>
        <w:trPr>
          <w:trHeight w:val="32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10.19</w:t>
            </w:r>
          </w:p>
        </w:tc>
        <w:tc>
          <w:tcPr>
            <w:tcW w:w="10820" w:type="dxa"/>
            <w:vAlign w:val="bottom"/>
            <w:gridSpan w:val="3"/>
          </w:tcPr>
          <w:p>
            <w:pPr>
              <w:ind w:left="660"/>
              <w:spacing w:after="0"/>
              <w:rPr>
                <w:sz w:val="20"/>
                <w:szCs w:val="20"/>
                <w:color w:val="auto"/>
              </w:rPr>
            </w:pPr>
            <w:r>
              <w:rPr>
                <w:rFonts w:ascii="Times New Roman" w:cs="Times New Roman" w:eastAsia="Times New Roman" w:hAnsi="Times New Roman"/>
                <w:sz w:val="18"/>
                <w:szCs w:val="18"/>
                <w:color w:val="auto"/>
              </w:rPr>
              <w:t>Employment Agreement dated as of April 9, 2012 between Great Lakes Dredge &amp; Dock Corporation and David E. Simonelli. †(28)</w:t>
            </w:r>
          </w:p>
        </w:tc>
      </w:tr>
      <w:tr>
        <w:trPr>
          <w:trHeight w:val="32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10.20</w:t>
            </w:r>
          </w:p>
        </w:tc>
        <w:tc>
          <w:tcPr>
            <w:tcW w:w="10820" w:type="dxa"/>
            <w:vAlign w:val="bottom"/>
            <w:gridSpan w:val="3"/>
          </w:tcPr>
          <w:p>
            <w:pPr>
              <w:ind w:left="660"/>
              <w:spacing w:after="0"/>
              <w:rPr>
                <w:sz w:val="20"/>
                <w:szCs w:val="20"/>
                <w:color w:val="auto"/>
              </w:rPr>
            </w:pPr>
            <w:r>
              <w:rPr>
                <w:rFonts w:ascii="Times New Roman" w:cs="Times New Roman" w:eastAsia="Times New Roman" w:hAnsi="Times New Roman"/>
                <w:sz w:val="18"/>
                <w:szCs w:val="18"/>
                <w:color w:val="auto"/>
              </w:rPr>
              <w:t>Employment Agreement dated as of April 26, 2012 between Great Lakes Dredge &amp; Dock Corporation and Kyle D. Johnson. †(29)</w:t>
            </w:r>
          </w:p>
        </w:tc>
      </w:tr>
      <w:tr>
        <w:trPr>
          <w:trHeight w:val="32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10.21</w:t>
            </w:r>
          </w:p>
        </w:tc>
        <w:tc>
          <w:tcPr>
            <w:tcW w:w="10820" w:type="dxa"/>
            <w:vAlign w:val="bottom"/>
            <w:gridSpan w:val="3"/>
          </w:tcPr>
          <w:p>
            <w:pPr>
              <w:ind w:left="660"/>
              <w:spacing w:after="0"/>
              <w:rPr>
                <w:sz w:val="20"/>
                <w:szCs w:val="20"/>
                <w:color w:val="auto"/>
              </w:rPr>
            </w:pPr>
            <w:r>
              <w:rPr>
                <w:rFonts w:ascii="Times New Roman" w:cs="Times New Roman" w:eastAsia="Times New Roman" w:hAnsi="Times New Roman"/>
                <w:sz w:val="18"/>
                <w:szCs w:val="18"/>
                <w:color w:val="auto"/>
              </w:rPr>
              <w:t>Employment Agreement dated as of April 26, 2012 between Great Lakes Dredge &amp; Dock Corporation and John F. Karas. †(29)</w:t>
            </w:r>
          </w:p>
        </w:tc>
      </w:tr>
      <w:tr>
        <w:trPr>
          <w:trHeight w:val="32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10.22</w:t>
            </w:r>
          </w:p>
        </w:tc>
        <w:tc>
          <w:tcPr>
            <w:tcW w:w="10820" w:type="dxa"/>
            <w:vAlign w:val="bottom"/>
            <w:gridSpan w:val="3"/>
          </w:tcPr>
          <w:p>
            <w:pPr>
              <w:ind w:left="660"/>
              <w:spacing w:after="0"/>
              <w:rPr>
                <w:sz w:val="20"/>
                <w:szCs w:val="20"/>
                <w:color w:val="auto"/>
              </w:rPr>
            </w:pPr>
            <w:r>
              <w:rPr>
                <w:rFonts w:ascii="Times New Roman" w:cs="Times New Roman" w:eastAsia="Times New Roman" w:hAnsi="Times New Roman"/>
                <w:sz w:val="18"/>
                <w:szCs w:val="18"/>
                <w:color w:val="auto"/>
              </w:rPr>
              <w:t>Second Amended and Restated Great Lakes Dredge &amp; Dock Company, LLC Annual Bonus Plan effective as of January 1, 2012. †(25)</w:t>
            </w:r>
          </w:p>
        </w:tc>
      </w:tr>
      <w:tr>
        <w:trPr>
          <w:trHeight w:val="32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10.23</w:t>
            </w:r>
          </w:p>
        </w:tc>
        <w:tc>
          <w:tcPr>
            <w:tcW w:w="10820" w:type="dxa"/>
            <w:vAlign w:val="bottom"/>
            <w:gridSpan w:val="3"/>
          </w:tcPr>
          <w:p>
            <w:pPr>
              <w:ind w:left="660"/>
              <w:spacing w:after="0"/>
              <w:rPr>
                <w:sz w:val="20"/>
                <w:szCs w:val="20"/>
                <w:color w:val="auto"/>
              </w:rPr>
            </w:pPr>
            <w:r>
              <w:rPr>
                <w:rFonts w:ascii="Times New Roman" w:cs="Times New Roman" w:eastAsia="Times New Roman" w:hAnsi="Times New Roman"/>
                <w:sz w:val="18"/>
                <w:szCs w:val="18"/>
                <w:color w:val="auto"/>
              </w:rPr>
              <w:t>401(k) Savings Plan. †(19)</w:t>
            </w:r>
          </w:p>
        </w:tc>
      </w:tr>
      <w:tr>
        <w:trPr>
          <w:trHeight w:val="32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10.24</w:t>
            </w:r>
          </w:p>
        </w:tc>
        <w:tc>
          <w:tcPr>
            <w:tcW w:w="10820" w:type="dxa"/>
            <w:vAlign w:val="bottom"/>
            <w:gridSpan w:val="3"/>
          </w:tcPr>
          <w:p>
            <w:pPr>
              <w:ind w:left="660"/>
              <w:spacing w:after="0"/>
              <w:rPr>
                <w:sz w:val="20"/>
                <w:szCs w:val="20"/>
                <w:color w:val="auto"/>
              </w:rPr>
            </w:pPr>
            <w:r>
              <w:rPr>
                <w:rFonts w:ascii="Times New Roman" w:cs="Times New Roman" w:eastAsia="Times New Roman" w:hAnsi="Times New Roman"/>
                <w:sz w:val="18"/>
                <w:szCs w:val="18"/>
                <w:color w:val="auto"/>
              </w:rPr>
              <w:t>401(k) Lost Benefit Plan. †(11)</w:t>
            </w:r>
          </w:p>
        </w:tc>
      </w:tr>
      <w:tr>
        <w:trPr>
          <w:trHeight w:val="32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10.25</w:t>
            </w:r>
          </w:p>
        </w:tc>
        <w:tc>
          <w:tcPr>
            <w:tcW w:w="10820" w:type="dxa"/>
            <w:vAlign w:val="bottom"/>
            <w:gridSpan w:val="3"/>
          </w:tcPr>
          <w:p>
            <w:pPr>
              <w:ind w:left="660"/>
              <w:spacing w:after="0"/>
              <w:rPr>
                <w:sz w:val="20"/>
                <w:szCs w:val="20"/>
                <w:color w:val="auto"/>
              </w:rPr>
            </w:pPr>
            <w:r>
              <w:rPr>
                <w:rFonts w:ascii="Times New Roman" w:cs="Times New Roman" w:eastAsia="Times New Roman" w:hAnsi="Times New Roman"/>
                <w:sz w:val="18"/>
                <w:szCs w:val="18"/>
                <w:color w:val="auto"/>
              </w:rPr>
              <w:t>Lease Agreement between North American Site Developers, Inc. and MJC Berry Enterprises, LLC, dated as of December 31, 2006. (20)</w:t>
            </w:r>
          </w:p>
        </w:tc>
      </w:tr>
      <w:tr>
        <w:trPr>
          <w:trHeight w:val="312"/>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10.26</w:t>
            </w:r>
          </w:p>
        </w:tc>
        <w:tc>
          <w:tcPr>
            <w:tcW w:w="10820" w:type="dxa"/>
            <w:vAlign w:val="bottom"/>
            <w:gridSpan w:val="3"/>
          </w:tcPr>
          <w:p>
            <w:pPr>
              <w:ind w:left="660"/>
              <w:spacing w:after="0"/>
              <w:rPr>
                <w:sz w:val="20"/>
                <w:szCs w:val="20"/>
                <w:color w:val="auto"/>
              </w:rPr>
            </w:pPr>
            <w:r>
              <w:rPr>
                <w:rFonts w:ascii="Times New Roman" w:cs="Times New Roman" w:eastAsia="Times New Roman" w:hAnsi="Times New Roman"/>
                <w:sz w:val="18"/>
                <w:szCs w:val="18"/>
                <w:color w:val="auto"/>
                <w:w w:val="98"/>
              </w:rPr>
              <w:t>Form of Investor Rights Agreement among Aldabra Acquisition Corporation, Great Lakes Dredge &amp; Dock Holdings Corp., Madison Dearborn</w:t>
            </w:r>
          </w:p>
        </w:tc>
      </w:tr>
      <w:tr>
        <w:trPr>
          <w:trHeight w:val="228"/>
        </w:trPr>
        <w:tc>
          <w:tcPr>
            <w:tcW w:w="520" w:type="dxa"/>
            <w:vAlign w:val="bottom"/>
          </w:tcPr>
          <w:p>
            <w:pPr>
              <w:spacing w:after="0"/>
              <w:rPr>
                <w:sz w:val="19"/>
                <w:szCs w:val="19"/>
                <w:color w:val="auto"/>
              </w:rPr>
            </w:pPr>
          </w:p>
        </w:tc>
        <w:tc>
          <w:tcPr>
            <w:tcW w:w="10820" w:type="dxa"/>
            <w:vAlign w:val="bottom"/>
            <w:gridSpan w:val="3"/>
          </w:tcPr>
          <w:p>
            <w:pPr>
              <w:ind w:left="660"/>
              <w:spacing w:after="0"/>
              <w:rPr>
                <w:sz w:val="20"/>
                <w:szCs w:val="20"/>
                <w:color w:val="auto"/>
              </w:rPr>
            </w:pPr>
            <w:r>
              <w:rPr>
                <w:rFonts w:ascii="Times New Roman" w:cs="Times New Roman" w:eastAsia="Times New Roman" w:hAnsi="Times New Roman"/>
                <w:sz w:val="18"/>
                <w:szCs w:val="18"/>
                <w:color w:val="auto"/>
              </w:rPr>
              <w:t>Capital Partners IV, L.P., certain stockholders of Aldabra Acquisition Corporation and certain stockholders of GLDD Acquisitions Corp. (3)</w:t>
            </w:r>
          </w:p>
        </w:tc>
      </w:tr>
      <w:tr>
        <w:trPr>
          <w:trHeight w:val="312"/>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10.27</w:t>
            </w:r>
          </w:p>
        </w:tc>
        <w:tc>
          <w:tcPr>
            <w:tcW w:w="10820" w:type="dxa"/>
            <w:vAlign w:val="bottom"/>
            <w:gridSpan w:val="3"/>
          </w:tcPr>
          <w:p>
            <w:pPr>
              <w:ind w:left="660"/>
              <w:spacing w:after="0"/>
              <w:rPr>
                <w:sz w:val="20"/>
                <w:szCs w:val="20"/>
                <w:color w:val="auto"/>
              </w:rPr>
            </w:pPr>
            <w:r>
              <w:rPr>
                <w:rFonts w:ascii="Times New Roman" w:cs="Times New Roman" w:eastAsia="Times New Roman" w:hAnsi="Times New Roman"/>
                <w:sz w:val="18"/>
                <w:szCs w:val="18"/>
                <w:color w:val="auto"/>
              </w:rPr>
              <w:t>Limited Liability Company Agreement, dated April 30, 2008, by and among NASDI Holdings Corporation, Christopher A. Berardi and</w:t>
            </w:r>
          </w:p>
        </w:tc>
      </w:tr>
      <w:tr>
        <w:trPr>
          <w:trHeight w:val="228"/>
        </w:trPr>
        <w:tc>
          <w:tcPr>
            <w:tcW w:w="520" w:type="dxa"/>
            <w:vAlign w:val="bottom"/>
          </w:tcPr>
          <w:p>
            <w:pPr>
              <w:spacing w:after="0"/>
              <w:rPr>
                <w:sz w:val="19"/>
                <w:szCs w:val="19"/>
                <w:color w:val="auto"/>
              </w:rPr>
            </w:pPr>
          </w:p>
        </w:tc>
        <w:tc>
          <w:tcPr>
            <w:tcW w:w="10820" w:type="dxa"/>
            <w:vAlign w:val="bottom"/>
            <w:gridSpan w:val="3"/>
          </w:tcPr>
          <w:p>
            <w:pPr>
              <w:ind w:left="660"/>
              <w:spacing w:after="0"/>
              <w:rPr>
                <w:sz w:val="20"/>
                <w:szCs w:val="20"/>
                <w:color w:val="auto"/>
              </w:rPr>
            </w:pPr>
            <w:r>
              <w:rPr>
                <w:rFonts w:ascii="Times New Roman" w:cs="Times New Roman" w:eastAsia="Times New Roman" w:hAnsi="Times New Roman"/>
                <w:sz w:val="18"/>
                <w:szCs w:val="18"/>
                <w:color w:val="auto"/>
              </w:rPr>
              <w:t>NASDI, LLC. (21)</w:t>
            </w:r>
          </w:p>
        </w:tc>
      </w:tr>
      <w:tr>
        <w:trPr>
          <w:trHeight w:val="32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10.28</w:t>
            </w:r>
          </w:p>
        </w:tc>
        <w:tc>
          <w:tcPr>
            <w:tcW w:w="10820" w:type="dxa"/>
            <w:vAlign w:val="bottom"/>
            <w:gridSpan w:val="3"/>
          </w:tcPr>
          <w:p>
            <w:pPr>
              <w:ind w:left="660"/>
              <w:spacing w:after="0"/>
              <w:rPr>
                <w:sz w:val="20"/>
                <w:szCs w:val="20"/>
                <w:color w:val="auto"/>
              </w:rPr>
            </w:pPr>
            <w:r>
              <w:rPr>
                <w:rFonts w:ascii="Times New Roman" w:cs="Times New Roman" w:eastAsia="Times New Roman" w:hAnsi="Times New Roman"/>
                <w:sz w:val="18"/>
                <w:szCs w:val="18"/>
                <w:color w:val="auto"/>
              </w:rPr>
              <w:t>Great Lakes Dredge &amp; Dock Corporation 2007 Long-Term Incentive Plan. †(22)</w:t>
            </w:r>
          </w:p>
        </w:tc>
      </w:tr>
      <w:tr>
        <w:trPr>
          <w:trHeight w:val="312"/>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10.29</w:t>
            </w:r>
          </w:p>
        </w:tc>
        <w:tc>
          <w:tcPr>
            <w:tcW w:w="10820" w:type="dxa"/>
            <w:vAlign w:val="bottom"/>
            <w:gridSpan w:val="3"/>
          </w:tcPr>
          <w:p>
            <w:pPr>
              <w:ind w:left="660"/>
              <w:spacing w:after="0"/>
              <w:rPr>
                <w:sz w:val="20"/>
                <w:szCs w:val="20"/>
                <w:color w:val="auto"/>
              </w:rPr>
            </w:pPr>
            <w:r>
              <w:rPr>
                <w:rFonts w:ascii="Times New Roman" w:cs="Times New Roman" w:eastAsia="Times New Roman" w:hAnsi="Times New Roman"/>
                <w:sz w:val="18"/>
                <w:szCs w:val="18"/>
                <w:color w:val="auto"/>
              </w:rPr>
              <w:t>Form of Great Lakes Dredge &amp; Dock Corporation Non-Qualified Stock Option Agreement pursuant to the Great Lakes Dredge &amp; Dock</w:t>
            </w:r>
          </w:p>
        </w:tc>
      </w:tr>
      <w:tr>
        <w:trPr>
          <w:trHeight w:val="228"/>
        </w:trPr>
        <w:tc>
          <w:tcPr>
            <w:tcW w:w="520" w:type="dxa"/>
            <w:vAlign w:val="bottom"/>
          </w:tcPr>
          <w:p>
            <w:pPr>
              <w:spacing w:after="0"/>
              <w:rPr>
                <w:sz w:val="19"/>
                <w:szCs w:val="19"/>
                <w:color w:val="auto"/>
              </w:rPr>
            </w:pPr>
          </w:p>
        </w:tc>
        <w:tc>
          <w:tcPr>
            <w:tcW w:w="10820" w:type="dxa"/>
            <w:vAlign w:val="bottom"/>
            <w:gridSpan w:val="3"/>
          </w:tcPr>
          <w:p>
            <w:pPr>
              <w:ind w:left="660"/>
              <w:spacing w:after="0"/>
              <w:rPr>
                <w:sz w:val="20"/>
                <w:szCs w:val="20"/>
                <w:color w:val="auto"/>
              </w:rPr>
            </w:pPr>
            <w:r>
              <w:rPr>
                <w:rFonts w:ascii="Times New Roman" w:cs="Times New Roman" w:eastAsia="Times New Roman" w:hAnsi="Times New Roman"/>
                <w:sz w:val="18"/>
                <w:szCs w:val="18"/>
                <w:color w:val="auto"/>
              </w:rPr>
              <w:t>Corporation 2007 Long-Term Incentive Plan. †(22)</w:t>
            </w:r>
          </w:p>
        </w:tc>
      </w:tr>
      <w:tr>
        <w:trPr>
          <w:trHeight w:val="312"/>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10.30</w:t>
            </w:r>
          </w:p>
        </w:tc>
        <w:tc>
          <w:tcPr>
            <w:tcW w:w="10820" w:type="dxa"/>
            <w:vAlign w:val="bottom"/>
            <w:gridSpan w:val="3"/>
          </w:tcPr>
          <w:p>
            <w:pPr>
              <w:ind w:left="660"/>
              <w:spacing w:after="0"/>
              <w:rPr>
                <w:sz w:val="20"/>
                <w:szCs w:val="20"/>
                <w:color w:val="auto"/>
              </w:rPr>
            </w:pPr>
            <w:r>
              <w:rPr>
                <w:rFonts w:ascii="Times New Roman" w:cs="Times New Roman" w:eastAsia="Times New Roman" w:hAnsi="Times New Roman"/>
                <w:sz w:val="18"/>
                <w:szCs w:val="18"/>
                <w:color w:val="auto"/>
              </w:rPr>
              <w:t>Form of Great Lakes Dredge &amp; Dock Corporation Restricted Stock Unit Award Agreement pursuant to the Great Lakes Dredge &amp; Dock</w:t>
            </w:r>
          </w:p>
        </w:tc>
      </w:tr>
      <w:tr>
        <w:trPr>
          <w:trHeight w:val="228"/>
        </w:trPr>
        <w:tc>
          <w:tcPr>
            <w:tcW w:w="520" w:type="dxa"/>
            <w:vAlign w:val="bottom"/>
          </w:tcPr>
          <w:p>
            <w:pPr>
              <w:spacing w:after="0"/>
              <w:rPr>
                <w:sz w:val="19"/>
                <w:szCs w:val="19"/>
                <w:color w:val="auto"/>
              </w:rPr>
            </w:pPr>
          </w:p>
        </w:tc>
        <w:tc>
          <w:tcPr>
            <w:tcW w:w="10820" w:type="dxa"/>
            <w:vAlign w:val="bottom"/>
            <w:gridSpan w:val="3"/>
          </w:tcPr>
          <w:p>
            <w:pPr>
              <w:ind w:left="660"/>
              <w:spacing w:after="0"/>
              <w:rPr>
                <w:sz w:val="20"/>
                <w:szCs w:val="20"/>
                <w:color w:val="auto"/>
              </w:rPr>
            </w:pPr>
            <w:r>
              <w:rPr>
                <w:rFonts w:ascii="Times New Roman" w:cs="Times New Roman" w:eastAsia="Times New Roman" w:hAnsi="Times New Roman"/>
                <w:sz w:val="18"/>
                <w:szCs w:val="18"/>
                <w:color w:val="auto"/>
              </w:rPr>
              <w:t>Corporation 2007 Long-Term Incentive Plan. †(22)</w:t>
            </w:r>
          </w:p>
        </w:tc>
      </w:tr>
      <w:tr>
        <w:trPr>
          <w:trHeight w:val="312"/>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10.31</w:t>
            </w:r>
          </w:p>
        </w:tc>
        <w:tc>
          <w:tcPr>
            <w:tcW w:w="10820" w:type="dxa"/>
            <w:vAlign w:val="bottom"/>
            <w:gridSpan w:val="3"/>
          </w:tcPr>
          <w:p>
            <w:pPr>
              <w:ind w:left="660"/>
              <w:spacing w:after="0"/>
              <w:rPr>
                <w:sz w:val="20"/>
                <w:szCs w:val="20"/>
                <w:color w:val="auto"/>
              </w:rPr>
            </w:pPr>
            <w:r>
              <w:rPr>
                <w:rFonts w:ascii="Times New Roman" w:cs="Times New Roman" w:eastAsia="Times New Roman" w:hAnsi="Times New Roman"/>
                <w:sz w:val="18"/>
                <w:szCs w:val="18"/>
                <w:color w:val="auto"/>
                <w:w w:val="99"/>
              </w:rPr>
              <w:t>Form of Great Lakes Dredge &amp; Dock Corporation Performance Vesting RSU Award Agreement pursuant to the Great Lakes Dredge &amp; Dock</w:t>
            </w:r>
          </w:p>
        </w:tc>
      </w:tr>
      <w:tr>
        <w:trPr>
          <w:trHeight w:val="228"/>
        </w:trPr>
        <w:tc>
          <w:tcPr>
            <w:tcW w:w="520" w:type="dxa"/>
            <w:vAlign w:val="bottom"/>
          </w:tcPr>
          <w:p>
            <w:pPr>
              <w:spacing w:after="0"/>
              <w:rPr>
                <w:sz w:val="19"/>
                <w:szCs w:val="19"/>
                <w:color w:val="auto"/>
              </w:rPr>
            </w:pPr>
          </w:p>
        </w:tc>
        <w:tc>
          <w:tcPr>
            <w:tcW w:w="10820" w:type="dxa"/>
            <w:vAlign w:val="bottom"/>
            <w:gridSpan w:val="3"/>
          </w:tcPr>
          <w:p>
            <w:pPr>
              <w:ind w:left="660"/>
              <w:spacing w:after="0"/>
              <w:rPr>
                <w:sz w:val="20"/>
                <w:szCs w:val="20"/>
                <w:color w:val="auto"/>
              </w:rPr>
            </w:pPr>
            <w:r>
              <w:rPr>
                <w:rFonts w:ascii="Times New Roman" w:cs="Times New Roman" w:eastAsia="Times New Roman" w:hAnsi="Times New Roman"/>
                <w:sz w:val="18"/>
                <w:szCs w:val="18"/>
                <w:color w:val="auto"/>
              </w:rPr>
              <w:t>Corporation 2007 Long-Term Incentive Plan. †(22)</w:t>
            </w:r>
          </w:p>
        </w:tc>
      </w:tr>
      <w:tr>
        <w:trPr>
          <w:trHeight w:val="32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10.32</w:t>
            </w:r>
          </w:p>
        </w:tc>
        <w:tc>
          <w:tcPr>
            <w:tcW w:w="10820" w:type="dxa"/>
            <w:vAlign w:val="bottom"/>
            <w:gridSpan w:val="3"/>
          </w:tcPr>
          <w:p>
            <w:pPr>
              <w:ind w:left="660"/>
              <w:spacing w:after="0"/>
              <w:rPr>
                <w:sz w:val="20"/>
                <w:szCs w:val="20"/>
                <w:color w:val="auto"/>
              </w:rPr>
            </w:pPr>
            <w:r>
              <w:rPr>
                <w:rFonts w:ascii="Times New Roman" w:cs="Times New Roman" w:eastAsia="Times New Roman" w:hAnsi="Times New Roman"/>
                <w:sz w:val="18"/>
                <w:szCs w:val="18"/>
                <w:color w:val="auto"/>
              </w:rPr>
              <w:t>Separation Agreement with Douglas B. Mackie effective as of September 7, 2010. †(12)</w:t>
            </w:r>
          </w:p>
        </w:tc>
      </w:tr>
      <w:tr>
        <w:trPr>
          <w:trHeight w:val="32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10.33</w:t>
            </w:r>
          </w:p>
        </w:tc>
        <w:tc>
          <w:tcPr>
            <w:tcW w:w="10820" w:type="dxa"/>
            <w:vAlign w:val="bottom"/>
            <w:gridSpan w:val="3"/>
          </w:tcPr>
          <w:p>
            <w:pPr>
              <w:ind w:left="660"/>
              <w:spacing w:after="0"/>
              <w:rPr>
                <w:sz w:val="20"/>
                <w:szCs w:val="20"/>
                <w:color w:val="auto"/>
              </w:rPr>
            </w:pPr>
            <w:r>
              <w:rPr>
                <w:rFonts w:ascii="Times New Roman" w:cs="Times New Roman" w:eastAsia="Times New Roman" w:hAnsi="Times New Roman"/>
                <w:sz w:val="18"/>
                <w:szCs w:val="18"/>
                <w:color w:val="auto"/>
              </w:rPr>
              <w:t>Consulting Agreement with Douglas B. Mackie effective as of September 8, 2010. †(12)</w:t>
            </w:r>
          </w:p>
        </w:tc>
      </w:tr>
      <w:tr>
        <w:trPr>
          <w:trHeight w:val="312"/>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10.34</w:t>
            </w:r>
          </w:p>
        </w:tc>
        <w:tc>
          <w:tcPr>
            <w:tcW w:w="10820" w:type="dxa"/>
            <w:vAlign w:val="bottom"/>
            <w:gridSpan w:val="3"/>
          </w:tcPr>
          <w:p>
            <w:pPr>
              <w:ind w:left="660"/>
              <w:spacing w:after="0"/>
              <w:rPr>
                <w:sz w:val="20"/>
                <w:szCs w:val="20"/>
                <w:color w:val="auto"/>
              </w:rPr>
            </w:pPr>
            <w:r>
              <w:rPr>
                <w:rFonts w:ascii="Times New Roman" w:cs="Times New Roman" w:eastAsia="Times New Roman" w:hAnsi="Times New Roman"/>
                <w:sz w:val="18"/>
                <w:szCs w:val="18"/>
                <w:color w:val="auto"/>
                <w:w w:val="97"/>
              </w:rPr>
              <w:t>Asset Purchase Agreement dated as of December 31, 2010 among Great Lakes Dredge &amp; Dock Corporation, L.W. Matteson, Inc., Lawrence W.</w:t>
            </w:r>
          </w:p>
        </w:tc>
      </w:tr>
      <w:tr>
        <w:trPr>
          <w:trHeight w:val="228"/>
        </w:trPr>
        <w:tc>
          <w:tcPr>
            <w:tcW w:w="520" w:type="dxa"/>
            <w:vAlign w:val="bottom"/>
          </w:tcPr>
          <w:p>
            <w:pPr>
              <w:spacing w:after="0"/>
              <w:rPr>
                <w:sz w:val="19"/>
                <w:szCs w:val="19"/>
                <w:color w:val="auto"/>
              </w:rPr>
            </w:pPr>
          </w:p>
        </w:tc>
        <w:tc>
          <w:tcPr>
            <w:tcW w:w="10820" w:type="dxa"/>
            <w:vAlign w:val="bottom"/>
            <w:gridSpan w:val="3"/>
          </w:tcPr>
          <w:p>
            <w:pPr>
              <w:ind w:left="660"/>
              <w:spacing w:after="0"/>
              <w:rPr>
                <w:sz w:val="20"/>
                <w:szCs w:val="20"/>
                <w:color w:val="auto"/>
              </w:rPr>
            </w:pPr>
            <w:r>
              <w:rPr>
                <w:rFonts w:ascii="Times New Roman" w:cs="Times New Roman" w:eastAsia="Times New Roman" w:hAnsi="Times New Roman"/>
                <w:sz w:val="18"/>
                <w:szCs w:val="18"/>
                <w:color w:val="auto"/>
              </w:rPr>
              <w:t>Matteson and Larry W. Matteson. (8)</w:t>
            </w:r>
          </w:p>
        </w:tc>
      </w:tr>
      <w:tr>
        <w:trPr>
          <w:trHeight w:val="32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10.35</w:t>
            </w:r>
          </w:p>
        </w:tc>
        <w:tc>
          <w:tcPr>
            <w:tcW w:w="10820" w:type="dxa"/>
            <w:vAlign w:val="bottom"/>
            <w:gridSpan w:val="3"/>
          </w:tcPr>
          <w:p>
            <w:pPr>
              <w:ind w:left="660"/>
              <w:spacing w:after="0"/>
              <w:rPr>
                <w:sz w:val="20"/>
                <w:szCs w:val="20"/>
                <w:color w:val="auto"/>
              </w:rPr>
            </w:pPr>
            <w:r>
              <w:rPr>
                <w:rFonts w:ascii="Times New Roman" w:cs="Times New Roman" w:eastAsia="Times New Roman" w:hAnsi="Times New Roman"/>
                <w:sz w:val="18"/>
                <w:szCs w:val="18"/>
                <w:color w:val="auto"/>
              </w:rPr>
              <w:t>Lease Agreement dated as of December 31, 2010 between, L.W. Matteson, Inc. and Great Lakes Dredge &amp; Dock Corporation. (8)</w:t>
            </w:r>
          </w:p>
        </w:tc>
      </w:tr>
      <w:tr>
        <w:trPr>
          <w:trHeight w:val="312"/>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10.36</w:t>
            </w:r>
          </w:p>
        </w:tc>
        <w:tc>
          <w:tcPr>
            <w:tcW w:w="10820" w:type="dxa"/>
            <w:vAlign w:val="bottom"/>
            <w:gridSpan w:val="3"/>
          </w:tcPr>
          <w:p>
            <w:pPr>
              <w:ind w:left="660"/>
              <w:spacing w:after="0"/>
              <w:rPr>
                <w:sz w:val="20"/>
                <w:szCs w:val="20"/>
                <w:color w:val="auto"/>
              </w:rPr>
            </w:pPr>
            <w:r>
              <w:rPr>
                <w:rFonts w:ascii="Times New Roman" w:cs="Times New Roman" w:eastAsia="Times New Roman" w:hAnsi="Times New Roman"/>
                <w:sz w:val="18"/>
                <w:szCs w:val="18"/>
                <w:color w:val="auto"/>
                <w:w w:val="99"/>
              </w:rPr>
              <w:t>Secured Subordinated Promissory Note dated December 31, 2010, made and delivered by Great Lakes Dredge &amp; Dock, LLC in favor of L.W.</w:t>
            </w:r>
          </w:p>
        </w:tc>
      </w:tr>
      <w:tr>
        <w:trPr>
          <w:trHeight w:val="228"/>
        </w:trPr>
        <w:tc>
          <w:tcPr>
            <w:tcW w:w="520" w:type="dxa"/>
            <w:vAlign w:val="bottom"/>
          </w:tcPr>
          <w:p>
            <w:pPr>
              <w:spacing w:after="0"/>
              <w:rPr>
                <w:sz w:val="19"/>
                <w:szCs w:val="19"/>
                <w:color w:val="auto"/>
              </w:rPr>
            </w:pPr>
          </w:p>
        </w:tc>
        <w:tc>
          <w:tcPr>
            <w:tcW w:w="10820" w:type="dxa"/>
            <w:vAlign w:val="bottom"/>
            <w:gridSpan w:val="3"/>
          </w:tcPr>
          <w:p>
            <w:pPr>
              <w:ind w:left="660"/>
              <w:spacing w:after="0"/>
              <w:rPr>
                <w:sz w:val="20"/>
                <w:szCs w:val="20"/>
                <w:color w:val="auto"/>
              </w:rPr>
            </w:pPr>
            <w:r>
              <w:rPr>
                <w:rFonts w:ascii="Times New Roman" w:cs="Times New Roman" w:eastAsia="Times New Roman" w:hAnsi="Times New Roman"/>
                <w:sz w:val="18"/>
                <w:szCs w:val="18"/>
                <w:color w:val="auto"/>
              </w:rPr>
              <w:t>Matteson, Inc. (8)</w:t>
            </w:r>
          </w:p>
        </w:tc>
      </w:tr>
      <w:tr>
        <w:trPr>
          <w:trHeight w:val="312"/>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10.37</w:t>
            </w:r>
          </w:p>
        </w:tc>
        <w:tc>
          <w:tcPr>
            <w:tcW w:w="10820" w:type="dxa"/>
            <w:vAlign w:val="bottom"/>
            <w:gridSpan w:val="3"/>
          </w:tcPr>
          <w:p>
            <w:pPr>
              <w:ind w:left="660"/>
              <w:spacing w:after="0"/>
              <w:rPr>
                <w:sz w:val="20"/>
                <w:szCs w:val="20"/>
                <w:color w:val="auto"/>
              </w:rPr>
            </w:pPr>
            <w:r>
              <w:rPr>
                <w:rFonts w:ascii="Times New Roman" w:cs="Times New Roman" w:eastAsia="Times New Roman" w:hAnsi="Times New Roman"/>
                <w:sz w:val="18"/>
                <w:szCs w:val="18"/>
                <w:color w:val="auto"/>
                <w:w w:val="97"/>
              </w:rPr>
              <w:t>Registration Rights Agreement, dated January 28, 2011, by and among the Company, certain subsidiary guarantors named therein and the initial</w:t>
            </w:r>
          </w:p>
        </w:tc>
      </w:tr>
      <w:tr>
        <w:trPr>
          <w:trHeight w:val="228"/>
        </w:trPr>
        <w:tc>
          <w:tcPr>
            <w:tcW w:w="520" w:type="dxa"/>
            <w:vAlign w:val="bottom"/>
          </w:tcPr>
          <w:p>
            <w:pPr>
              <w:spacing w:after="0"/>
              <w:rPr>
                <w:sz w:val="19"/>
                <w:szCs w:val="19"/>
                <w:color w:val="auto"/>
              </w:rPr>
            </w:pPr>
          </w:p>
        </w:tc>
        <w:tc>
          <w:tcPr>
            <w:tcW w:w="10820" w:type="dxa"/>
            <w:vAlign w:val="bottom"/>
            <w:gridSpan w:val="3"/>
          </w:tcPr>
          <w:p>
            <w:pPr>
              <w:ind w:left="660"/>
              <w:spacing w:after="0"/>
              <w:rPr>
                <w:sz w:val="20"/>
                <w:szCs w:val="20"/>
                <w:color w:val="auto"/>
              </w:rPr>
            </w:pPr>
            <w:r>
              <w:rPr>
                <w:rFonts w:ascii="Times New Roman" w:cs="Times New Roman" w:eastAsia="Times New Roman" w:hAnsi="Times New Roman"/>
                <w:sz w:val="18"/>
                <w:szCs w:val="18"/>
                <w:color w:val="auto"/>
              </w:rPr>
              <w:t>purchasers named therein. (7)</w:t>
            </w:r>
          </w:p>
        </w:tc>
      </w:tr>
      <w:tr>
        <w:trPr>
          <w:trHeight w:val="312"/>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10.38</w:t>
            </w:r>
          </w:p>
        </w:tc>
        <w:tc>
          <w:tcPr>
            <w:tcW w:w="10820" w:type="dxa"/>
            <w:vAlign w:val="bottom"/>
            <w:gridSpan w:val="3"/>
          </w:tcPr>
          <w:p>
            <w:pPr>
              <w:ind w:left="660"/>
              <w:spacing w:after="0"/>
              <w:rPr>
                <w:sz w:val="20"/>
                <w:szCs w:val="20"/>
                <w:color w:val="auto"/>
              </w:rPr>
            </w:pPr>
            <w:r>
              <w:rPr>
                <w:rFonts w:ascii="Times New Roman" w:cs="Times New Roman" w:eastAsia="Times New Roman" w:hAnsi="Times New Roman"/>
                <w:sz w:val="18"/>
                <w:szCs w:val="18"/>
                <w:color w:val="auto"/>
                <w:w w:val="98"/>
              </w:rPr>
              <w:t>Credit Agreement dated as of June 4, 2012 by and among Great Lakes Dredge &amp; Dock Corporation, as Borrower, the other Credit Parties party</w:t>
            </w:r>
          </w:p>
        </w:tc>
      </w:tr>
      <w:tr>
        <w:trPr>
          <w:trHeight w:val="216"/>
        </w:trPr>
        <w:tc>
          <w:tcPr>
            <w:tcW w:w="520" w:type="dxa"/>
            <w:vAlign w:val="bottom"/>
          </w:tcPr>
          <w:p>
            <w:pPr>
              <w:spacing w:after="0"/>
              <w:rPr>
                <w:sz w:val="18"/>
                <w:szCs w:val="18"/>
                <w:color w:val="auto"/>
              </w:rPr>
            </w:pPr>
          </w:p>
        </w:tc>
        <w:tc>
          <w:tcPr>
            <w:tcW w:w="10820" w:type="dxa"/>
            <w:vAlign w:val="bottom"/>
            <w:gridSpan w:val="3"/>
          </w:tcPr>
          <w:p>
            <w:pPr>
              <w:ind w:left="660"/>
              <w:spacing w:after="0"/>
              <w:rPr>
                <w:sz w:val="20"/>
                <w:szCs w:val="20"/>
                <w:color w:val="auto"/>
              </w:rPr>
            </w:pPr>
            <w:r>
              <w:rPr>
                <w:rFonts w:ascii="Times New Roman" w:cs="Times New Roman" w:eastAsia="Times New Roman" w:hAnsi="Times New Roman"/>
                <w:sz w:val="18"/>
                <w:szCs w:val="18"/>
                <w:color w:val="auto"/>
                <w:w w:val="98"/>
              </w:rPr>
              <w:t>thereto, the financial institutions from time to time party thereto as lenders, Wells Fargo Bank, National Association, as Administrative Agent,</w:t>
            </w:r>
          </w:p>
        </w:tc>
      </w:tr>
      <w:tr>
        <w:trPr>
          <w:trHeight w:val="216"/>
        </w:trPr>
        <w:tc>
          <w:tcPr>
            <w:tcW w:w="520" w:type="dxa"/>
            <w:vAlign w:val="bottom"/>
          </w:tcPr>
          <w:p>
            <w:pPr>
              <w:spacing w:after="0"/>
              <w:rPr>
                <w:sz w:val="18"/>
                <w:szCs w:val="18"/>
                <w:color w:val="auto"/>
              </w:rPr>
            </w:pPr>
          </w:p>
        </w:tc>
        <w:tc>
          <w:tcPr>
            <w:tcW w:w="10820" w:type="dxa"/>
            <w:vAlign w:val="bottom"/>
            <w:gridSpan w:val="3"/>
          </w:tcPr>
          <w:p>
            <w:pPr>
              <w:ind w:left="660"/>
              <w:spacing w:after="0"/>
              <w:rPr>
                <w:sz w:val="20"/>
                <w:szCs w:val="20"/>
                <w:color w:val="auto"/>
              </w:rPr>
            </w:pPr>
            <w:r>
              <w:rPr>
                <w:rFonts w:ascii="Times New Roman" w:cs="Times New Roman" w:eastAsia="Times New Roman" w:hAnsi="Times New Roman"/>
                <w:sz w:val="18"/>
                <w:szCs w:val="18"/>
                <w:color w:val="auto"/>
                <w:w w:val="97"/>
              </w:rPr>
              <w:t>Swingline Lender and an Issuing Lender, Bank of America N.A., as Syndication Agent and PNC Bank, National Association, BMO Harris Bank</w:t>
            </w:r>
          </w:p>
        </w:tc>
      </w:tr>
      <w:tr>
        <w:trPr>
          <w:trHeight w:val="228"/>
        </w:trPr>
        <w:tc>
          <w:tcPr>
            <w:tcW w:w="520" w:type="dxa"/>
            <w:vAlign w:val="bottom"/>
          </w:tcPr>
          <w:p>
            <w:pPr>
              <w:spacing w:after="0"/>
              <w:rPr>
                <w:sz w:val="19"/>
                <w:szCs w:val="19"/>
                <w:color w:val="auto"/>
              </w:rPr>
            </w:pPr>
          </w:p>
        </w:tc>
        <w:tc>
          <w:tcPr>
            <w:tcW w:w="10820" w:type="dxa"/>
            <w:vAlign w:val="bottom"/>
            <w:gridSpan w:val="3"/>
          </w:tcPr>
          <w:p>
            <w:pPr>
              <w:ind w:left="660"/>
              <w:spacing w:after="0"/>
              <w:rPr>
                <w:sz w:val="20"/>
                <w:szCs w:val="20"/>
                <w:color w:val="auto"/>
              </w:rPr>
            </w:pPr>
            <w:r>
              <w:rPr>
                <w:rFonts w:ascii="Times New Roman" w:cs="Times New Roman" w:eastAsia="Times New Roman" w:hAnsi="Times New Roman"/>
                <w:sz w:val="18"/>
                <w:szCs w:val="18"/>
                <w:color w:val="auto"/>
              </w:rPr>
              <w:t>N.A. and Fifth Third Bank, as Co-Documentation Agents. (30)</w:t>
            </w:r>
          </w:p>
        </w:tc>
      </w:tr>
      <w:tr>
        <w:trPr>
          <w:trHeight w:val="365"/>
        </w:trPr>
        <w:tc>
          <w:tcPr>
            <w:tcW w:w="520" w:type="dxa"/>
            <w:vAlign w:val="bottom"/>
          </w:tcPr>
          <w:p>
            <w:pPr>
              <w:spacing w:after="0"/>
              <w:rPr>
                <w:sz w:val="24"/>
                <w:szCs w:val="24"/>
                <w:color w:val="auto"/>
              </w:rPr>
            </w:pPr>
          </w:p>
        </w:tc>
        <w:tc>
          <w:tcPr>
            <w:tcW w:w="6480" w:type="dxa"/>
            <w:vAlign w:val="bottom"/>
            <w:gridSpan w:val="2"/>
          </w:tcPr>
          <w:p>
            <w:pPr>
              <w:ind w:left="5060"/>
              <w:spacing w:after="0"/>
              <w:rPr>
                <w:sz w:val="20"/>
                <w:szCs w:val="20"/>
                <w:color w:val="auto"/>
              </w:rPr>
            </w:pPr>
            <w:r>
              <w:rPr>
                <w:rFonts w:ascii="Times New Roman" w:cs="Times New Roman" w:eastAsia="Times New Roman" w:hAnsi="Times New Roman"/>
                <w:sz w:val="18"/>
                <w:szCs w:val="18"/>
                <w:color w:val="auto"/>
              </w:rPr>
              <w:t>103</w:t>
            </w:r>
          </w:p>
        </w:tc>
        <w:tc>
          <w:tcPr>
            <w:tcW w:w="4340" w:type="dxa"/>
            <w:vAlign w:val="bottom"/>
          </w:tcPr>
          <w:p>
            <w:pPr>
              <w:spacing w:after="0"/>
              <w:rPr>
                <w:sz w:val="24"/>
                <w:szCs w:val="24"/>
                <w:color w:val="auto"/>
              </w:rPr>
            </w:pPr>
          </w:p>
        </w:tc>
      </w:tr>
    </w:tbl>
    <w:p>
      <w:pPr>
        <w:sectPr>
          <w:pgSz w:w="11900" w:h="16838" w:orient="portrait"/>
          <w:cols w:equalWidth="0" w:num="1">
            <w:col w:w="11340"/>
          </w:cols>
          <w:pgMar w:left="240" w:top="455" w:right="319" w:bottom="1440" w:gutter="0" w:footer="0" w:header="0"/>
        </w:sectPr>
      </w:pPr>
    </w:p>
    <w:bookmarkStart w:id="105" w:name="page106"/>
    <w:bookmarkEnd w:id="10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220" w:type="dxa"/>
            <w:vAlign w:val="bottom"/>
          </w:tcPr>
          <w:p>
            <w:pPr>
              <w:spacing w:after="0"/>
              <w:rPr>
                <w:sz w:val="14"/>
                <w:szCs w:val="14"/>
                <w:color w:val="auto"/>
              </w:rPr>
            </w:pPr>
          </w:p>
        </w:tc>
        <w:tc>
          <w:tcPr>
            <w:tcW w:w="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w w:val="92"/>
              </w:rPr>
              <w:t>Number</w:t>
            </w:r>
          </w:p>
        </w:tc>
        <w:tc>
          <w:tcPr>
            <w:tcW w:w="5000" w:type="dxa"/>
            <w:vAlign w:val="bottom"/>
          </w:tcPr>
          <w:p>
            <w:pPr>
              <w:spacing w:after="0"/>
              <w:rPr>
                <w:sz w:val="14"/>
                <w:szCs w:val="14"/>
                <w:color w:val="auto"/>
              </w:rPr>
            </w:pPr>
          </w:p>
        </w:tc>
        <w:tc>
          <w:tcPr>
            <w:tcW w:w="13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w w:val="96"/>
              </w:rPr>
              <w:t>Document Description</w:t>
            </w:r>
          </w:p>
        </w:tc>
        <w:tc>
          <w:tcPr>
            <w:tcW w:w="4300" w:type="dxa"/>
            <w:vAlign w:val="bottom"/>
          </w:tcPr>
          <w:p>
            <w:pPr>
              <w:spacing w:after="0"/>
              <w:rPr>
                <w:sz w:val="14"/>
                <w:szCs w:val="14"/>
                <w:color w:val="auto"/>
              </w:rPr>
            </w:pPr>
          </w:p>
        </w:tc>
      </w:tr>
      <w:tr>
        <w:trPr>
          <w:trHeight w:val="303"/>
        </w:trPr>
        <w:tc>
          <w:tcPr>
            <w:tcW w:w="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10.39</w:t>
            </w:r>
          </w:p>
        </w:tc>
        <w:tc>
          <w:tcPr>
            <w:tcW w:w="10660" w:type="dxa"/>
            <w:vAlign w:val="bottom"/>
            <w:gridSpan w:val="3"/>
          </w:tcPr>
          <w:p>
            <w:pPr>
              <w:ind w:left="660"/>
              <w:spacing w:after="0"/>
              <w:rPr>
                <w:sz w:val="20"/>
                <w:szCs w:val="20"/>
                <w:color w:val="auto"/>
              </w:rPr>
            </w:pPr>
            <w:r>
              <w:rPr>
                <w:rFonts w:ascii="Times New Roman" w:cs="Times New Roman" w:eastAsia="Times New Roman" w:hAnsi="Times New Roman"/>
                <w:sz w:val="18"/>
                <w:szCs w:val="18"/>
                <w:color w:val="auto"/>
                <w:w w:val="97"/>
              </w:rPr>
              <w:t>First Amendment to Credit Agreement dated as of December 11, 2012 by and among Great Lakes Dredge &amp; Dock Corporation, as Borrower,</w:t>
            </w:r>
          </w:p>
        </w:tc>
      </w:tr>
      <w:tr>
        <w:trPr>
          <w:trHeight w:val="216"/>
        </w:trPr>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60" w:type="dxa"/>
            <w:vAlign w:val="bottom"/>
            <w:gridSpan w:val="3"/>
          </w:tcPr>
          <w:p>
            <w:pPr>
              <w:ind w:left="660"/>
              <w:spacing w:after="0"/>
              <w:rPr>
                <w:sz w:val="20"/>
                <w:szCs w:val="20"/>
                <w:color w:val="auto"/>
              </w:rPr>
            </w:pPr>
            <w:r>
              <w:rPr>
                <w:rFonts w:ascii="Times New Roman" w:cs="Times New Roman" w:eastAsia="Times New Roman" w:hAnsi="Times New Roman"/>
                <w:sz w:val="18"/>
                <w:szCs w:val="18"/>
                <w:color w:val="auto"/>
              </w:rPr>
              <w:t>the other Credit Parties party thereto, the financial institutions from time to time party thereto as lenders, Wells Fargo Bank, National</w:t>
            </w:r>
          </w:p>
        </w:tc>
      </w:tr>
      <w:tr>
        <w:trPr>
          <w:trHeight w:val="216"/>
        </w:trPr>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60" w:type="dxa"/>
            <w:vAlign w:val="bottom"/>
            <w:gridSpan w:val="3"/>
          </w:tcPr>
          <w:p>
            <w:pPr>
              <w:ind w:left="660"/>
              <w:spacing w:after="0"/>
              <w:rPr>
                <w:sz w:val="20"/>
                <w:szCs w:val="20"/>
                <w:color w:val="auto"/>
              </w:rPr>
            </w:pPr>
            <w:r>
              <w:rPr>
                <w:rFonts w:ascii="Times New Roman" w:cs="Times New Roman" w:eastAsia="Times New Roman" w:hAnsi="Times New Roman"/>
                <w:sz w:val="18"/>
                <w:szCs w:val="18"/>
                <w:color w:val="auto"/>
                <w:w w:val="97"/>
              </w:rPr>
              <w:t>Association, as Administrative Agent, Swingline Lender and an Issuing Lender, Bank of America N.A., as Syndication Agent and PNC Bank,</w:t>
            </w:r>
          </w:p>
        </w:tc>
      </w:tr>
      <w:tr>
        <w:trPr>
          <w:trHeight w:val="228"/>
        </w:trPr>
        <w:tc>
          <w:tcPr>
            <w:tcW w:w="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60" w:type="dxa"/>
            <w:vAlign w:val="bottom"/>
            <w:gridSpan w:val="3"/>
          </w:tcPr>
          <w:p>
            <w:pPr>
              <w:ind w:left="660"/>
              <w:spacing w:after="0"/>
              <w:rPr>
                <w:sz w:val="20"/>
                <w:szCs w:val="20"/>
                <w:color w:val="auto"/>
              </w:rPr>
            </w:pPr>
            <w:r>
              <w:rPr>
                <w:rFonts w:ascii="Times New Roman" w:cs="Times New Roman" w:eastAsia="Times New Roman" w:hAnsi="Times New Roman"/>
                <w:sz w:val="18"/>
                <w:szCs w:val="18"/>
                <w:color w:val="auto"/>
              </w:rPr>
              <w:t>National Association, BMO Harris Bank N.A. and Fifth Third Bank, as Co-Documentation Agents. (31)</w:t>
            </w:r>
          </w:p>
        </w:tc>
      </w:tr>
      <w:tr>
        <w:trPr>
          <w:trHeight w:val="312"/>
        </w:trPr>
        <w:tc>
          <w:tcPr>
            <w:tcW w:w="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10.40</w:t>
            </w:r>
          </w:p>
        </w:tc>
        <w:tc>
          <w:tcPr>
            <w:tcW w:w="10660" w:type="dxa"/>
            <w:vAlign w:val="bottom"/>
            <w:gridSpan w:val="3"/>
          </w:tcPr>
          <w:p>
            <w:pPr>
              <w:ind w:left="660"/>
              <w:spacing w:after="0"/>
              <w:rPr>
                <w:sz w:val="20"/>
                <w:szCs w:val="20"/>
                <w:color w:val="auto"/>
              </w:rPr>
            </w:pPr>
            <w:r>
              <w:rPr>
                <w:rFonts w:ascii="Times New Roman" w:cs="Times New Roman" w:eastAsia="Times New Roman" w:hAnsi="Times New Roman"/>
                <w:sz w:val="18"/>
                <w:szCs w:val="18"/>
                <w:color w:val="auto"/>
                <w:w w:val="97"/>
              </w:rPr>
              <w:t>Waiver and Amendment No. 2 to Credit Agreement, dated as of March 15, 2013, by and among Great Lakes Dredge &amp; Dock Corporation, the</w:t>
            </w:r>
          </w:p>
        </w:tc>
      </w:tr>
      <w:tr>
        <w:trPr>
          <w:trHeight w:val="216"/>
        </w:trPr>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60" w:type="dxa"/>
            <w:vAlign w:val="bottom"/>
            <w:gridSpan w:val="3"/>
          </w:tcPr>
          <w:p>
            <w:pPr>
              <w:ind w:left="660"/>
              <w:spacing w:after="0"/>
              <w:rPr>
                <w:sz w:val="20"/>
                <w:szCs w:val="20"/>
                <w:color w:val="auto"/>
              </w:rPr>
            </w:pPr>
            <w:r>
              <w:rPr>
                <w:rFonts w:ascii="Times New Roman" w:cs="Times New Roman" w:eastAsia="Times New Roman" w:hAnsi="Times New Roman"/>
                <w:sz w:val="18"/>
                <w:szCs w:val="18"/>
                <w:color w:val="auto"/>
                <w:w w:val="97"/>
              </w:rPr>
              <w:t>other Credit Parties party thereto, Wells Fargo Bank, National Association, as Administrative Agent, Swingline Lender and an Issuing Lender,</w:t>
            </w:r>
          </w:p>
        </w:tc>
      </w:tr>
      <w:tr>
        <w:trPr>
          <w:trHeight w:val="228"/>
        </w:trPr>
        <w:tc>
          <w:tcPr>
            <w:tcW w:w="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60" w:type="dxa"/>
            <w:vAlign w:val="bottom"/>
            <w:gridSpan w:val="3"/>
          </w:tcPr>
          <w:p>
            <w:pPr>
              <w:ind w:left="660"/>
              <w:spacing w:after="0"/>
              <w:rPr>
                <w:sz w:val="20"/>
                <w:szCs w:val="20"/>
                <w:color w:val="auto"/>
              </w:rPr>
            </w:pPr>
            <w:r>
              <w:rPr>
                <w:rFonts w:ascii="Times New Roman" w:cs="Times New Roman" w:eastAsia="Times New Roman" w:hAnsi="Times New Roman"/>
                <w:sz w:val="18"/>
                <w:szCs w:val="18"/>
                <w:color w:val="auto"/>
              </w:rPr>
              <w:t>and the other lenders party thereto. (32)</w:t>
            </w:r>
          </w:p>
        </w:tc>
      </w:tr>
      <w:tr>
        <w:trPr>
          <w:trHeight w:val="312"/>
        </w:trPr>
        <w:tc>
          <w:tcPr>
            <w:tcW w:w="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10.41</w:t>
            </w:r>
          </w:p>
        </w:tc>
        <w:tc>
          <w:tcPr>
            <w:tcW w:w="10660" w:type="dxa"/>
            <w:vAlign w:val="bottom"/>
            <w:gridSpan w:val="3"/>
          </w:tcPr>
          <w:p>
            <w:pPr>
              <w:ind w:left="660"/>
              <w:spacing w:after="0"/>
              <w:rPr>
                <w:sz w:val="20"/>
                <w:szCs w:val="20"/>
                <w:color w:val="auto"/>
              </w:rPr>
            </w:pPr>
            <w:r>
              <w:rPr>
                <w:rFonts w:ascii="Times New Roman" w:cs="Times New Roman" w:eastAsia="Times New Roman" w:hAnsi="Times New Roman"/>
                <w:sz w:val="18"/>
                <w:szCs w:val="18"/>
                <w:color w:val="auto"/>
                <w:w w:val="99"/>
              </w:rPr>
              <w:t>Lender-Surety Priority Agreement, dated as of June 4, 2012, by and between Wells Fargo Bank, National Association and Zurich American</w:t>
            </w:r>
          </w:p>
        </w:tc>
      </w:tr>
      <w:tr>
        <w:trPr>
          <w:trHeight w:val="228"/>
        </w:trPr>
        <w:tc>
          <w:tcPr>
            <w:tcW w:w="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60" w:type="dxa"/>
            <w:vAlign w:val="bottom"/>
            <w:gridSpan w:val="3"/>
          </w:tcPr>
          <w:p>
            <w:pPr>
              <w:ind w:left="660"/>
              <w:spacing w:after="0"/>
              <w:rPr>
                <w:sz w:val="20"/>
                <w:szCs w:val="20"/>
                <w:color w:val="auto"/>
              </w:rPr>
            </w:pPr>
            <w:r>
              <w:rPr>
                <w:rFonts w:ascii="Times New Roman" w:cs="Times New Roman" w:eastAsia="Times New Roman" w:hAnsi="Times New Roman"/>
                <w:sz w:val="18"/>
                <w:szCs w:val="18"/>
                <w:color w:val="auto"/>
              </w:rPr>
              <w:t>Insurance Company and its subsidiaries and affiliates.*</w:t>
            </w:r>
          </w:p>
        </w:tc>
      </w:tr>
      <w:tr>
        <w:trPr>
          <w:trHeight w:val="312"/>
        </w:trPr>
        <w:tc>
          <w:tcPr>
            <w:tcW w:w="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10.42</w:t>
            </w:r>
          </w:p>
        </w:tc>
        <w:tc>
          <w:tcPr>
            <w:tcW w:w="10660" w:type="dxa"/>
            <w:vAlign w:val="bottom"/>
            <w:gridSpan w:val="3"/>
          </w:tcPr>
          <w:p>
            <w:pPr>
              <w:ind w:left="660"/>
              <w:spacing w:after="0"/>
              <w:rPr>
                <w:sz w:val="20"/>
                <w:szCs w:val="20"/>
                <w:color w:val="auto"/>
              </w:rPr>
            </w:pPr>
            <w:r>
              <w:rPr>
                <w:rFonts w:ascii="Times New Roman" w:cs="Times New Roman" w:eastAsia="Times New Roman" w:hAnsi="Times New Roman"/>
                <w:sz w:val="18"/>
                <w:szCs w:val="18"/>
                <w:color w:val="auto"/>
              </w:rPr>
              <w:t>Agreement of Indemnity, dated as of September 7, 2011, by and among Great Lakes Dredge &amp; Dock Corporation, Great Lakes Dredge &amp;</w:t>
            </w:r>
          </w:p>
        </w:tc>
      </w:tr>
      <w:tr>
        <w:trPr>
          <w:trHeight w:val="216"/>
        </w:trPr>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60" w:type="dxa"/>
            <w:vAlign w:val="bottom"/>
            <w:gridSpan w:val="3"/>
          </w:tcPr>
          <w:p>
            <w:pPr>
              <w:ind w:left="660"/>
              <w:spacing w:after="0"/>
              <w:rPr>
                <w:sz w:val="20"/>
                <w:szCs w:val="20"/>
                <w:color w:val="auto"/>
              </w:rPr>
            </w:pPr>
            <w:r>
              <w:rPr>
                <w:rFonts w:ascii="Times New Roman" w:cs="Times New Roman" w:eastAsia="Times New Roman" w:hAnsi="Times New Roman"/>
                <w:sz w:val="18"/>
                <w:szCs w:val="18"/>
                <w:color w:val="auto"/>
              </w:rPr>
              <w:t>Dock Company, LLC, Lydon Dredging and Construction Company, Ltd., Fifty-Three Dredging Corporation, Dawson Marine Services</w:t>
            </w:r>
          </w:p>
        </w:tc>
      </w:tr>
      <w:tr>
        <w:trPr>
          <w:trHeight w:val="216"/>
        </w:trPr>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60" w:type="dxa"/>
            <w:vAlign w:val="bottom"/>
            <w:gridSpan w:val="3"/>
          </w:tcPr>
          <w:p>
            <w:pPr>
              <w:ind w:left="660"/>
              <w:spacing w:after="0"/>
              <w:rPr>
                <w:sz w:val="20"/>
                <w:szCs w:val="20"/>
                <w:color w:val="auto"/>
              </w:rPr>
            </w:pPr>
            <w:r>
              <w:rPr>
                <w:rFonts w:ascii="Times New Roman" w:cs="Times New Roman" w:eastAsia="Times New Roman" w:hAnsi="Times New Roman"/>
                <w:sz w:val="18"/>
                <w:szCs w:val="18"/>
                <w:color w:val="auto"/>
              </w:rPr>
              <w:t>Company, Great Lakes Dredge &amp; Dock Environmental, Inc. f/k/a Great Lakes Caribbean Dredging, Inc., NASDI, LLC, NASDI Holdings</w:t>
            </w:r>
          </w:p>
        </w:tc>
      </w:tr>
      <w:tr>
        <w:trPr>
          <w:trHeight w:val="216"/>
        </w:trPr>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60" w:type="dxa"/>
            <w:vAlign w:val="bottom"/>
            <w:gridSpan w:val="3"/>
          </w:tcPr>
          <w:p>
            <w:pPr>
              <w:ind w:left="660"/>
              <w:spacing w:after="0"/>
              <w:rPr>
                <w:sz w:val="20"/>
                <w:szCs w:val="20"/>
                <w:color w:val="auto"/>
              </w:rPr>
            </w:pPr>
            <w:r>
              <w:rPr>
                <w:rFonts w:ascii="Times New Roman" w:cs="Times New Roman" w:eastAsia="Times New Roman" w:hAnsi="Times New Roman"/>
                <w:sz w:val="18"/>
                <w:szCs w:val="18"/>
                <w:color w:val="auto"/>
                <w:w w:val="98"/>
              </w:rPr>
              <w:t>Corporation, Yankee Environmental Services, LLC, Great Lakes Dredge &amp; Dock (Bahamas) Ltd. and Zurich American Insurance Company</w:t>
            </w:r>
          </w:p>
        </w:tc>
      </w:tr>
      <w:tr>
        <w:trPr>
          <w:trHeight w:val="228"/>
        </w:trPr>
        <w:tc>
          <w:tcPr>
            <w:tcW w:w="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60" w:type="dxa"/>
            <w:vAlign w:val="bottom"/>
            <w:gridSpan w:val="3"/>
          </w:tcPr>
          <w:p>
            <w:pPr>
              <w:ind w:left="660"/>
              <w:spacing w:after="0"/>
              <w:rPr>
                <w:sz w:val="20"/>
                <w:szCs w:val="20"/>
                <w:color w:val="auto"/>
              </w:rPr>
            </w:pPr>
            <w:r>
              <w:rPr>
                <w:rFonts w:ascii="Times New Roman" w:cs="Times New Roman" w:eastAsia="Times New Roman" w:hAnsi="Times New Roman"/>
                <w:sz w:val="18"/>
                <w:szCs w:val="18"/>
                <w:color w:val="auto"/>
              </w:rPr>
              <w:t>and its subsidiaries and affiliates. *</w:t>
            </w:r>
          </w:p>
        </w:tc>
      </w:tr>
      <w:tr>
        <w:trPr>
          <w:trHeight w:val="324"/>
        </w:trPr>
        <w:tc>
          <w:tcPr>
            <w:tcW w:w="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10.43</w:t>
            </w:r>
          </w:p>
        </w:tc>
        <w:tc>
          <w:tcPr>
            <w:tcW w:w="10660" w:type="dxa"/>
            <w:vAlign w:val="bottom"/>
            <w:gridSpan w:val="3"/>
          </w:tcPr>
          <w:p>
            <w:pPr>
              <w:ind w:left="660"/>
              <w:spacing w:after="0"/>
              <w:rPr>
                <w:sz w:val="20"/>
                <w:szCs w:val="20"/>
                <w:color w:val="auto"/>
              </w:rPr>
            </w:pPr>
            <w:r>
              <w:rPr>
                <w:rFonts w:ascii="Times New Roman" w:cs="Times New Roman" w:eastAsia="Times New Roman" w:hAnsi="Times New Roman"/>
                <w:sz w:val="18"/>
                <w:szCs w:val="18"/>
                <w:color w:val="auto"/>
              </w:rPr>
              <w:t>Offer letter, dated as of August 9, 2012 to William S. Steckel. *†</w:t>
            </w:r>
          </w:p>
        </w:tc>
      </w:tr>
      <w:tr>
        <w:trPr>
          <w:trHeight w:val="324"/>
        </w:trPr>
        <w:tc>
          <w:tcPr>
            <w:tcW w:w="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12.1</w:t>
            </w:r>
          </w:p>
        </w:tc>
        <w:tc>
          <w:tcPr>
            <w:tcW w:w="10660" w:type="dxa"/>
            <w:vAlign w:val="bottom"/>
            <w:gridSpan w:val="3"/>
          </w:tcPr>
          <w:p>
            <w:pPr>
              <w:ind w:left="660"/>
              <w:spacing w:after="0"/>
              <w:rPr>
                <w:sz w:val="20"/>
                <w:szCs w:val="20"/>
                <w:color w:val="auto"/>
              </w:rPr>
            </w:pPr>
            <w:r>
              <w:rPr>
                <w:rFonts w:ascii="Times New Roman" w:cs="Times New Roman" w:eastAsia="Times New Roman" w:hAnsi="Times New Roman"/>
                <w:sz w:val="18"/>
                <w:szCs w:val="18"/>
                <w:color w:val="auto"/>
              </w:rPr>
              <w:t>Ratio of Earnings to Fixed Charges. *</w:t>
            </w:r>
          </w:p>
        </w:tc>
      </w:tr>
      <w:tr>
        <w:trPr>
          <w:trHeight w:val="324"/>
        </w:trPr>
        <w:tc>
          <w:tcPr>
            <w:tcW w:w="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14.1</w:t>
            </w:r>
          </w:p>
        </w:tc>
        <w:tc>
          <w:tcPr>
            <w:tcW w:w="10660" w:type="dxa"/>
            <w:vAlign w:val="bottom"/>
            <w:gridSpan w:val="3"/>
          </w:tcPr>
          <w:p>
            <w:pPr>
              <w:ind w:left="660"/>
              <w:spacing w:after="0"/>
              <w:rPr>
                <w:sz w:val="20"/>
                <w:szCs w:val="20"/>
                <w:color w:val="auto"/>
              </w:rPr>
            </w:pPr>
            <w:r>
              <w:rPr>
                <w:rFonts w:ascii="Times New Roman" w:cs="Times New Roman" w:eastAsia="Times New Roman" w:hAnsi="Times New Roman"/>
                <w:sz w:val="18"/>
                <w:szCs w:val="18"/>
                <w:color w:val="auto"/>
              </w:rPr>
              <w:t>Code of Business Conduct and Ethics. (24)</w:t>
            </w:r>
          </w:p>
        </w:tc>
      </w:tr>
      <w:tr>
        <w:trPr>
          <w:trHeight w:val="324"/>
        </w:trPr>
        <w:tc>
          <w:tcPr>
            <w:tcW w:w="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21.1</w:t>
            </w:r>
          </w:p>
        </w:tc>
        <w:tc>
          <w:tcPr>
            <w:tcW w:w="10660" w:type="dxa"/>
            <w:vAlign w:val="bottom"/>
            <w:gridSpan w:val="3"/>
          </w:tcPr>
          <w:p>
            <w:pPr>
              <w:ind w:left="660"/>
              <w:spacing w:after="0"/>
              <w:rPr>
                <w:sz w:val="20"/>
                <w:szCs w:val="20"/>
                <w:color w:val="auto"/>
              </w:rPr>
            </w:pPr>
            <w:r>
              <w:rPr>
                <w:rFonts w:ascii="Times New Roman" w:cs="Times New Roman" w:eastAsia="Times New Roman" w:hAnsi="Times New Roman"/>
                <w:sz w:val="18"/>
                <w:szCs w:val="18"/>
                <w:color w:val="auto"/>
              </w:rPr>
              <w:t>Subsidiaries of Great Lakes Dredge &amp; Dock Corporation. *</w:t>
            </w:r>
          </w:p>
        </w:tc>
      </w:tr>
      <w:tr>
        <w:trPr>
          <w:trHeight w:val="324"/>
        </w:trPr>
        <w:tc>
          <w:tcPr>
            <w:tcW w:w="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23.1</w:t>
            </w:r>
          </w:p>
        </w:tc>
        <w:tc>
          <w:tcPr>
            <w:tcW w:w="10660" w:type="dxa"/>
            <w:vAlign w:val="bottom"/>
            <w:gridSpan w:val="3"/>
          </w:tcPr>
          <w:p>
            <w:pPr>
              <w:ind w:left="660"/>
              <w:spacing w:after="0"/>
              <w:rPr>
                <w:sz w:val="20"/>
                <w:szCs w:val="20"/>
                <w:color w:val="auto"/>
              </w:rPr>
            </w:pPr>
            <w:r>
              <w:rPr>
                <w:rFonts w:ascii="Times New Roman" w:cs="Times New Roman" w:eastAsia="Times New Roman" w:hAnsi="Times New Roman"/>
                <w:sz w:val="18"/>
                <w:szCs w:val="18"/>
                <w:color w:val="auto"/>
              </w:rPr>
              <w:t>Consent of Deloitte &amp; Touche LLP. *</w:t>
            </w:r>
          </w:p>
        </w:tc>
      </w:tr>
      <w:tr>
        <w:trPr>
          <w:trHeight w:val="312"/>
        </w:trPr>
        <w:tc>
          <w:tcPr>
            <w:tcW w:w="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31.1</w:t>
            </w:r>
          </w:p>
        </w:tc>
        <w:tc>
          <w:tcPr>
            <w:tcW w:w="10660" w:type="dxa"/>
            <w:vAlign w:val="bottom"/>
            <w:gridSpan w:val="3"/>
          </w:tcPr>
          <w:p>
            <w:pPr>
              <w:ind w:left="660"/>
              <w:spacing w:after="0"/>
              <w:rPr>
                <w:sz w:val="20"/>
                <w:szCs w:val="20"/>
                <w:color w:val="auto"/>
              </w:rPr>
            </w:pPr>
            <w:r>
              <w:rPr>
                <w:rFonts w:ascii="Times New Roman" w:cs="Times New Roman" w:eastAsia="Times New Roman" w:hAnsi="Times New Roman"/>
                <w:sz w:val="18"/>
                <w:szCs w:val="18"/>
                <w:color w:val="auto"/>
              </w:rPr>
              <w:t>Certification Pursuant to Rules 13a-14 and 15d-14 under the Securities Exchange Act of 1934, as Adopted Pursuant to Section 302 of the</w:t>
            </w:r>
          </w:p>
        </w:tc>
      </w:tr>
      <w:tr>
        <w:trPr>
          <w:trHeight w:val="228"/>
        </w:trPr>
        <w:tc>
          <w:tcPr>
            <w:tcW w:w="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60" w:type="dxa"/>
            <w:vAlign w:val="bottom"/>
            <w:gridSpan w:val="3"/>
          </w:tcPr>
          <w:p>
            <w:pPr>
              <w:ind w:left="660"/>
              <w:spacing w:after="0"/>
              <w:rPr>
                <w:sz w:val="20"/>
                <w:szCs w:val="20"/>
                <w:color w:val="auto"/>
              </w:rPr>
            </w:pPr>
            <w:r>
              <w:rPr>
                <w:rFonts w:ascii="Times New Roman" w:cs="Times New Roman" w:eastAsia="Times New Roman" w:hAnsi="Times New Roman"/>
                <w:sz w:val="18"/>
                <w:szCs w:val="18"/>
                <w:color w:val="auto"/>
              </w:rPr>
              <w:t>Sarbanes-Oxley Act of 2002. *</w:t>
            </w:r>
          </w:p>
        </w:tc>
      </w:tr>
      <w:tr>
        <w:trPr>
          <w:trHeight w:val="312"/>
        </w:trPr>
        <w:tc>
          <w:tcPr>
            <w:tcW w:w="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31.2</w:t>
            </w:r>
          </w:p>
        </w:tc>
        <w:tc>
          <w:tcPr>
            <w:tcW w:w="10660" w:type="dxa"/>
            <w:vAlign w:val="bottom"/>
            <w:gridSpan w:val="3"/>
          </w:tcPr>
          <w:p>
            <w:pPr>
              <w:ind w:left="660"/>
              <w:spacing w:after="0"/>
              <w:rPr>
                <w:sz w:val="20"/>
                <w:szCs w:val="20"/>
                <w:color w:val="auto"/>
              </w:rPr>
            </w:pPr>
            <w:r>
              <w:rPr>
                <w:rFonts w:ascii="Times New Roman" w:cs="Times New Roman" w:eastAsia="Times New Roman" w:hAnsi="Times New Roman"/>
                <w:sz w:val="18"/>
                <w:szCs w:val="18"/>
                <w:color w:val="auto"/>
              </w:rPr>
              <w:t>Certification Pursuant to Rules 13a-14 and 15d-14 under the Securities Exchange Act of 1934, as Adopted Pursuant to Section 302 of the</w:t>
            </w:r>
          </w:p>
        </w:tc>
      </w:tr>
      <w:tr>
        <w:trPr>
          <w:trHeight w:val="228"/>
        </w:trPr>
        <w:tc>
          <w:tcPr>
            <w:tcW w:w="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60" w:type="dxa"/>
            <w:vAlign w:val="bottom"/>
            <w:gridSpan w:val="3"/>
          </w:tcPr>
          <w:p>
            <w:pPr>
              <w:ind w:left="660"/>
              <w:spacing w:after="0"/>
              <w:rPr>
                <w:sz w:val="20"/>
                <w:szCs w:val="20"/>
                <w:color w:val="auto"/>
              </w:rPr>
            </w:pPr>
            <w:r>
              <w:rPr>
                <w:rFonts w:ascii="Times New Roman" w:cs="Times New Roman" w:eastAsia="Times New Roman" w:hAnsi="Times New Roman"/>
                <w:sz w:val="18"/>
                <w:szCs w:val="18"/>
                <w:color w:val="auto"/>
              </w:rPr>
              <w:t>Sarbanes-Oxley Act of 2002. *</w:t>
            </w:r>
          </w:p>
        </w:tc>
      </w:tr>
      <w:tr>
        <w:trPr>
          <w:trHeight w:val="324"/>
        </w:trPr>
        <w:tc>
          <w:tcPr>
            <w:tcW w:w="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32.1</w:t>
            </w:r>
          </w:p>
        </w:tc>
        <w:tc>
          <w:tcPr>
            <w:tcW w:w="10660" w:type="dxa"/>
            <w:vAlign w:val="bottom"/>
            <w:gridSpan w:val="3"/>
          </w:tcPr>
          <w:p>
            <w:pPr>
              <w:ind w:left="660"/>
              <w:spacing w:after="0"/>
              <w:rPr>
                <w:sz w:val="20"/>
                <w:szCs w:val="20"/>
                <w:color w:val="auto"/>
              </w:rPr>
            </w:pPr>
            <w:r>
              <w:rPr>
                <w:rFonts w:ascii="Times New Roman" w:cs="Times New Roman" w:eastAsia="Times New Roman" w:hAnsi="Times New Roman"/>
                <w:sz w:val="18"/>
                <w:szCs w:val="18"/>
                <w:color w:val="auto"/>
              </w:rPr>
              <w:t>Certification Pursuant to 18 U.S.C. Section 1350, as Adopted Pursuant to Section 906 of the Sarbanes-Oxley Act of 2002. *</w:t>
            </w:r>
          </w:p>
        </w:tc>
      </w:tr>
      <w:tr>
        <w:trPr>
          <w:trHeight w:val="324"/>
        </w:trPr>
        <w:tc>
          <w:tcPr>
            <w:tcW w:w="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32.2</w:t>
            </w:r>
          </w:p>
        </w:tc>
        <w:tc>
          <w:tcPr>
            <w:tcW w:w="10660" w:type="dxa"/>
            <w:vAlign w:val="bottom"/>
            <w:gridSpan w:val="3"/>
          </w:tcPr>
          <w:p>
            <w:pPr>
              <w:ind w:left="660"/>
              <w:spacing w:after="0"/>
              <w:rPr>
                <w:sz w:val="20"/>
                <w:szCs w:val="20"/>
                <w:color w:val="auto"/>
              </w:rPr>
            </w:pPr>
            <w:r>
              <w:rPr>
                <w:rFonts w:ascii="Times New Roman" w:cs="Times New Roman" w:eastAsia="Times New Roman" w:hAnsi="Times New Roman"/>
                <w:sz w:val="18"/>
                <w:szCs w:val="18"/>
                <w:color w:val="auto"/>
              </w:rPr>
              <w:t>Certification Pursuant to 18 U.S.C. Section 1350, as Adopted Pursuant to Section 906 of the Sarbanes-Oxley Act of 2002. *</w:t>
            </w:r>
          </w:p>
        </w:tc>
      </w:tr>
      <w:tr>
        <w:trPr>
          <w:trHeight w:val="324"/>
        </w:trPr>
        <w:tc>
          <w:tcPr>
            <w:tcW w:w="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101.INS</w:t>
            </w:r>
          </w:p>
        </w:tc>
        <w:tc>
          <w:tcPr>
            <w:tcW w:w="10660" w:type="dxa"/>
            <w:vAlign w:val="bottom"/>
            <w:gridSpan w:val="3"/>
          </w:tcPr>
          <w:p>
            <w:pPr>
              <w:ind w:left="660"/>
              <w:spacing w:after="0"/>
              <w:rPr>
                <w:sz w:val="20"/>
                <w:szCs w:val="20"/>
                <w:color w:val="auto"/>
              </w:rPr>
            </w:pPr>
            <w:r>
              <w:rPr>
                <w:rFonts w:ascii="Times New Roman" w:cs="Times New Roman" w:eastAsia="Times New Roman" w:hAnsi="Times New Roman"/>
                <w:sz w:val="18"/>
                <w:szCs w:val="18"/>
                <w:color w:val="auto"/>
              </w:rPr>
              <w:t>XBRL Instance Document. *</w:t>
            </w:r>
          </w:p>
        </w:tc>
      </w:tr>
      <w:tr>
        <w:trPr>
          <w:trHeight w:val="324"/>
        </w:trPr>
        <w:tc>
          <w:tcPr>
            <w:tcW w:w="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101.SCH</w:t>
            </w:r>
          </w:p>
        </w:tc>
        <w:tc>
          <w:tcPr>
            <w:tcW w:w="10660" w:type="dxa"/>
            <w:vAlign w:val="bottom"/>
            <w:gridSpan w:val="3"/>
          </w:tcPr>
          <w:p>
            <w:pPr>
              <w:ind w:left="660"/>
              <w:spacing w:after="0"/>
              <w:rPr>
                <w:sz w:val="20"/>
                <w:szCs w:val="20"/>
                <w:color w:val="auto"/>
              </w:rPr>
            </w:pPr>
            <w:r>
              <w:rPr>
                <w:rFonts w:ascii="Times New Roman" w:cs="Times New Roman" w:eastAsia="Times New Roman" w:hAnsi="Times New Roman"/>
                <w:sz w:val="18"/>
                <w:szCs w:val="18"/>
                <w:color w:val="auto"/>
              </w:rPr>
              <w:t>XBRL Taxonomy Extension Schema. *</w:t>
            </w:r>
          </w:p>
        </w:tc>
      </w:tr>
      <w:tr>
        <w:trPr>
          <w:trHeight w:val="324"/>
        </w:trPr>
        <w:tc>
          <w:tcPr>
            <w:tcW w:w="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101.CAL</w:t>
            </w:r>
          </w:p>
        </w:tc>
        <w:tc>
          <w:tcPr>
            <w:tcW w:w="10660" w:type="dxa"/>
            <w:vAlign w:val="bottom"/>
            <w:gridSpan w:val="3"/>
          </w:tcPr>
          <w:p>
            <w:pPr>
              <w:ind w:left="660"/>
              <w:spacing w:after="0"/>
              <w:rPr>
                <w:sz w:val="20"/>
                <w:szCs w:val="20"/>
                <w:color w:val="auto"/>
              </w:rPr>
            </w:pPr>
            <w:r>
              <w:rPr>
                <w:rFonts w:ascii="Times New Roman" w:cs="Times New Roman" w:eastAsia="Times New Roman" w:hAnsi="Times New Roman"/>
                <w:sz w:val="18"/>
                <w:szCs w:val="18"/>
                <w:color w:val="auto"/>
              </w:rPr>
              <w:t>XBRL Taxonomy Extension Calculation Linkbase. *</w:t>
            </w:r>
          </w:p>
        </w:tc>
      </w:tr>
      <w:tr>
        <w:trPr>
          <w:trHeight w:val="324"/>
        </w:trPr>
        <w:tc>
          <w:tcPr>
            <w:tcW w:w="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101.DEF</w:t>
            </w:r>
          </w:p>
        </w:tc>
        <w:tc>
          <w:tcPr>
            <w:tcW w:w="10660" w:type="dxa"/>
            <w:vAlign w:val="bottom"/>
            <w:gridSpan w:val="3"/>
          </w:tcPr>
          <w:p>
            <w:pPr>
              <w:ind w:left="660"/>
              <w:spacing w:after="0"/>
              <w:rPr>
                <w:sz w:val="20"/>
                <w:szCs w:val="20"/>
                <w:color w:val="auto"/>
              </w:rPr>
            </w:pPr>
            <w:r>
              <w:rPr>
                <w:rFonts w:ascii="Times New Roman" w:cs="Times New Roman" w:eastAsia="Times New Roman" w:hAnsi="Times New Roman"/>
                <w:sz w:val="18"/>
                <w:szCs w:val="18"/>
                <w:color w:val="auto"/>
              </w:rPr>
              <w:t>XBRL Taxonomy Extension Definition Linkbase. *</w:t>
            </w:r>
          </w:p>
        </w:tc>
      </w:tr>
      <w:tr>
        <w:trPr>
          <w:trHeight w:val="324"/>
        </w:trPr>
        <w:tc>
          <w:tcPr>
            <w:tcW w:w="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101.LAB</w:t>
            </w:r>
          </w:p>
        </w:tc>
        <w:tc>
          <w:tcPr>
            <w:tcW w:w="10660" w:type="dxa"/>
            <w:vAlign w:val="bottom"/>
            <w:gridSpan w:val="3"/>
          </w:tcPr>
          <w:p>
            <w:pPr>
              <w:ind w:left="660"/>
              <w:spacing w:after="0"/>
              <w:rPr>
                <w:sz w:val="20"/>
                <w:szCs w:val="20"/>
                <w:color w:val="auto"/>
              </w:rPr>
            </w:pPr>
            <w:r>
              <w:rPr>
                <w:rFonts w:ascii="Times New Roman" w:cs="Times New Roman" w:eastAsia="Times New Roman" w:hAnsi="Times New Roman"/>
                <w:sz w:val="18"/>
                <w:szCs w:val="18"/>
                <w:color w:val="auto"/>
              </w:rPr>
              <w:t>XBRL Taxonomy Extension Label Linkbase. *</w:t>
            </w:r>
          </w:p>
        </w:tc>
      </w:tr>
      <w:tr>
        <w:trPr>
          <w:trHeight w:val="324"/>
        </w:trPr>
        <w:tc>
          <w:tcPr>
            <w:tcW w:w="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101.PRE</w:t>
            </w:r>
          </w:p>
        </w:tc>
        <w:tc>
          <w:tcPr>
            <w:tcW w:w="10660" w:type="dxa"/>
            <w:vAlign w:val="bottom"/>
            <w:gridSpan w:val="3"/>
          </w:tcPr>
          <w:p>
            <w:pPr>
              <w:ind w:left="660"/>
              <w:spacing w:after="0"/>
              <w:rPr>
                <w:sz w:val="20"/>
                <w:szCs w:val="20"/>
                <w:color w:val="auto"/>
              </w:rPr>
            </w:pPr>
            <w:r>
              <w:rPr>
                <w:rFonts w:ascii="Times New Roman" w:cs="Times New Roman" w:eastAsia="Times New Roman" w:hAnsi="Times New Roman"/>
                <w:sz w:val="18"/>
                <w:szCs w:val="18"/>
                <w:color w:val="auto"/>
              </w:rPr>
              <w:t>XBRL Taxonomy Extension Presentation Linkbase.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6" w:lineRule="exact"/>
        <w:rPr>
          <w:sz w:val="20"/>
          <w:szCs w:val="20"/>
          <w:color w:val="auto"/>
        </w:rPr>
      </w:pPr>
    </w:p>
    <w:p>
      <w:pPr>
        <w:ind w:left="460" w:right="500" w:hanging="452"/>
        <w:spacing w:after="0" w:line="257" w:lineRule="auto"/>
        <w:tabs>
          <w:tab w:leader="none" w:pos="4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Great Lakes Dredge &amp; Dock Corporation’s Current Report on Form 8-K filed with the Commission on January 6, 2004 (Commission file no. 333-64687).</w:t>
      </w:r>
    </w:p>
    <w:p>
      <w:pPr>
        <w:spacing w:after="0" w:line="1" w:lineRule="exact"/>
        <w:rPr>
          <w:rFonts w:ascii="Times New Roman" w:cs="Times New Roman" w:eastAsia="Times New Roman" w:hAnsi="Times New Roman"/>
          <w:sz w:val="18"/>
          <w:szCs w:val="18"/>
          <w:color w:val="auto"/>
        </w:rPr>
      </w:pPr>
    </w:p>
    <w:p>
      <w:pPr>
        <w:ind w:left="460" w:right="640" w:hanging="452"/>
        <w:spacing w:after="0" w:line="261" w:lineRule="auto"/>
        <w:tabs>
          <w:tab w:leader="none" w:pos="4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Great Lakes Dredge &amp; Dock Corporation’s Current Report on Form 8-K filed with the Commission on June 22, 2006 (Commission file no. 333-64687).</w:t>
      </w:r>
    </w:p>
    <w:p>
      <w:pPr>
        <w:spacing w:after="0" w:line="11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104</w:t>
      </w:r>
    </w:p>
    <w:p>
      <w:pPr>
        <w:sectPr>
          <w:pgSz w:w="11900" w:h="16838" w:orient="portrait"/>
          <w:cols w:equalWidth="0" w:num="1">
            <w:col w:w="11380"/>
          </w:cols>
          <w:pgMar w:left="240" w:top="455" w:right="279" w:bottom="1440" w:gutter="0" w:footer="0" w:header="0"/>
        </w:sectPr>
      </w:pPr>
    </w:p>
    <w:bookmarkStart w:id="106" w:name="page107"/>
    <w:bookmarkEnd w:id="10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460" w:right="80" w:hanging="452"/>
        <w:spacing w:after="0" w:line="257" w:lineRule="auto"/>
        <w:tabs>
          <w:tab w:leader="none" w:pos="4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Great Lakes Dredge &amp; Dock Holding Corp.’s Registration Statement on Form S-4 filed with the Commission on August 24, 2006 (Commission file no. 333-136861-01).</w:t>
      </w:r>
    </w:p>
    <w:p>
      <w:pPr>
        <w:spacing w:after="0" w:line="1" w:lineRule="exact"/>
        <w:rPr>
          <w:rFonts w:ascii="Times New Roman" w:cs="Times New Roman" w:eastAsia="Times New Roman" w:hAnsi="Times New Roman"/>
          <w:sz w:val="18"/>
          <w:szCs w:val="18"/>
          <w:color w:val="auto"/>
        </w:rPr>
      </w:pPr>
    </w:p>
    <w:p>
      <w:pPr>
        <w:ind w:left="460" w:hanging="452"/>
        <w:spacing w:after="0" w:line="250" w:lineRule="auto"/>
        <w:tabs>
          <w:tab w:leader="none" w:pos="4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Great Lakes Dredge &amp; Dock Corporation’s Registration Statement on Form 8-A filed with the Commission on December 26, 2006 (Commission file no. 001-33225).</w:t>
      </w:r>
    </w:p>
    <w:p>
      <w:pPr>
        <w:ind w:left="460" w:right="420" w:hanging="452"/>
        <w:spacing w:after="0" w:line="250" w:lineRule="auto"/>
        <w:tabs>
          <w:tab w:leader="none" w:pos="4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Great Lakes Dredge &amp; Dock Corporation’s Current Report on Form 8-K filed with the Commission on March 14, 2011 (Commission file no. 001-33225).</w:t>
      </w:r>
    </w:p>
    <w:p>
      <w:pPr>
        <w:ind w:left="460" w:right="140" w:hanging="452"/>
        <w:spacing w:after="0" w:line="250" w:lineRule="auto"/>
        <w:tabs>
          <w:tab w:leader="none" w:pos="4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Great Lakes Dredge &amp; Dock Corporation’s Current Report on Form 8-K filed with the Commission on December 29, 2006 (Commission file no. 001-33225).</w:t>
      </w:r>
    </w:p>
    <w:p>
      <w:pPr>
        <w:ind w:left="460" w:right="320" w:hanging="452"/>
        <w:spacing w:after="0" w:line="250" w:lineRule="auto"/>
        <w:tabs>
          <w:tab w:leader="none" w:pos="4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Great Lakes Dredge &amp; Dock Corporation’s Current Report on Form 8-K filed with the Commission on January 28, 2011 (Commission file no. 001-33225).</w:t>
      </w:r>
    </w:p>
    <w:p>
      <w:pPr>
        <w:ind w:left="460" w:right="420" w:hanging="452"/>
        <w:spacing w:after="0" w:line="250" w:lineRule="auto"/>
        <w:tabs>
          <w:tab w:leader="none" w:pos="4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Great Lakes Dredge &amp; Dock Corporation’s Current Report on Form 8-K filed with the Commission on January 3, 2011 (Commission file no. 001-33225).</w:t>
      </w:r>
    </w:p>
    <w:p>
      <w:pPr>
        <w:ind w:left="460" w:right="180" w:hanging="452"/>
        <w:spacing w:after="0" w:line="250" w:lineRule="auto"/>
        <w:tabs>
          <w:tab w:leader="none" w:pos="4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Great Lakes Dredge &amp; Dock Corporation’s Current Report on Form 8-K/A filed with the Commission on August 17, 2010 (Commission file no. 001-33225).</w:t>
      </w:r>
    </w:p>
    <w:p>
      <w:pPr>
        <w:ind w:left="460" w:right="180" w:hanging="452"/>
        <w:spacing w:after="0" w:line="250" w:lineRule="auto"/>
        <w:tabs>
          <w:tab w:leader="none" w:pos="4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Great Lakes Dredge &amp; Dock Corporation’s Current Report on Form 8-K/A filed with the Commission on August 17, 2010 (Commission file no. 001-33225).</w:t>
      </w:r>
    </w:p>
    <w:p>
      <w:pPr>
        <w:ind w:left="460" w:right="340" w:hanging="452"/>
        <w:spacing w:after="0" w:line="250" w:lineRule="auto"/>
        <w:tabs>
          <w:tab w:leader="none" w:pos="4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Great Lakes Dredge &amp; Dock Corporation’s Annual Report on Form 10-K filed with the Commission on March 22, 2007 (Commission file no. 001-33225).</w:t>
      </w:r>
    </w:p>
    <w:p>
      <w:pPr>
        <w:ind w:left="460" w:right="200" w:hanging="452"/>
        <w:spacing w:after="0" w:line="250" w:lineRule="auto"/>
        <w:tabs>
          <w:tab w:leader="none" w:pos="4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Great Lakes Dredge &amp; Dock Corporation’s Current Report on Form 8-K filed with the Commission on September 8, 2010 (Commission file no. 001-33225).</w:t>
      </w:r>
    </w:p>
    <w:p>
      <w:pPr>
        <w:ind w:left="460" w:right="120" w:hanging="452"/>
        <w:spacing w:after="0" w:line="250" w:lineRule="auto"/>
        <w:tabs>
          <w:tab w:leader="none" w:pos="4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Great Lakes Dredge &amp; Dock Corporation’s Current Report on Form 8-K filed with the Commission on November 17, 2005 (Commission file no. 333-64687).</w:t>
      </w:r>
    </w:p>
    <w:p>
      <w:pPr>
        <w:ind w:left="460" w:right="380" w:hanging="452"/>
        <w:spacing w:after="0" w:line="250" w:lineRule="auto"/>
        <w:tabs>
          <w:tab w:leader="none" w:pos="4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Great Lakes Dredge &amp; Dock Corporation’s Current Report on Form 8-K filed with the Commission on October 4, 2006 (Commission file no. 333-64687).</w:t>
      </w:r>
    </w:p>
    <w:p>
      <w:pPr>
        <w:ind w:left="460" w:right="500" w:hanging="452"/>
        <w:spacing w:after="0" w:line="250" w:lineRule="auto"/>
        <w:tabs>
          <w:tab w:leader="none" w:pos="4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Great Lakes Dredge &amp; Dock Corporation’s Current Report on Form 8-K filed with the Commission on April 29, 2009 (Commission file no. 001-33225).</w:t>
      </w:r>
    </w:p>
    <w:p>
      <w:pPr>
        <w:ind w:left="460" w:right="180" w:hanging="452"/>
        <w:spacing w:after="0" w:line="250" w:lineRule="auto"/>
        <w:tabs>
          <w:tab w:leader="none" w:pos="4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Great Lakes Dredge &amp; Dock Corporation’s Current Report on Form 8-K/A filed with the Commission on August 17, 2010 (Commission file no. 001-33225).</w:t>
      </w:r>
    </w:p>
    <w:p>
      <w:pPr>
        <w:ind w:left="460" w:right="380" w:hanging="452"/>
        <w:spacing w:after="0" w:line="250" w:lineRule="auto"/>
        <w:tabs>
          <w:tab w:leader="none" w:pos="4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Great Lakes Dredge &amp; Dock Corporation’s Current Report on Form 8-K filed with the Commission on October 5, 2009 (Commission file no. 001-33225).</w:t>
      </w:r>
    </w:p>
    <w:p>
      <w:pPr>
        <w:ind w:left="460" w:right="180" w:hanging="452"/>
        <w:spacing w:after="0" w:line="250" w:lineRule="auto"/>
        <w:tabs>
          <w:tab w:leader="none" w:pos="4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Great Lakes Dredge &amp; Dock Corporation’s Current Report on Form 8-K/A filed with the Commission on August 17, 2010 (Commission file no. 001-33225).</w:t>
      </w:r>
    </w:p>
    <w:p>
      <w:pPr>
        <w:ind w:left="460" w:right="340" w:hanging="452"/>
        <w:spacing w:after="0" w:line="250" w:lineRule="auto"/>
        <w:tabs>
          <w:tab w:leader="none" w:pos="4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Great Lakes Dredge &amp; Dock Corporation’s Annual Report on Form 10-K filed with the Commission on March 30, 2005 (Commission file no. 333-64687).</w:t>
      </w:r>
    </w:p>
    <w:p>
      <w:pPr>
        <w:ind w:left="460" w:right="240" w:hanging="452"/>
        <w:spacing w:after="0" w:line="250" w:lineRule="auto"/>
        <w:tabs>
          <w:tab w:leader="none" w:pos="4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Great Lakes Dredge &amp; Dock Corporation’s Current Report on Form 8-K filed with the Commission on February 20, 2007 (Commission file no. 001-33225).</w:t>
      </w:r>
    </w:p>
    <w:p>
      <w:pPr>
        <w:ind w:left="460" w:right="640" w:hanging="452"/>
        <w:spacing w:after="0" w:line="250" w:lineRule="auto"/>
        <w:tabs>
          <w:tab w:leader="none" w:pos="4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Great Lakes Dredge &amp; Dock Corporation’s Current Report on Form 8-K filed with the Commission on May 6, 2008 (Commission file no. 001-33225).</w:t>
      </w:r>
    </w:p>
    <w:p>
      <w:pPr>
        <w:ind w:left="460" w:right="660" w:hanging="452"/>
        <w:spacing w:after="0" w:line="250" w:lineRule="auto"/>
        <w:tabs>
          <w:tab w:leader="none" w:pos="4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Great Lakes Dredge &amp; Dock Corporation’s Current Report on Form 8-K filed with the Commission on July 1, 2011 (Commission file no. 001-33225).</w:t>
      </w:r>
    </w:p>
    <w:p>
      <w:pPr>
        <w:ind w:left="460" w:right="180" w:hanging="452"/>
        <w:spacing w:after="0" w:line="250" w:lineRule="auto"/>
        <w:tabs>
          <w:tab w:leader="none" w:pos="4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Great Lakes Dredge &amp; Dock Corporation’s Current Report on Form 8-K/A filed with the Commission on August 17, 2010 (Commission file no. 001-33225).</w:t>
      </w:r>
    </w:p>
    <w:p>
      <w:pPr>
        <w:ind w:left="460" w:right="540" w:hanging="452"/>
        <w:spacing w:after="0" w:line="250" w:lineRule="auto"/>
        <w:tabs>
          <w:tab w:leader="none" w:pos="4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Great Lakes Dredge &amp; Dock Corporation’s Current Report on Form 8-K filed with the Commission on May 11, 2010 (Commission file no. 001-33225).</w:t>
      </w:r>
    </w:p>
    <w:p>
      <w:pPr>
        <w:ind w:left="460" w:right="320" w:hanging="452"/>
        <w:spacing w:after="0" w:line="250" w:lineRule="auto"/>
        <w:tabs>
          <w:tab w:leader="none" w:pos="4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Great Lakes Dredge &amp; Dock Corporation’s Current Report on Form 8-K filed with the Commission on January 17, 2012 (Commission file no. 001-33225).</w:t>
      </w:r>
    </w:p>
    <w:p>
      <w:pPr>
        <w:ind w:left="460" w:right="140" w:hanging="452"/>
        <w:spacing w:after="0" w:line="250" w:lineRule="auto"/>
        <w:tabs>
          <w:tab w:leader="none" w:pos="4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Great Lakes Dredge &amp; Dock Corporation’s Current Report on Form 8-K filed with the Commission on November 16, 2011 (Commission file no. 001-33225).</w:t>
      </w:r>
    </w:p>
    <w:p>
      <w:pPr>
        <w:ind w:left="460" w:right="400" w:hanging="452"/>
        <w:spacing w:after="0" w:line="250" w:lineRule="auto"/>
        <w:tabs>
          <w:tab w:leader="none" w:pos="4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Great Lakes Dredge &amp; Dock Corporation’s Quarterly Report on Form 10-Q filed with the Commission on May 4, 2012 (Commission file no. 001-33225).</w:t>
      </w:r>
    </w:p>
    <w:p>
      <w:pPr>
        <w:ind w:left="460" w:right="500" w:hanging="452"/>
        <w:spacing w:after="0" w:line="261" w:lineRule="auto"/>
        <w:tabs>
          <w:tab w:leader="none" w:pos="4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Great Lakes Dredge &amp; Dock Corporation’s Current Report on Form 8-K filed with the Commission on April 13, 2012 (Commission file no. 001-33225).</w:t>
      </w:r>
    </w:p>
    <w:p>
      <w:pPr>
        <w:spacing w:after="0" w:line="11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105</w:t>
      </w:r>
    </w:p>
    <w:p>
      <w:pPr>
        <w:sectPr>
          <w:pgSz w:w="11900" w:h="16838" w:orient="portrait"/>
          <w:cols w:equalWidth="0" w:num="1">
            <w:col w:w="11280"/>
          </w:cols>
          <w:pgMar w:left="240" w:top="455" w:right="379" w:bottom="1440" w:gutter="0" w:footer="0" w:header="0"/>
        </w:sectPr>
      </w:pPr>
    </w:p>
    <w:bookmarkStart w:id="107" w:name="page108"/>
    <w:bookmarkEnd w:id="10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460" w:right="500" w:hanging="452"/>
        <w:spacing w:after="0" w:line="257" w:lineRule="auto"/>
        <w:tabs>
          <w:tab w:leader="none" w:pos="4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Great Lakes Dredge &amp; Dock Corporation’s Current Report on Form 8-K filed with the Commission on May 2, 2012 (Commission file no. 001-33225).</w:t>
      </w:r>
    </w:p>
    <w:p>
      <w:pPr>
        <w:spacing w:after="0" w:line="1" w:lineRule="exact"/>
        <w:rPr>
          <w:rFonts w:ascii="Times New Roman" w:cs="Times New Roman" w:eastAsia="Times New Roman" w:hAnsi="Times New Roman"/>
          <w:sz w:val="18"/>
          <w:szCs w:val="18"/>
          <w:color w:val="auto"/>
        </w:rPr>
      </w:pPr>
    </w:p>
    <w:p>
      <w:pPr>
        <w:ind w:left="460" w:right="500" w:hanging="452"/>
        <w:spacing w:after="0" w:line="250" w:lineRule="auto"/>
        <w:tabs>
          <w:tab w:leader="none" w:pos="4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Great Lakes Dredge &amp; Dock Corporation’s Current Report on Form 8-K filed with the Commission on June 7, 2012 (Commission file no. 001-33225).</w:t>
      </w:r>
    </w:p>
    <w:p>
      <w:pPr>
        <w:ind w:left="460" w:hanging="452"/>
        <w:spacing w:after="0" w:line="250" w:lineRule="auto"/>
        <w:tabs>
          <w:tab w:leader="none" w:pos="4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Great Lakes Dredge &amp; Dock Corporation’s Current Report on Form 8-K filed with the Commission on December 14, 2012 (Commission file no. 001-33225).</w:t>
      </w:r>
    </w:p>
    <w:p>
      <w:pPr>
        <w:ind w:left="460" w:right="260" w:hanging="452"/>
        <w:spacing w:after="0" w:line="250" w:lineRule="auto"/>
        <w:tabs>
          <w:tab w:leader="none" w:pos="4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Great Lakes Dredge &amp; Dock Corporation’s Current Report on Form 8-K filed with the Commission on March 19, 2013 (Commission file no. 001-33225).</w:t>
      </w:r>
    </w:p>
    <w:p>
      <w:pPr>
        <w:ind w:left="460" w:right="500" w:hanging="452"/>
        <w:spacing w:after="0" w:line="250" w:lineRule="auto"/>
        <w:tabs>
          <w:tab w:leader="none" w:pos="4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Great Lakes Dredge &amp; Dock Corporation’s Current Report on Form 8-K filed with the Commission on May 9, 2011 (Commission file no. 001-33225).</w:t>
      </w:r>
    </w:p>
    <w:p>
      <w:pPr>
        <w:spacing w:after="0" w:line="1" w:lineRule="exact"/>
        <w:rPr>
          <w:sz w:val="20"/>
          <w:szCs w:val="20"/>
          <w:color w:val="auto"/>
        </w:rPr>
      </w:pPr>
    </w:p>
    <w:p>
      <w:pPr>
        <w:ind w:left="460" w:hanging="452"/>
        <w:spacing w:after="0"/>
        <w:tabs>
          <w:tab w:leader="none" w:pos="4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9" w:lineRule="exact"/>
        <w:rPr>
          <w:sz w:val="20"/>
          <w:szCs w:val="20"/>
          <w:color w:val="auto"/>
        </w:rPr>
      </w:pPr>
    </w:p>
    <w:p>
      <w:pPr>
        <w:ind w:left="460" w:hanging="452"/>
        <w:spacing w:after="0"/>
        <w:tabs>
          <w:tab w:leader="none" w:pos="4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Compensatory plan or arrangement</w:t>
      </w:r>
    </w:p>
    <w:p>
      <w:pPr>
        <w:spacing w:after="0" w:line="145"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106</w:t>
      </w:r>
    </w:p>
    <w:p>
      <w:pPr>
        <w:sectPr>
          <w:pgSz w:w="11900" w:h="16838" w:orient="portrait"/>
          <w:cols w:equalWidth="0" w:num="1">
            <w:col w:w="11140"/>
          </w:cols>
          <w:pgMar w:left="240" w:top="455" w:right="519" w:bottom="1440" w:gutter="0" w:footer="0" w:header="0"/>
        </w:sectPr>
      </w:pPr>
    </w:p>
    <w:bookmarkStart w:id="108" w:name="page109"/>
    <w:bookmarkEnd w:id="108"/>
    <w:p>
      <w:pPr>
        <w:jc w:val="right"/>
        <w:spacing w:after="0"/>
        <w:rPr>
          <w:sz w:val="20"/>
          <w:szCs w:val="20"/>
          <w:color w:val="auto"/>
        </w:rPr>
      </w:pPr>
      <w:r>
        <w:rPr>
          <w:rFonts w:ascii="Times New Roman" w:cs="Times New Roman" w:eastAsia="Times New Roman" w:hAnsi="Times New Roman"/>
          <w:sz w:val="18"/>
          <w:szCs w:val="18"/>
          <w:b w:val="1"/>
          <w:bCs w:val="1"/>
          <w:color w:val="auto"/>
        </w:rPr>
        <w:t>Exhibit 4.3</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SECOND SUPPLEMENTAL INDENTURE</w:t>
      </w:r>
    </w:p>
    <w:p>
      <w:pPr>
        <w:spacing w:after="0" w:line="173" w:lineRule="exact"/>
        <w:rPr>
          <w:sz w:val="20"/>
          <w:szCs w:val="20"/>
          <w:color w:val="auto"/>
        </w:rPr>
      </w:pPr>
    </w:p>
    <w:p>
      <w:pPr>
        <w:ind w:right="40" w:firstLine="456"/>
        <w:spacing w:after="0" w:line="262" w:lineRule="auto"/>
        <w:rPr>
          <w:sz w:val="20"/>
          <w:szCs w:val="20"/>
          <w:color w:val="auto"/>
        </w:rPr>
      </w:pPr>
      <w:r>
        <w:rPr>
          <w:rFonts w:ascii="Times New Roman" w:cs="Times New Roman" w:eastAsia="Times New Roman" w:hAnsi="Times New Roman"/>
          <w:sz w:val="18"/>
          <w:szCs w:val="18"/>
          <w:color w:val="auto"/>
        </w:rPr>
        <w:t>SUPPLEMENTAL INDENTURE (this “Supplemental Indenture”), dated as of January 15, 2013, among Terra Contracting Services, LLC, a Delaware limited liability company (the “New Guarantor”), a subsidiary of Great Lakes Dredge &amp; Dock Corporation, as issuer (the “Company”), the Company, the existing Guarantors, and Wells Fargo Bank, National Association, as trustee.</w:t>
      </w:r>
    </w:p>
    <w:p>
      <w:pPr>
        <w:spacing w:after="0" w:line="1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WITNESSETH</w:t>
      </w:r>
    </w:p>
    <w:p>
      <w:pPr>
        <w:spacing w:after="0" w:line="171" w:lineRule="exact"/>
        <w:rPr>
          <w:sz w:val="20"/>
          <w:szCs w:val="20"/>
          <w:color w:val="auto"/>
        </w:rPr>
      </w:pPr>
    </w:p>
    <w:p>
      <w:pPr>
        <w:ind w:right="200" w:firstLine="456"/>
        <w:spacing w:after="0" w:line="339" w:lineRule="auto"/>
        <w:rPr>
          <w:sz w:val="20"/>
          <w:szCs w:val="20"/>
          <w:color w:val="auto"/>
        </w:rPr>
      </w:pPr>
      <w:r>
        <w:rPr>
          <w:rFonts w:ascii="Times New Roman" w:cs="Times New Roman" w:eastAsia="Times New Roman" w:hAnsi="Times New Roman"/>
          <w:sz w:val="16"/>
          <w:szCs w:val="16"/>
          <w:color w:val="auto"/>
        </w:rPr>
        <w:t>WHEREAS, the Company and the existing Guarantors have heretofore executed and delivered to the Trustee an indenture (as amended, supplemented or otherwise modified, the “Indenture”), dated as of January 28, 2011 providing for the issuance of 7.375% Senior Notes due 2019 (the “Notes”);</w:t>
      </w:r>
    </w:p>
    <w:p>
      <w:pPr>
        <w:spacing w:after="0" w:line="74" w:lineRule="exact"/>
        <w:rPr>
          <w:sz w:val="20"/>
          <w:szCs w:val="20"/>
          <w:color w:val="auto"/>
        </w:rPr>
      </w:pPr>
    </w:p>
    <w:p>
      <w:pPr>
        <w:ind w:right="460" w:firstLine="456"/>
        <w:spacing w:after="0" w:line="262" w:lineRule="auto"/>
        <w:rPr>
          <w:sz w:val="20"/>
          <w:szCs w:val="20"/>
          <w:color w:val="auto"/>
        </w:rPr>
      </w:pPr>
      <w:r>
        <w:rPr>
          <w:rFonts w:ascii="Times New Roman" w:cs="Times New Roman" w:eastAsia="Times New Roman" w:hAnsi="Times New Roman"/>
          <w:sz w:val="18"/>
          <w:szCs w:val="18"/>
          <w:color w:val="auto"/>
        </w:rPr>
        <w:t>WHEREAS, Section 4.15 of the Indenture provides that under certain circumstances the New Guarantor shall execute and deliver to the Trustee a supplemental indenture pursuant to which the New Guarantor shall unconditionally guarantee all of the obligations of the Company under the Notes and the Indenture on the terms and conditions set forth herein (the “Guarantee”); and</w:t>
      </w:r>
    </w:p>
    <w:p>
      <w:pPr>
        <w:spacing w:after="0" w:line="132" w:lineRule="exact"/>
        <w:rPr>
          <w:sz w:val="20"/>
          <w:szCs w:val="20"/>
          <w:color w:val="auto"/>
        </w:rPr>
      </w:pPr>
    </w:p>
    <w:p>
      <w:pPr>
        <w:ind w:right="940" w:firstLine="456"/>
        <w:spacing w:after="0" w:line="275" w:lineRule="auto"/>
        <w:rPr>
          <w:sz w:val="20"/>
          <w:szCs w:val="20"/>
          <w:color w:val="auto"/>
        </w:rPr>
      </w:pPr>
      <w:r>
        <w:rPr>
          <w:rFonts w:ascii="Times New Roman" w:cs="Times New Roman" w:eastAsia="Times New Roman" w:hAnsi="Times New Roman"/>
          <w:sz w:val="18"/>
          <w:szCs w:val="18"/>
          <w:color w:val="auto"/>
        </w:rPr>
        <w:t>WHEREAS, pursuant to Section 9.01 of the Indenture, the Trustee, the Guarantors and the Company are authorized to execute and deliver this Supplemental Indenture.</w:t>
      </w:r>
    </w:p>
    <w:p>
      <w:pPr>
        <w:spacing w:after="0" w:line="12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NOW, THEREFORE, in consideration of the foregoing and for other good and valuable consideration, the receipt of which is hereby acknowledged, the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New Guarantor, the Company and the Trustee mutually covenant and agree for the equal and ratable benefit of each other and the Holders of the Notes as follows:</w:t>
      </w:r>
    </w:p>
    <w:p>
      <w:pPr>
        <w:spacing w:after="0" w:line="182" w:lineRule="exact"/>
        <w:rPr>
          <w:sz w:val="20"/>
          <w:szCs w:val="20"/>
          <w:color w:val="auto"/>
        </w:rPr>
      </w:pPr>
    </w:p>
    <w:p>
      <w:pPr>
        <w:ind w:left="640" w:hanging="176"/>
        <w:spacing w:after="0"/>
        <w:tabs>
          <w:tab w:leader="none" w:pos="6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Defined Terms</w:t>
      </w:r>
      <w:r>
        <w:rPr>
          <w:rFonts w:ascii="Times New Roman" w:cs="Times New Roman" w:eastAsia="Times New Roman" w:hAnsi="Times New Roman"/>
          <w:sz w:val="18"/>
          <w:szCs w:val="18"/>
          <w:color w:val="auto"/>
        </w:rPr>
        <w:t>. Defined terms used herein without definition shall have the meanings assigned to them in the Indenture.</w:t>
      </w:r>
    </w:p>
    <w:p>
      <w:pPr>
        <w:spacing w:after="0" w:line="171" w:lineRule="exact"/>
        <w:rPr>
          <w:rFonts w:ascii="Times New Roman" w:cs="Times New Roman" w:eastAsia="Times New Roman" w:hAnsi="Times New Roman"/>
          <w:sz w:val="18"/>
          <w:szCs w:val="18"/>
          <w:color w:val="auto"/>
        </w:rPr>
      </w:pPr>
    </w:p>
    <w:p>
      <w:pPr>
        <w:ind w:right="280" w:firstLine="464"/>
        <w:spacing w:after="0" w:line="262" w:lineRule="auto"/>
        <w:tabs>
          <w:tab w:leader="none" w:pos="632"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Agreement to Guarantee</w:t>
      </w:r>
      <w:r>
        <w:rPr>
          <w:rFonts w:ascii="Times New Roman" w:cs="Times New Roman" w:eastAsia="Times New Roman" w:hAnsi="Times New Roman"/>
          <w:sz w:val="18"/>
          <w:szCs w:val="18"/>
          <w:color w:val="auto"/>
        </w:rPr>
        <w:t>. The New Guarantor hereby agrees, jointly and severally with all existing Guarantors (if any), to provide an unconditional Guarantee on the terms and subject to the conditions set forth in Article 10 of the Indenture and to be bound by all other applicable provisions of the Indenture and the Notes and to perform all of the obligations and agreements of a Guarantor under the Indenture.</w:t>
      </w:r>
    </w:p>
    <w:p>
      <w:pPr>
        <w:spacing w:after="0" w:line="132" w:lineRule="exact"/>
        <w:rPr>
          <w:rFonts w:ascii="Times New Roman" w:cs="Times New Roman" w:eastAsia="Times New Roman" w:hAnsi="Times New Roman"/>
          <w:sz w:val="18"/>
          <w:szCs w:val="18"/>
          <w:color w:val="auto"/>
        </w:rPr>
      </w:pPr>
    </w:p>
    <w:p>
      <w:pPr>
        <w:ind w:right="140" w:firstLine="464"/>
        <w:spacing w:after="0" w:line="256" w:lineRule="auto"/>
        <w:tabs>
          <w:tab w:leader="none" w:pos="632"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Recourse Against Others</w:t>
      </w:r>
      <w:r>
        <w:rPr>
          <w:rFonts w:ascii="Times New Roman" w:cs="Times New Roman" w:eastAsia="Times New Roman" w:hAnsi="Times New Roman"/>
          <w:sz w:val="18"/>
          <w:szCs w:val="18"/>
          <w:color w:val="auto"/>
        </w:rPr>
        <w:t>. No past, present or future director, manager, officer, employee, incorporator, stockholder or member of the Company, any Guarantor, any parent entity of the Company or any Subsidiary thereof, as such, shall have any liability for any obligations of the Company or the Guarantors under the Notes, the Indenture, the Guarantees or for any claim based on, in respect of, or by reason of, such obligations or their creation. Each Holder of Notes by accepting a Note waives and releases all such liability. The waiver and release are part of the consideration for issuance of the Notes. The waiver and release may not be effective to waive liabilities under the federal securities laws.</w:t>
      </w:r>
    </w:p>
    <w:p>
      <w:pPr>
        <w:spacing w:after="0" w:line="138" w:lineRule="exact"/>
        <w:rPr>
          <w:rFonts w:ascii="Times New Roman" w:cs="Times New Roman" w:eastAsia="Times New Roman" w:hAnsi="Times New Roman"/>
          <w:sz w:val="18"/>
          <w:szCs w:val="18"/>
          <w:color w:val="auto"/>
        </w:rPr>
      </w:pPr>
    </w:p>
    <w:p>
      <w:pPr>
        <w:ind w:left="640" w:hanging="176"/>
        <w:spacing w:after="0"/>
        <w:tabs>
          <w:tab w:leader="none" w:pos="6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All notices or other communications to the New Guarantor shall be given as provided in Section 12.02 of the Indenture.</w:t>
      </w:r>
    </w:p>
    <w:p>
      <w:pPr>
        <w:spacing w:after="0" w:line="171" w:lineRule="exact"/>
        <w:rPr>
          <w:rFonts w:ascii="Times New Roman" w:cs="Times New Roman" w:eastAsia="Times New Roman" w:hAnsi="Times New Roman"/>
          <w:sz w:val="18"/>
          <w:szCs w:val="18"/>
          <w:color w:val="auto"/>
        </w:rPr>
      </w:pPr>
    </w:p>
    <w:p>
      <w:pPr>
        <w:ind w:right="40" w:firstLine="464"/>
        <w:spacing w:after="0" w:line="262" w:lineRule="auto"/>
        <w:tabs>
          <w:tab w:leader="none" w:pos="632"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Ratification of Indenture; Supplemental Indentures Part of Indenture</w:t>
      </w:r>
      <w:r>
        <w:rPr>
          <w:rFonts w:ascii="Times New Roman" w:cs="Times New Roman" w:eastAsia="Times New Roman" w:hAnsi="Times New Roman"/>
          <w:sz w:val="18"/>
          <w:szCs w:val="18"/>
          <w:color w:val="auto"/>
        </w:rPr>
        <w:t>. Except as expressly amended hereby, the Indenture is in all respects ratified and confirmed and all the terms, conditions and provisions thereof shall remain in full force and effect. This Supplemental Indenture shall form a part of the Indenture for all purposes, and every Holder of Notes heretofore or hereafter authenticated and delivered shall be bound hereby.</w:t>
      </w:r>
    </w:p>
    <w:p>
      <w:pPr>
        <w:sectPr>
          <w:pgSz w:w="11900" w:h="16838" w:orient="portrait"/>
          <w:cols w:equalWidth="0" w:num="1">
            <w:col w:w="11420"/>
          </w:cols>
          <w:pgMar w:left="240" w:top="123" w:right="239" w:bottom="1440" w:gutter="0" w:footer="0" w:header="0"/>
        </w:sectPr>
      </w:pPr>
    </w:p>
    <w:bookmarkStart w:id="109" w:name="page110"/>
    <w:bookmarkEnd w:id="109"/>
    <w:p>
      <w:pPr>
        <w:ind w:left="-100" w:right="680" w:firstLine="464"/>
        <w:spacing w:after="0" w:line="275" w:lineRule="auto"/>
        <w:tabs>
          <w:tab w:leader="none" w:pos="532"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GOVERNING LAW</w:t>
      </w:r>
      <w:r>
        <w:rPr>
          <w:rFonts w:ascii="Times New Roman" w:cs="Times New Roman" w:eastAsia="Times New Roman" w:hAnsi="Times New Roman"/>
          <w:sz w:val="18"/>
          <w:szCs w:val="18"/>
          <w:color w:val="auto"/>
        </w:rPr>
        <w:t>. THIS INDENTURE, THE NOTES AND THE GUARANTEES SHALL BE GOVERNED BY, AND CONSTRUED IN ACCORDANCE WITH, THE LAWS OF THE STATE OF NEW YORK.</w:t>
      </w:r>
    </w:p>
    <w:p>
      <w:pPr>
        <w:spacing w:after="0" w:line="119" w:lineRule="exact"/>
        <w:rPr>
          <w:rFonts w:ascii="Times New Roman" w:cs="Times New Roman" w:eastAsia="Times New Roman" w:hAnsi="Times New Roman"/>
          <w:sz w:val="18"/>
          <w:szCs w:val="18"/>
          <w:color w:val="auto"/>
        </w:rPr>
      </w:pPr>
    </w:p>
    <w:p>
      <w:pPr>
        <w:ind w:left="-100" w:firstLine="464"/>
        <w:spacing w:after="0" w:line="275" w:lineRule="auto"/>
        <w:tabs>
          <w:tab w:leader="none" w:pos="532"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The parties may sign any number of copies of this Supplemental Indenture. Each signed copy shall be an original, but all of them together represent the same agreement.</w:t>
      </w:r>
    </w:p>
    <w:p>
      <w:pPr>
        <w:spacing w:after="0" w:line="119" w:lineRule="exact"/>
        <w:rPr>
          <w:rFonts w:ascii="Times New Roman" w:cs="Times New Roman" w:eastAsia="Times New Roman" w:hAnsi="Times New Roman"/>
          <w:sz w:val="18"/>
          <w:szCs w:val="18"/>
          <w:color w:val="auto"/>
        </w:rPr>
      </w:pPr>
    </w:p>
    <w:p>
      <w:pPr>
        <w:ind w:left="540" w:hanging="176"/>
        <w:spacing w:after="0"/>
        <w:tabs>
          <w:tab w:leader="none" w:pos="5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Effect of Headings</w:t>
      </w:r>
      <w:r>
        <w:rPr>
          <w:rFonts w:ascii="Times New Roman" w:cs="Times New Roman" w:eastAsia="Times New Roman" w:hAnsi="Times New Roman"/>
          <w:sz w:val="18"/>
          <w:szCs w:val="18"/>
          <w:color w:val="auto"/>
        </w:rPr>
        <w:t>. The section headings herein are for convenience only and shall not affect the construction hereof.</w:t>
      </w:r>
    </w:p>
    <w:p>
      <w:pPr>
        <w:spacing w:after="0" w:line="171" w:lineRule="exact"/>
        <w:rPr>
          <w:rFonts w:ascii="Times New Roman" w:cs="Times New Roman" w:eastAsia="Times New Roman" w:hAnsi="Times New Roman"/>
          <w:sz w:val="18"/>
          <w:szCs w:val="18"/>
          <w:color w:val="auto"/>
        </w:rPr>
      </w:pPr>
    </w:p>
    <w:p>
      <w:pPr>
        <w:ind w:left="540" w:hanging="176"/>
        <w:spacing w:after="0"/>
        <w:tabs>
          <w:tab w:leader="none" w:pos="5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Trustee Makes No Representation</w:t>
      </w:r>
      <w:r>
        <w:rPr>
          <w:rFonts w:ascii="Times New Roman" w:cs="Times New Roman" w:eastAsia="Times New Roman" w:hAnsi="Times New Roman"/>
          <w:sz w:val="18"/>
          <w:szCs w:val="18"/>
          <w:color w:val="auto"/>
        </w:rPr>
        <w:t>. The Trustee makes no representation as to the validity or sufficiency of this Supplemental Indenture.</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20"/>
          </w:cols>
          <w:pgMar w:left="340" w:top="274" w:right="339" w:bottom="1440" w:gutter="0" w:footer="0" w:header="0"/>
        </w:sectPr>
      </w:pPr>
    </w:p>
    <w:bookmarkStart w:id="110" w:name="page111"/>
    <w:bookmarkEnd w:id="110"/>
    <w:p>
      <w:pPr>
        <w:ind w:firstLine="456"/>
        <w:spacing w:after="0" w:line="27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parties hereto have caused this Supplemental Indenture to be duly executed and attested, all as of the date first above written.</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January 15, 2013</w:t>
      </w:r>
    </w:p>
    <w:p>
      <w:pPr>
        <w:spacing w:after="0" w:line="210"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b w:val="1"/>
          <w:bCs w:val="1"/>
          <w:color w:val="auto"/>
        </w:rPr>
        <w:t>NEW GUARANTOR:</w:t>
      </w:r>
    </w:p>
    <w:p>
      <w:pPr>
        <w:spacing w:after="0" w:line="22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TERRA CONTRACTING SERVICES, LLC,</w:t>
      </w:r>
    </w:p>
    <w:p>
      <w:pPr>
        <w:spacing w:after="0" w:line="21"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a Delaware limited liability company</w:t>
      </w:r>
    </w:p>
    <w:p>
      <w:pPr>
        <w:spacing w:after="0" w:line="226"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By: /s/ William S. Steckel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3821430</wp:posOffset>
            </wp:positionH>
            <wp:positionV relativeFrom="paragraph">
              <wp:posOffset>14605</wp:posOffset>
            </wp:positionV>
            <wp:extent cx="343027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3430270" cy="8890"/>
                    </a:xfrm>
                    <a:prstGeom prst="rect">
                      <a:avLst/>
                    </a:prstGeom>
                    <a:noFill/>
                  </pic:spPr>
                </pic:pic>
              </a:graphicData>
            </a:graphic>
          </wp:anchor>
        </w:drawing>
      </w:r>
    </w:p>
    <w:p>
      <w:pPr>
        <w:spacing w:after="0" w:line="16" w:lineRule="exact"/>
        <w:rPr>
          <w:sz w:val="20"/>
          <w:szCs w:val="20"/>
          <w:color w:val="auto"/>
        </w:rPr>
      </w:pPr>
    </w:p>
    <w:p>
      <w:pPr>
        <w:ind w:left="6020"/>
        <w:spacing w:after="0"/>
        <w:rPr>
          <w:sz w:val="20"/>
          <w:szCs w:val="20"/>
          <w:color w:val="auto"/>
        </w:rPr>
      </w:pPr>
      <w:r>
        <w:rPr>
          <w:rFonts w:ascii="Times New Roman" w:cs="Times New Roman" w:eastAsia="Times New Roman" w:hAnsi="Times New Roman"/>
          <w:sz w:val="18"/>
          <w:szCs w:val="18"/>
          <w:color w:val="auto"/>
        </w:rPr>
        <w:t>Name: William S. Steckel</w:t>
      </w:r>
    </w:p>
    <w:p>
      <w:pPr>
        <w:spacing w:after="0" w:line="21" w:lineRule="exact"/>
        <w:rPr>
          <w:sz w:val="20"/>
          <w:szCs w:val="20"/>
          <w:color w:val="auto"/>
        </w:rPr>
      </w:pPr>
    </w:p>
    <w:p>
      <w:pPr>
        <w:ind w:left="6020"/>
        <w:spacing w:after="0"/>
        <w:rPr>
          <w:sz w:val="20"/>
          <w:szCs w:val="20"/>
          <w:color w:val="auto"/>
        </w:rPr>
      </w:pPr>
      <w:r>
        <w:rPr>
          <w:rFonts w:ascii="Times New Roman" w:cs="Times New Roman" w:eastAsia="Times New Roman" w:hAnsi="Times New Roman"/>
          <w:sz w:val="18"/>
          <w:szCs w:val="18"/>
          <w:color w:val="auto"/>
        </w:rPr>
        <w:t>Title: Senior Vice President and Chief Financial Officer</w:t>
      </w:r>
    </w:p>
    <w:p>
      <w:pPr>
        <w:spacing w:after="0" w:line="211"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b w:val="1"/>
          <w:bCs w:val="1"/>
          <w:color w:val="auto"/>
        </w:rPr>
        <w:t>COMPANY:</w:t>
      </w:r>
    </w:p>
    <w:p>
      <w:pPr>
        <w:spacing w:after="0" w:line="22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GREAT LAKES DREDGE &amp; DOCK CORPORATION,</w:t>
      </w:r>
    </w:p>
    <w:p>
      <w:pPr>
        <w:spacing w:after="0" w:line="21"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a Delaware corporation</w:t>
      </w:r>
    </w:p>
    <w:p>
      <w:pPr>
        <w:spacing w:after="0" w:line="226"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By: /s/ William S. Steckel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3821430</wp:posOffset>
            </wp:positionH>
            <wp:positionV relativeFrom="paragraph">
              <wp:posOffset>14605</wp:posOffset>
            </wp:positionV>
            <wp:extent cx="343027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3430270" cy="8890"/>
                    </a:xfrm>
                    <a:prstGeom prst="rect">
                      <a:avLst/>
                    </a:prstGeom>
                    <a:noFill/>
                  </pic:spPr>
                </pic:pic>
              </a:graphicData>
            </a:graphic>
          </wp:anchor>
        </w:drawing>
      </w:r>
    </w:p>
    <w:p>
      <w:pPr>
        <w:spacing w:after="0" w:line="16"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William S. Steckel</w:t>
      </w:r>
    </w:p>
    <w:p>
      <w:pPr>
        <w:spacing w:after="0" w:line="21"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Senior Vice President and Chief Financial Officer</w:t>
      </w:r>
    </w:p>
    <w:p>
      <w:pPr>
        <w:spacing w:after="0" w:line="211"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b w:val="1"/>
          <w:bCs w:val="1"/>
          <w:color w:val="auto"/>
        </w:rPr>
        <w:t>GUARANTORS:</w:t>
      </w:r>
    </w:p>
    <w:p>
      <w:pPr>
        <w:spacing w:after="0" w:line="22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GREAT LAKES DREDGE &amp; DOCK COMPANY, LLC,</w:t>
      </w:r>
    </w:p>
    <w:p>
      <w:pPr>
        <w:spacing w:after="0" w:line="21"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a Delaware limited liability company</w:t>
      </w:r>
    </w:p>
    <w:p>
      <w:pPr>
        <w:spacing w:after="0" w:line="226"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By: /s/ William S. Steckel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3821430</wp:posOffset>
            </wp:positionH>
            <wp:positionV relativeFrom="paragraph">
              <wp:posOffset>14605</wp:posOffset>
            </wp:positionV>
            <wp:extent cx="343027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3430270" cy="8890"/>
                    </a:xfrm>
                    <a:prstGeom prst="rect">
                      <a:avLst/>
                    </a:prstGeom>
                    <a:noFill/>
                  </pic:spPr>
                </pic:pic>
              </a:graphicData>
            </a:graphic>
          </wp:anchor>
        </w:drawing>
      </w:r>
    </w:p>
    <w:p>
      <w:pPr>
        <w:spacing w:after="0" w:line="16"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William S. Steckel</w:t>
      </w:r>
    </w:p>
    <w:p>
      <w:pPr>
        <w:spacing w:after="0" w:line="21"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Senior Vice President and Chief Financial Officer</w:t>
      </w:r>
    </w:p>
    <w:p>
      <w:pPr>
        <w:spacing w:after="0" w:line="213"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DAWSON MARINE SERVICES COMPANY,</w:t>
      </w:r>
    </w:p>
    <w:p>
      <w:pPr>
        <w:spacing w:after="0" w:line="21"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a Delaware corporation</w:t>
      </w:r>
    </w:p>
    <w:p>
      <w:pPr>
        <w:spacing w:after="0" w:line="226"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By: /s/ Catherine Hoffman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3821430</wp:posOffset>
            </wp:positionH>
            <wp:positionV relativeFrom="paragraph">
              <wp:posOffset>14605</wp:posOffset>
            </wp:positionV>
            <wp:extent cx="343027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3430270" cy="8890"/>
                    </a:xfrm>
                    <a:prstGeom prst="rect">
                      <a:avLst/>
                    </a:prstGeom>
                    <a:noFill/>
                  </pic:spPr>
                </pic:pic>
              </a:graphicData>
            </a:graphic>
          </wp:anchor>
        </w:drawing>
      </w:r>
    </w:p>
    <w:p>
      <w:pPr>
        <w:spacing w:after="0" w:line="16"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Catherine Hoffman</w:t>
      </w:r>
    </w:p>
    <w:p>
      <w:pPr>
        <w:spacing w:after="0" w:line="21"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President</w:t>
      </w:r>
    </w:p>
    <w:p>
      <w:pPr>
        <w:spacing w:after="0" w:line="159"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color w:val="auto"/>
        </w:rPr>
        <w:t>Signature Page to Second Supplemental Indenture</w:t>
      </w:r>
    </w:p>
    <w:p>
      <w:pPr>
        <w:sectPr>
          <w:pgSz w:w="11900" w:h="16838" w:orient="portrait"/>
          <w:cols w:equalWidth="0" w:num="1">
            <w:col w:w="10880"/>
          </w:cols>
          <w:pgMar w:left="240" w:top="274" w:right="779" w:bottom="1440" w:gutter="0" w:footer="0" w:header="0"/>
        </w:sectPr>
      </w:pPr>
    </w:p>
    <w:bookmarkStart w:id="111" w:name="page112"/>
    <w:bookmarkEnd w:id="111"/>
    <w:p>
      <w:pPr>
        <w:ind w:left="5080"/>
        <w:spacing w:after="0" w:line="26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GREAT LAKES DREDGE &amp; DOCK ENVIRONMENTAL, INC. (F/K/A GREAT LAKES CARIBBEAN DREDGING, INC.), a Delaware corporation</w:t>
      </w:r>
    </w:p>
    <w:p>
      <w:pPr>
        <w:spacing w:after="0" w:line="186" w:lineRule="exact"/>
        <w:rPr>
          <w:sz w:val="20"/>
          <w:szCs w:val="20"/>
          <w:color w:val="auto"/>
        </w:rPr>
      </w:pPr>
    </w:p>
    <w:p>
      <w:pPr>
        <w:ind w:left="5080"/>
        <w:spacing w:after="0"/>
        <w:tabs>
          <w:tab w:leader="none" w:pos="54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6"/>
          <w:szCs w:val="16"/>
          <w:color w:val="auto"/>
        </w:rPr>
        <w:t>/s/ William S. Steckel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3496945</wp:posOffset>
            </wp:positionH>
            <wp:positionV relativeFrom="paragraph">
              <wp:posOffset>14605</wp:posOffset>
            </wp:positionV>
            <wp:extent cx="2992755"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2992755" cy="8890"/>
                    </a:xfrm>
                    <a:prstGeom prst="rect">
                      <a:avLst/>
                    </a:prstGeom>
                    <a:noFill/>
                  </pic:spPr>
                </pic:pic>
              </a:graphicData>
            </a:graphic>
          </wp:anchor>
        </w:drawing>
      </w:r>
    </w:p>
    <w:p>
      <w:pPr>
        <w:spacing w:after="0" w:line="16"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William S. Steckel</w:t>
      </w:r>
    </w:p>
    <w:p>
      <w:pPr>
        <w:spacing w:after="0" w:line="21"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Senior Vice President and Chief Financial Officer</w:t>
      </w:r>
    </w:p>
    <w:p>
      <w:pPr>
        <w:spacing w:after="0" w:line="213"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NASDI HOLDINGS CORPORATION,</w:t>
      </w:r>
    </w:p>
    <w:p>
      <w:pPr>
        <w:spacing w:after="0" w:line="21"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a Delaware corporation</w:t>
      </w:r>
    </w:p>
    <w:p>
      <w:pPr>
        <w:spacing w:after="0" w:line="226" w:lineRule="exact"/>
        <w:rPr>
          <w:sz w:val="20"/>
          <w:szCs w:val="20"/>
          <w:color w:val="auto"/>
        </w:rPr>
      </w:pPr>
    </w:p>
    <w:p>
      <w:pPr>
        <w:ind w:left="5080"/>
        <w:spacing w:after="0"/>
        <w:tabs>
          <w:tab w:leader="none" w:pos="54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6"/>
          <w:szCs w:val="16"/>
          <w:color w:val="auto"/>
        </w:rPr>
        <w:t>/s/ William S. Steckel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3496945</wp:posOffset>
            </wp:positionH>
            <wp:positionV relativeFrom="paragraph">
              <wp:posOffset>14605</wp:posOffset>
            </wp:positionV>
            <wp:extent cx="2992755"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2992755" cy="8890"/>
                    </a:xfrm>
                    <a:prstGeom prst="rect">
                      <a:avLst/>
                    </a:prstGeom>
                    <a:noFill/>
                  </pic:spPr>
                </pic:pic>
              </a:graphicData>
            </a:graphic>
          </wp:anchor>
        </w:drawing>
      </w:r>
    </w:p>
    <w:p>
      <w:pPr>
        <w:spacing w:after="0" w:line="16"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William S. Steckel</w:t>
      </w:r>
    </w:p>
    <w:p>
      <w:pPr>
        <w:spacing w:after="0" w:line="21"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13"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NASDI, LLC, a Delaware limited liability company</w:t>
      </w:r>
    </w:p>
    <w:p>
      <w:pPr>
        <w:spacing w:after="0" w:line="225" w:lineRule="exact"/>
        <w:rPr>
          <w:sz w:val="20"/>
          <w:szCs w:val="20"/>
          <w:color w:val="auto"/>
        </w:rPr>
      </w:pPr>
    </w:p>
    <w:p>
      <w:pPr>
        <w:ind w:left="5080"/>
        <w:spacing w:after="0"/>
        <w:tabs>
          <w:tab w:leader="none" w:pos="54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6"/>
          <w:szCs w:val="16"/>
          <w:color w:val="auto"/>
        </w:rPr>
        <w:t>/s/ William S. Steckel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3496945</wp:posOffset>
            </wp:positionH>
            <wp:positionV relativeFrom="paragraph">
              <wp:posOffset>14605</wp:posOffset>
            </wp:positionV>
            <wp:extent cx="2992755"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2992755" cy="8890"/>
                    </a:xfrm>
                    <a:prstGeom prst="rect">
                      <a:avLst/>
                    </a:prstGeom>
                    <a:noFill/>
                  </pic:spPr>
                </pic:pic>
              </a:graphicData>
            </a:graphic>
          </wp:anchor>
        </w:drawing>
      </w:r>
    </w:p>
    <w:p>
      <w:pPr>
        <w:spacing w:after="0" w:line="16"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William S. Steckel</w:t>
      </w:r>
    </w:p>
    <w:p>
      <w:pPr>
        <w:spacing w:after="0" w:line="21"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Vice President</w:t>
      </w:r>
    </w:p>
    <w:p>
      <w:pPr>
        <w:spacing w:after="0" w:line="213"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FIFTY-THREE DREDGING CORPORATION,</w:t>
      </w:r>
    </w:p>
    <w:p>
      <w:pPr>
        <w:spacing w:after="0" w:line="21"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a New Jersey corporation</w:t>
      </w:r>
    </w:p>
    <w:p>
      <w:pPr>
        <w:spacing w:after="0" w:line="226" w:lineRule="exact"/>
        <w:rPr>
          <w:sz w:val="20"/>
          <w:szCs w:val="20"/>
          <w:color w:val="auto"/>
        </w:rPr>
      </w:pPr>
    </w:p>
    <w:p>
      <w:pPr>
        <w:ind w:left="5080"/>
        <w:spacing w:after="0"/>
        <w:tabs>
          <w:tab w:leader="none" w:pos="54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6"/>
          <w:szCs w:val="16"/>
          <w:color w:val="auto"/>
        </w:rPr>
        <w:t>/s/ Paul E. Dinquel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3496945</wp:posOffset>
            </wp:positionH>
            <wp:positionV relativeFrom="paragraph">
              <wp:posOffset>14605</wp:posOffset>
            </wp:positionV>
            <wp:extent cx="2992755"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2992755" cy="8890"/>
                    </a:xfrm>
                    <a:prstGeom prst="rect">
                      <a:avLst/>
                    </a:prstGeom>
                    <a:noFill/>
                  </pic:spPr>
                </pic:pic>
              </a:graphicData>
            </a:graphic>
          </wp:anchor>
        </w:drawing>
      </w:r>
    </w:p>
    <w:p>
      <w:pPr>
        <w:spacing w:after="0" w:line="16"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Paul E. Dinquel</w:t>
      </w:r>
    </w:p>
    <w:p>
      <w:pPr>
        <w:spacing w:after="0" w:line="21"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Vice President</w:t>
      </w:r>
    </w:p>
    <w:p>
      <w:pPr>
        <w:spacing w:after="0" w:line="159" w:lineRule="exact"/>
        <w:rPr>
          <w:sz w:val="20"/>
          <w:szCs w:val="20"/>
          <w:color w:val="auto"/>
        </w:rPr>
      </w:pPr>
    </w:p>
    <w:p>
      <w:pPr>
        <w:ind w:left="2760"/>
        <w:spacing w:after="0"/>
        <w:rPr>
          <w:sz w:val="20"/>
          <w:szCs w:val="20"/>
          <w:color w:val="auto"/>
        </w:rPr>
      </w:pPr>
      <w:r>
        <w:rPr>
          <w:rFonts w:ascii="Times New Roman" w:cs="Times New Roman" w:eastAsia="Times New Roman" w:hAnsi="Times New Roman"/>
          <w:sz w:val="18"/>
          <w:szCs w:val="18"/>
          <w:color w:val="auto"/>
        </w:rPr>
        <w:t>Signature Page to Second Supplemental Indenture</w:t>
      </w:r>
    </w:p>
    <w:p>
      <w:pPr>
        <w:sectPr>
          <w:pgSz w:w="11900" w:h="16838" w:orient="portrait"/>
          <w:cols w:equalWidth="0" w:num="1">
            <w:col w:w="10200"/>
          </w:cols>
          <w:pgMar w:left="1440" w:top="476" w:right="25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TRUSTEE:</w:t>
      </w:r>
    </w:p>
    <w:p>
      <w:pPr>
        <w:spacing w:after="0" w:line="214"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6"/>
          <w:szCs w:val="16"/>
          <w:color w:val="auto"/>
        </w:rPr>
        <w:t>WELLS FARGO BANK, NATIONAL ASSOCIATION, as</w:t>
      </w:r>
    </w:p>
    <w:p>
      <w:pPr>
        <w:spacing w:after="0" w:line="44"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Trustee</w:t>
      </w:r>
    </w:p>
    <w:p>
      <w:pPr>
        <w:spacing w:after="0" w:line="213"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By:  /s/ Gregory S. Clarke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8"/>
          <w:szCs w:val="18"/>
          <w:color w:val="auto"/>
        </w:rPr>
        <w:t>Name: Gregory S. Clarke</w:t>
      </w:r>
    </w:p>
    <w:p>
      <w:pPr>
        <w:spacing w:after="0" w:line="21" w:lineRule="exact"/>
        <w:rPr>
          <w:sz w:val="20"/>
          <w:szCs w:val="20"/>
          <w:color w:val="auto"/>
        </w:rPr>
      </w:pPr>
    </w:p>
    <w:p>
      <w:pPr>
        <w:ind w:left="7240"/>
        <w:spacing w:after="0"/>
        <w:tabs>
          <w:tab w:leader="none" w:pos="77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6"/>
          <w:szCs w:val="16"/>
          <w:color w:val="auto"/>
        </w:rPr>
        <w:t>Vice President</w:t>
      </w:r>
    </w:p>
    <w:p>
      <w:pPr>
        <w:spacing w:after="0" w:line="159"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color w:val="auto"/>
        </w:rPr>
        <w:t>Signature Page to Second Supplemental Indenture</w:t>
      </w:r>
    </w:p>
    <w:p>
      <w:pPr>
        <w:sectPr>
          <w:pgSz w:w="11900" w:h="16838" w:orient="portrait"/>
          <w:cols w:equalWidth="0" w:num="1">
            <w:col w:w="11020"/>
          </w:cols>
          <w:pgMar w:left="240" w:top="272" w:right="639" w:bottom="1440" w:gutter="0" w:footer="0" w:header="0"/>
        </w:sectPr>
      </w:pPr>
    </w:p>
    <w:bookmarkStart w:id="113" w:name="page114"/>
    <w:bookmarkEnd w:id="113"/>
    <w:p>
      <w:pPr>
        <w:jc w:val="right"/>
        <w:spacing w:after="0"/>
        <w:rPr>
          <w:sz w:val="20"/>
          <w:szCs w:val="20"/>
          <w:color w:val="auto"/>
        </w:rPr>
      </w:pPr>
      <w:r>
        <w:rPr>
          <w:rFonts w:ascii="Times New Roman" w:cs="Times New Roman" w:eastAsia="Times New Roman" w:hAnsi="Times New Roman"/>
          <w:sz w:val="18"/>
          <w:szCs w:val="18"/>
          <w:b w:val="1"/>
          <w:bCs w:val="1"/>
          <w:color w:val="auto"/>
        </w:rPr>
        <w:t>Exhibit 10.12</w:t>
      </w: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THIRD AMENDMENT</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INTERNATIONAL LETTER OF CREDIT AGREEMENT</w:t>
      </w:r>
    </w:p>
    <w:p>
      <w:pPr>
        <w:spacing w:after="0" w:line="159" w:lineRule="exact"/>
        <w:rPr>
          <w:sz w:val="20"/>
          <w:szCs w:val="20"/>
          <w:color w:val="auto"/>
        </w:rPr>
      </w:pPr>
    </w:p>
    <w:p>
      <w:pPr>
        <w:ind w:right="420" w:firstLine="456"/>
        <w:spacing w:after="0" w:line="258" w:lineRule="auto"/>
        <w:rPr>
          <w:sz w:val="20"/>
          <w:szCs w:val="20"/>
          <w:color w:val="auto"/>
        </w:rPr>
      </w:pPr>
      <w:r>
        <w:rPr>
          <w:rFonts w:ascii="Times New Roman" w:cs="Times New Roman" w:eastAsia="Times New Roman" w:hAnsi="Times New Roman"/>
          <w:sz w:val="18"/>
          <w:szCs w:val="18"/>
          <w:color w:val="auto"/>
        </w:rPr>
        <w:t>THIS THIRD AMENDMENT TO INTERNATIONAL LETTER OF CREDIT AGREEMENT is dated as of the 12</w:t>
      </w:r>
      <w:r>
        <w:rPr>
          <w:rFonts w:ascii="Times New Roman" w:cs="Times New Roman" w:eastAsia="Times New Roman" w:hAnsi="Times New Roman"/>
          <w:sz w:val="11"/>
          <w:szCs w:val="11"/>
          <w:color w:val="auto"/>
        </w:rPr>
        <w:t>th</w:t>
      </w:r>
      <w:r>
        <w:rPr>
          <w:rFonts w:ascii="Times New Roman" w:cs="Times New Roman" w:eastAsia="Times New Roman" w:hAnsi="Times New Roman"/>
          <w:sz w:val="18"/>
          <w:szCs w:val="18"/>
          <w:color w:val="auto"/>
        </w:rPr>
        <w:t xml:space="preserve"> day of June, 2012 (this “</w:t>
      </w:r>
      <w:r>
        <w:rPr>
          <w:rFonts w:ascii="Times New Roman" w:cs="Times New Roman" w:eastAsia="Times New Roman" w:hAnsi="Times New Roman"/>
          <w:sz w:val="18"/>
          <w:szCs w:val="18"/>
          <w:u w:val="single" w:color="auto"/>
          <w:color w:val="auto"/>
        </w:rPr>
        <w:t>Third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and entered into among GREAT LAKES DREDGE &amp; DOCK CORPORATION, a Delaware corporation (the “</w:t>
      </w:r>
      <w:r>
        <w:rPr>
          <w:rFonts w:ascii="Times New Roman" w:cs="Times New Roman" w:eastAsia="Times New Roman" w:hAnsi="Times New Roman"/>
          <w:sz w:val="18"/>
          <w:szCs w:val="18"/>
          <w:u w:val="single" w:color="auto"/>
          <w:color w:val="auto"/>
        </w:rPr>
        <w:t>Borrower</w:t>
      </w:r>
      <w:r>
        <w:rPr>
          <w:rFonts w:ascii="Times New Roman" w:cs="Times New Roman" w:eastAsia="Times New Roman" w:hAnsi="Times New Roman"/>
          <w:sz w:val="18"/>
          <w:szCs w:val="18"/>
          <w:color w:val="auto"/>
        </w:rPr>
        <w:t>”), GREAT LAKES DREDGE &amp; DOCK COMPANY, LLC, a Delaware limited liability company (the “</w:t>
      </w:r>
      <w:r>
        <w:rPr>
          <w:rFonts w:ascii="Times New Roman" w:cs="Times New Roman" w:eastAsia="Times New Roman" w:hAnsi="Times New Roman"/>
          <w:sz w:val="18"/>
          <w:szCs w:val="18"/>
          <w:u w:val="single" w:color="auto"/>
          <w:color w:val="auto"/>
        </w:rPr>
        <w:t>Guarantor</w:t>
      </w:r>
      <w:r>
        <w:rPr>
          <w:rFonts w:ascii="Times New Roman" w:cs="Times New Roman" w:eastAsia="Times New Roman" w:hAnsi="Times New Roman"/>
          <w:sz w:val="18"/>
          <w:szCs w:val="18"/>
          <w:color w:val="auto"/>
        </w:rPr>
        <w:t>”), and WELLS FARGO BANK, N.A., successor by merger to WELLS FARGO HSBC TRADE BANK, N.A. (the “</w:t>
      </w:r>
      <w:r>
        <w:rPr>
          <w:rFonts w:ascii="Times New Roman" w:cs="Times New Roman" w:eastAsia="Times New Roman" w:hAnsi="Times New Roman"/>
          <w:sz w:val="18"/>
          <w:szCs w:val="18"/>
          <w:u w:val="single" w:color="auto"/>
          <w:color w:val="auto"/>
        </w:rPr>
        <w:t>Bank</w:t>
      </w:r>
      <w:r>
        <w:rPr>
          <w:rFonts w:ascii="Times New Roman" w:cs="Times New Roman" w:eastAsia="Times New Roman" w:hAnsi="Times New Roman"/>
          <w:sz w:val="18"/>
          <w:szCs w:val="18"/>
          <w:color w:val="auto"/>
        </w:rPr>
        <w:t>”).</w:t>
      </w: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BACKGROUND:</w:t>
      </w:r>
    </w:p>
    <w:p>
      <w:pPr>
        <w:spacing w:after="0" w:line="171" w:lineRule="exact"/>
        <w:rPr>
          <w:sz w:val="20"/>
          <w:szCs w:val="20"/>
          <w:color w:val="auto"/>
        </w:rPr>
      </w:pPr>
    </w:p>
    <w:p>
      <w:pPr>
        <w:ind w:right="80" w:firstLine="456"/>
        <w:spacing w:after="0" w:line="262" w:lineRule="auto"/>
        <w:rPr>
          <w:sz w:val="20"/>
          <w:szCs w:val="20"/>
          <w:color w:val="auto"/>
        </w:rPr>
      </w:pPr>
      <w:r>
        <w:rPr>
          <w:rFonts w:ascii="Times New Roman" w:cs="Times New Roman" w:eastAsia="Times New Roman" w:hAnsi="Times New Roman"/>
          <w:sz w:val="18"/>
          <w:szCs w:val="18"/>
          <w:color w:val="auto"/>
        </w:rPr>
        <w:t>A. The Borrower, the Guarantor and Bank entered into an International Letter of Credit Agreement, dated as of September 29, 2006 (as amended through the date hereof and as it may be further amended, modified or supplemented, the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Unless specifically defined or redefined below, capitalized terms used herein shall have the meanings ascribed thereto in the Agreement.</w:t>
      </w:r>
    </w:p>
    <w:p>
      <w:pPr>
        <w:spacing w:after="0" w:line="13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B. The Borrower has requested an extension of the Maturity Date and amendment of certain covenants found in the Agreement.</w:t>
      </w:r>
    </w:p>
    <w:p>
      <w:pPr>
        <w:spacing w:after="0" w:line="1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C. The Bank hereby agrees to extend the Maturity Date and amend the Agreement, subject to the terms and conditions set forth herein.</w:t>
      </w:r>
    </w:p>
    <w:p>
      <w:pPr>
        <w:spacing w:after="0" w:line="171" w:lineRule="exact"/>
        <w:rPr>
          <w:sz w:val="20"/>
          <w:szCs w:val="20"/>
          <w:color w:val="auto"/>
        </w:rPr>
      </w:pPr>
    </w:p>
    <w:p>
      <w:pPr>
        <w:ind w:right="180" w:firstLine="456"/>
        <w:spacing w:after="0" w:line="275" w:lineRule="auto"/>
        <w:rPr>
          <w:sz w:val="20"/>
          <w:szCs w:val="20"/>
          <w:color w:val="auto"/>
        </w:rPr>
      </w:pPr>
      <w:r>
        <w:rPr>
          <w:rFonts w:ascii="Times New Roman" w:cs="Times New Roman" w:eastAsia="Times New Roman" w:hAnsi="Times New Roman"/>
          <w:sz w:val="18"/>
          <w:szCs w:val="18"/>
          <w:color w:val="auto"/>
        </w:rPr>
        <w:t>NOW, THEREFORE, in consideration of the covenants, conditions and agreements hereafter set forth, and for other good and valuable consideration, the receipt and adequacy of which are all hereby acknowledged, the Borrower, the Guarantor and the Bank covenant and agree as follows:</w:t>
      </w:r>
    </w:p>
    <w:p>
      <w:pPr>
        <w:spacing w:after="0" w:line="12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SECTION 1. </w:t>
      </w:r>
      <w:r>
        <w:rPr>
          <w:rFonts w:ascii="Times New Roman" w:cs="Times New Roman" w:eastAsia="Times New Roman" w:hAnsi="Times New Roman"/>
          <w:sz w:val="18"/>
          <w:szCs w:val="18"/>
          <w:u w:val="single" w:color="auto"/>
          <w:color w:val="auto"/>
        </w:rPr>
        <w:t>AMENDMENTS</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ind w:right="80" w:firstLine="464"/>
        <w:spacing w:after="0" w:line="275" w:lineRule="auto"/>
        <w:tabs>
          <w:tab w:leader="none" w:pos="695"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 to Section 2.3(b)</w:t>
      </w:r>
      <w:r>
        <w:rPr>
          <w:rFonts w:ascii="Times New Roman" w:cs="Times New Roman" w:eastAsia="Times New Roman" w:hAnsi="Times New Roman"/>
          <w:sz w:val="18"/>
          <w:szCs w:val="18"/>
          <w:color w:val="auto"/>
        </w:rPr>
        <w:t>. Section 2.3(b) of the Agreement is amended by deleting “thirty (30) days” appearing therein and inserting in lieu thereof “five (5) days”.</w:t>
      </w:r>
    </w:p>
    <w:p>
      <w:pPr>
        <w:spacing w:after="0" w:line="119" w:lineRule="exact"/>
        <w:rPr>
          <w:rFonts w:ascii="Times New Roman" w:cs="Times New Roman" w:eastAsia="Times New Roman" w:hAnsi="Times New Roman"/>
          <w:sz w:val="18"/>
          <w:szCs w:val="18"/>
          <w:color w:val="auto"/>
        </w:rPr>
      </w:pPr>
    </w:p>
    <w:p>
      <w:pPr>
        <w:ind w:left="720" w:hanging="256"/>
        <w:spacing w:after="0"/>
        <w:tabs>
          <w:tab w:leader="none" w:pos="7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 to Section 2.9</w:t>
      </w:r>
      <w:r>
        <w:rPr>
          <w:rFonts w:ascii="Times New Roman" w:cs="Times New Roman" w:eastAsia="Times New Roman" w:hAnsi="Times New Roman"/>
          <w:sz w:val="18"/>
          <w:szCs w:val="18"/>
          <w:color w:val="auto"/>
        </w:rPr>
        <w:t>. Section 2.9 of the Agreement is amended by deleting the last sentence thereof in its entirety.</w:t>
      </w:r>
    </w:p>
    <w:p>
      <w:pPr>
        <w:spacing w:after="0" w:line="171" w:lineRule="exact"/>
        <w:rPr>
          <w:rFonts w:ascii="Times New Roman" w:cs="Times New Roman" w:eastAsia="Times New Roman" w:hAnsi="Times New Roman"/>
          <w:sz w:val="18"/>
          <w:szCs w:val="18"/>
          <w:color w:val="auto"/>
        </w:rPr>
      </w:pPr>
    </w:p>
    <w:p>
      <w:pPr>
        <w:ind w:left="700" w:hanging="236"/>
        <w:spacing w:after="0"/>
        <w:tabs>
          <w:tab w:leader="none" w:pos="7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 to Section 4.1</w:t>
      </w:r>
      <w:r>
        <w:rPr>
          <w:rFonts w:ascii="Times New Roman" w:cs="Times New Roman" w:eastAsia="Times New Roman" w:hAnsi="Times New Roman"/>
          <w:sz w:val="18"/>
          <w:szCs w:val="18"/>
          <w:color w:val="auto"/>
        </w:rPr>
        <w:t>. Section 4.1 of the Agreement is amended and restated to read as follows:</w:t>
      </w:r>
    </w:p>
    <w:p>
      <w:pPr>
        <w:sectPr>
          <w:pgSz w:w="11900" w:h="16838" w:orient="portrait"/>
          <w:cols w:equalWidth="0" w:num="1">
            <w:col w:w="11420"/>
          </w:cols>
          <w:pgMar w:left="240" w:top="123" w:right="239" w:bottom="1440" w:gutter="0" w:footer="0" w:header="0"/>
        </w:sectPr>
      </w:pPr>
    </w:p>
    <w:bookmarkStart w:id="114" w:name="page115"/>
    <w:bookmarkEnd w:id="114"/>
    <w:p>
      <w:pPr>
        <w:ind w:left="400" w:right="40" w:firstLine="438"/>
        <w:spacing w:after="0" w:line="258" w:lineRule="auto"/>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Facility Fee</w:t>
      </w:r>
      <w:r>
        <w:rPr>
          <w:rFonts w:ascii="Times New Roman" w:cs="Times New Roman" w:eastAsia="Times New Roman" w:hAnsi="Times New Roman"/>
          <w:sz w:val="18"/>
          <w:szCs w:val="18"/>
          <w:color w:val="auto"/>
        </w:rPr>
        <w:t>. The Borrower shall pay to the Bank (i) on June 12, 2012, a non-refundable facility fee in an amount equal to the product of (x) the Commitment and (y) the Annual Facility Fee Percentage, and (ii) on each Loan Facility Anniversary Date (other than the Maturity Date), a non-refundable facility fee in an amount equal to the product of (x) the Commitment and (y) the Annual Facility Fee Percentage, prorated to the Maturity Date in the case of the final Loan Facility Anniversary Date prior to the Maturity Date.</w:t>
      </w:r>
    </w:p>
    <w:p>
      <w:pPr>
        <w:spacing w:after="0" w:line="55" w:lineRule="exact"/>
        <w:rPr>
          <w:sz w:val="20"/>
          <w:szCs w:val="20"/>
          <w:color w:val="auto"/>
        </w:rPr>
      </w:pPr>
    </w:p>
    <w:p>
      <w:pPr>
        <w:ind w:left="-60" w:right="20" w:firstLine="464"/>
        <w:spacing w:after="0" w:line="262" w:lineRule="auto"/>
        <w:tabs>
          <w:tab w:leader="none" w:pos="645"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Technical Amendment of Certain Sections</w:t>
      </w:r>
      <w:r>
        <w:rPr>
          <w:rFonts w:ascii="Times New Roman" w:cs="Times New Roman" w:eastAsia="Times New Roman" w:hAnsi="Times New Roman"/>
          <w:sz w:val="18"/>
          <w:szCs w:val="18"/>
          <w:color w:val="auto"/>
        </w:rPr>
        <w:t>. The Sections of the Agreement identified on the following table are amended to replace the references therein to certain sections of the Domestic Credit Agreement with new references to certain sections of the Domestic Credit Agreement, in each case, as provided in such table:</w:t>
      </w:r>
    </w:p>
    <w:p>
      <w:pPr>
        <w:spacing w:after="0" w:line="162" w:lineRule="exact"/>
        <w:rPr>
          <w:sz w:val="20"/>
          <w:szCs w:val="20"/>
          <w:color w:val="auto"/>
        </w:rPr>
      </w:pPr>
    </w:p>
    <w:tbl>
      <w:tblPr>
        <w:tblLayout w:type="fixed"/>
        <w:tblInd w:w="1320" w:type="dxa"/>
        <w:tblCellMar>
          <w:top w:w="0" w:type="dxa"/>
          <w:left w:w="0" w:type="dxa"/>
          <w:bottom w:w="0" w:type="dxa"/>
          <w:right w:w="0" w:type="dxa"/>
        </w:tblCellMar>
      </w:tblPr>
      <w:tr>
        <w:trPr>
          <w:trHeight w:val="161"/>
        </w:trPr>
        <w:tc>
          <w:tcPr>
            <w:tcW w:w="7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w w:val="97"/>
              </w:rPr>
              <w:t>Section of the</w:t>
            </w:r>
          </w:p>
        </w:tc>
        <w:tc>
          <w:tcPr>
            <w:tcW w:w="6180" w:type="dxa"/>
            <w:vAlign w:val="bottom"/>
            <w:gridSpan w:val="3"/>
          </w:tcPr>
          <w:p>
            <w:pPr>
              <w:ind w:left="4340"/>
              <w:spacing w:after="0"/>
              <w:rPr>
                <w:sz w:val="20"/>
                <w:szCs w:val="20"/>
                <w:color w:val="auto"/>
              </w:rPr>
            </w:pPr>
            <w:r>
              <w:rPr>
                <w:rFonts w:ascii="Times New Roman" w:cs="Times New Roman" w:eastAsia="Times New Roman" w:hAnsi="Times New Roman"/>
                <w:sz w:val="14"/>
                <w:szCs w:val="14"/>
                <w:color w:val="auto"/>
              </w:rPr>
              <w:t>Existing Domestic</w:t>
            </w:r>
          </w:p>
        </w:tc>
        <w:tc>
          <w:tcPr>
            <w:tcW w:w="480" w:type="dxa"/>
            <w:vAlign w:val="bottom"/>
          </w:tcPr>
          <w:p>
            <w:pPr>
              <w:spacing w:after="0"/>
              <w:rPr>
                <w:sz w:val="13"/>
                <w:szCs w:val="13"/>
                <w:color w:val="auto"/>
              </w:rPr>
            </w:pPr>
          </w:p>
        </w:tc>
        <w:tc>
          <w:tcPr>
            <w:tcW w:w="12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w w:val="95"/>
              </w:rPr>
              <w:t>New Domestic</w:t>
            </w:r>
          </w:p>
        </w:tc>
        <w:tc>
          <w:tcPr>
            <w:tcW w:w="0" w:type="dxa"/>
            <w:vAlign w:val="bottom"/>
          </w:tcPr>
          <w:p>
            <w:pPr>
              <w:spacing w:after="0"/>
              <w:rPr>
                <w:sz w:val="1"/>
                <w:szCs w:val="1"/>
                <w:color w:val="auto"/>
              </w:rPr>
            </w:pPr>
          </w:p>
        </w:tc>
      </w:tr>
      <w:tr>
        <w:trPr>
          <w:trHeight w:val="134"/>
        </w:trPr>
        <w:tc>
          <w:tcPr>
            <w:tcW w:w="780" w:type="dxa"/>
            <w:vAlign w:val="bottom"/>
            <w:vMerge w:val="continue"/>
          </w:tcPr>
          <w:p>
            <w:pPr>
              <w:spacing w:after="0"/>
              <w:rPr>
                <w:sz w:val="11"/>
                <w:szCs w:val="11"/>
                <w:color w:val="auto"/>
              </w:rPr>
            </w:pPr>
          </w:p>
        </w:tc>
        <w:tc>
          <w:tcPr>
            <w:tcW w:w="4340" w:type="dxa"/>
            <w:vAlign w:val="bottom"/>
          </w:tcPr>
          <w:p>
            <w:pPr>
              <w:spacing w:after="0"/>
              <w:rPr>
                <w:sz w:val="11"/>
                <w:szCs w:val="11"/>
                <w:color w:val="auto"/>
              </w:rPr>
            </w:pPr>
          </w:p>
        </w:tc>
        <w:tc>
          <w:tcPr>
            <w:tcW w:w="1840" w:type="dxa"/>
            <w:vAlign w:val="bottom"/>
            <w:gridSpan w:val="2"/>
          </w:tcPr>
          <w:p>
            <w:pPr>
              <w:spacing w:after="0" w:line="135" w:lineRule="exact"/>
              <w:rPr>
                <w:sz w:val="20"/>
                <w:szCs w:val="20"/>
                <w:color w:val="auto"/>
              </w:rPr>
            </w:pPr>
            <w:r>
              <w:rPr>
                <w:rFonts w:ascii="Times New Roman" w:cs="Times New Roman" w:eastAsia="Times New Roman" w:hAnsi="Times New Roman"/>
                <w:sz w:val="14"/>
                <w:szCs w:val="14"/>
                <w:color w:val="auto"/>
              </w:rPr>
              <w:t>Credit Agreement</w:t>
            </w:r>
          </w:p>
        </w:tc>
        <w:tc>
          <w:tcPr>
            <w:tcW w:w="1720" w:type="dxa"/>
            <w:vAlign w:val="bottom"/>
            <w:gridSpan w:val="3"/>
          </w:tcPr>
          <w:p>
            <w:pPr>
              <w:jc w:val="center"/>
              <w:ind w:left="157"/>
              <w:spacing w:after="0" w:line="135" w:lineRule="exact"/>
              <w:rPr>
                <w:sz w:val="20"/>
                <w:szCs w:val="20"/>
                <w:color w:val="auto"/>
              </w:rPr>
            </w:pPr>
            <w:r>
              <w:rPr>
                <w:rFonts w:ascii="Times New Roman" w:cs="Times New Roman" w:eastAsia="Times New Roman" w:hAnsi="Times New Roman"/>
                <w:sz w:val="14"/>
                <w:szCs w:val="14"/>
                <w:color w:val="auto"/>
                <w:w w:val="99"/>
              </w:rPr>
              <w:t>Credit Agreement</w:t>
            </w:r>
          </w:p>
        </w:tc>
        <w:tc>
          <w:tcPr>
            <w:tcW w:w="0" w:type="dxa"/>
            <w:vAlign w:val="bottom"/>
          </w:tcPr>
          <w:p>
            <w:pPr>
              <w:spacing w:after="0"/>
              <w:rPr>
                <w:sz w:val="1"/>
                <w:szCs w:val="1"/>
                <w:color w:val="auto"/>
              </w:rPr>
            </w:pPr>
          </w:p>
        </w:tc>
      </w:tr>
      <w:tr>
        <w:trPr>
          <w:trHeight w:val="149"/>
        </w:trPr>
        <w:tc>
          <w:tcPr>
            <w:tcW w:w="780" w:type="dxa"/>
            <w:vAlign w:val="bottom"/>
            <w:tcBorders>
              <w:bottom w:val="single" w:sz="8" w:color="auto"/>
            </w:tcBorders>
          </w:tcPr>
          <w:p>
            <w:pPr>
              <w:spacing w:after="0" w:line="129" w:lineRule="exact"/>
              <w:rPr>
                <w:sz w:val="20"/>
                <w:szCs w:val="20"/>
                <w:color w:val="auto"/>
              </w:rPr>
            </w:pPr>
            <w:r>
              <w:rPr>
                <w:rFonts w:ascii="Times New Roman" w:cs="Times New Roman" w:eastAsia="Times New Roman" w:hAnsi="Times New Roman"/>
                <w:sz w:val="14"/>
                <w:szCs w:val="14"/>
                <w:color w:val="auto"/>
              </w:rPr>
              <w:t>Agreement</w:t>
            </w:r>
          </w:p>
        </w:tc>
        <w:tc>
          <w:tcPr>
            <w:tcW w:w="4340" w:type="dxa"/>
            <w:vAlign w:val="bottom"/>
          </w:tcPr>
          <w:p>
            <w:pPr>
              <w:spacing w:after="0"/>
              <w:rPr>
                <w:sz w:val="12"/>
                <w:szCs w:val="12"/>
                <w:color w:val="auto"/>
              </w:rPr>
            </w:pPr>
          </w:p>
        </w:tc>
        <w:tc>
          <w:tcPr>
            <w:tcW w:w="1840" w:type="dxa"/>
            <w:vAlign w:val="bottom"/>
            <w:gridSpan w:val="2"/>
          </w:tcPr>
          <w:p>
            <w:pPr>
              <w:ind w:left="20"/>
              <w:spacing w:after="0" w:line="129" w:lineRule="exact"/>
              <w:rPr>
                <w:sz w:val="20"/>
                <w:szCs w:val="20"/>
                <w:color w:val="auto"/>
              </w:rPr>
            </w:pPr>
            <w:r>
              <w:rPr>
                <w:rFonts w:ascii="Times New Roman" w:cs="Times New Roman" w:eastAsia="Times New Roman" w:hAnsi="Times New Roman"/>
                <w:sz w:val="14"/>
                <w:szCs w:val="14"/>
                <w:color w:val="auto"/>
              </w:rPr>
              <w:t>Section Reference</w:t>
            </w:r>
          </w:p>
        </w:tc>
        <w:tc>
          <w:tcPr>
            <w:tcW w:w="1720" w:type="dxa"/>
            <w:vAlign w:val="bottom"/>
            <w:gridSpan w:val="3"/>
          </w:tcPr>
          <w:p>
            <w:pPr>
              <w:jc w:val="center"/>
              <w:ind w:left="157"/>
              <w:spacing w:after="0" w:line="129" w:lineRule="exact"/>
              <w:rPr>
                <w:sz w:val="20"/>
                <w:szCs w:val="20"/>
                <w:color w:val="auto"/>
              </w:rPr>
            </w:pPr>
            <w:r>
              <w:rPr>
                <w:rFonts w:ascii="Times New Roman" w:cs="Times New Roman" w:eastAsia="Times New Roman" w:hAnsi="Times New Roman"/>
                <w:sz w:val="14"/>
                <w:szCs w:val="14"/>
                <w:color w:val="auto"/>
                <w:w w:val="97"/>
              </w:rPr>
              <w:t>Section Reference</w:t>
            </w:r>
          </w:p>
        </w:tc>
        <w:tc>
          <w:tcPr>
            <w:tcW w:w="0" w:type="dxa"/>
            <w:vAlign w:val="bottom"/>
          </w:tcPr>
          <w:p>
            <w:pPr>
              <w:spacing w:after="0"/>
              <w:rPr>
                <w:sz w:val="1"/>
                <w:szCs w:val="1"/>
                <w:color w:val="auto"/>
              </w:rPr>
            </w:pPr>
          </w:p>
        </w:tc>
      </w:tr>
      <w:tr>
        <w:trPr>
          <w:trHeight w:val="20"/>
        </w:trPr>
        <w:tc>
          <w:tcPr>
            <w:tcW w:w="780" w:type="dxa"/>
            <w:vAlign w:val="bottom"/>
            <w:tcBorders>
              <w:bottom w:val="single" w:sz="8" w:color="CCEEFF"/>
            </w:tcBorders>
          </w:tcPr>
          <w:p>
            <w:pPr>
              <w:spacing w:after="0" w:line="20" w:lineRule="exact"/>
              <w:rPr>
                <w:sz w:val="1"/>
                <w:szCs w:val="1"/>
                <w:color w:val="auto"/>
              </w:rPr>
            </w:pPr>
          </w:p>
        </w:tc>
        <w:tc>
          <w:tcPr>
            <w:tcW w:w="434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8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6.13</w:t>
            </w:r>
          </w:p>
        </w:tc>
        <w:tc>
          <w:tcPr>
            <w:tcW w:w="4340" w:type="dxa"/>
            <w:vAlign w:val="bottom"/>
            <w:shd w:val="clear" w:color="auto" w:fill="CCEEFF"/>
          </w:tcPr>
          <w:p>
            <w:pPr>
              <w:spacing w:after="0"/>
              <w:rPr>
                <w:sz w:val="17"/>
                <w:szCs w:val="17"/>
                <w:color w:val="auto"/>
              </w:rPr>
            </w:pPr>
          </w:p>
        </w:tc>
        <w:tc>
          <w:tcPr>
            <w:tcW w:w="1840" w:type="dxa"/>
            <w:vAlign w:val="bottom"/>
            <w:gridSpan w:val="2"/>
            <w:shd w:val="clear" w:color="auto" w:fill="CCEEFF"/>
          </w:tcPr>
          <w:p>
            <w:pPr>
              <w:ind w:left="800"/>
              <w:spacing w:after="0" w:line="196" w:lineRule="exact"/>
              <w:rPr>
                <w:sz w:val="20"/>
                <w:szCs w:val="20"/>
                <w:color w:val="auto"/>
              </w:rPr>
            </w:pPr>
            <w:r>
              <w:rPr>
                <w:rFonts w:ascii="Times New Roman" w:cs="Times New Roman" w:eastAsia="Times New Roman" w:hAnsi="Times New Roman"/>
                <w:sz w:val="18"/>
                <w:szCs w:val="18"/>
                <w:color w:val="auto"/>
              </w:rPr>
              <w:t>6.2(f)</w:t>
            </w:r>
          </w:p>
        </w:tc>
        <w:tc>
          <w:tcPr>
            <w:tcW w:w="4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9.1</w:t>
            </w:r>
          </w:p>
        </w:tc>
        <w:tc>
          <w:tcPr>
            <w:tcW w:w="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8.1(e)</w:t>
            </w:r>
          </w:p>
        </w:tc>
        <w:tc>
          <w:tcPr>
            <w:tcW w:w="4340" w:type="dxa"/>
            <w:vAlign w:val="bottom"/>
          </w:tcPr>
          <w:p>
            <w:pPr>
              <w:spacing w:after="0"/>
              <w:rPr>
                <w:sz w:val="18"/>
                <w:szCs w:val="18"/>
                <w:color w:val="auto"/>
              </w:rPr>
            </w:pPr>
          </w:p>
        </w:tc>
        <w:tc>
          <w:tcPr>
            <w:tcW w:w="184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6.1(f)</w:t>
            </w:r>
          </w:p>
        </w:tc>
        <w:tc>
          <w:tcPr>
            <w:tcW w:w="480" w:type="dxa"/>
            <w:vAlign w:val="bottom"/>
          </w:tcPr>
          <w:p>
            <w:pPr>
              <w:spacing w:after="0"/>
              <w:rPr>
                <w:sz w:val="18"/>
                <w:szCs w:val="18"/>
                <w:color w:val="auto"/>
              </w:rPr>
            </w:pP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8.3(f)</w:t>
            </w:r>
          </w:p>
        </w:tc>
        <w:tc>
          <w:tcPr>
            <w:tcW w:w="0" w:type="dxa"/>
            <w:vAlign w:val="bottom"/>
          </w:tcPr>
          <w:p>
            <w:pPr>
              <w:spacing w:after="0"/>
              <w:rPr>
                <w:sz w:val="1"/>
                <w:szCs w:val="1"/>
                <w:color w:val="auto"/>
              </w:rPr>
            </w:pPr>
          </w:p>
        </w:tc>
      </w:tr>
      <w:tr>
        <w:trPr>
          <w:trHeight w:val="216"/>
        </w:trPr>
        <w:tc>
          <w:tcPr>
            <w:tcW w:w="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9.1</w:t>
            </w:r>
          </w:p>
        </w:tc>
        <w:tc>
          <w:tcPr>
            <w:tcW w:w="434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6.2(h)</w:t>
            </w:r>
          </w:p>
        </w:tc>
        <w:tc>
          <w:tcPr>
            <w:tcW w:w="1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9.4</w:t>
            </w:r>
          </w:p>
        </w:tc>
        <w:tc>
          <w:tcPr>
            <w:tcW w:w="4340" w:type="dxa"/>
            <w:vAlign w:val="bottom"/>
          </w:tcPr>
          <w:p>
            <w:pPr>
              <w:spacing w:after="0"/>
              <w:rPr>
                <w:sz w:val="18"/>
                <w:szCs w:val="18"/>
                <w:color w:val="auto"/>
              </w:rPr>
            </w:pPr>
          </w:p>
        </w:tc>
        <w:tc>
          <w:tcPr>
            <w:tcW w:w="184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6.2(b)</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9.6(b)</w:t>
            </w:r>
          </w:p>
        </w:tc>
        <w:tc>
          <w:tcPr>
            <w:tcW w:w="434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6.2(i)</w:t>
            </w:r>
          </w:p>
        </w:tc>
        <w:tc>
          <w:tcPr>
            <w:tcW w:w="1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9.8</w:t>
            </w:r>
          </w:p>
        </w:tc>
        <w:tc>
          <w:tcPr>
            <w:tcW w:w="4340" w:type="dxa"/>
            <w:vAlign w:val="bottom"/>
          </w:tcPr>
          <w:p>
            <w:pPr>
              <w:spacing w:after="0"/>
              <w:rPr>
                <w:sz w:val="18"/>
                <w:szCs w:val="18"/>
                <w:color w:val="auto"/>
              </w:rPr>
            </w:pPr>
          </w:p>
        </w:tc>
        <w:tc>
          <w:tcPr>
            <w:tcW w:w="184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6.2(c)</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10.1(e)(ii)</w:t>
            </w:r>
          </w:p>
        </w:tc>
        <w:tc>
          <w:tcPr>
            <w:tcW w:w="434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6.2(a)(i)</w:t>
            </w:r>
          </w:p>
        </w:tc>
        <w:tc>
          <w:tcPr>
            <w:tcW w:w="1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11.15</w:t>
            </w:r>
          </w:p>
        </w:tc>
        <w:tc>
          <w:tcPr>
            <w:tcW w:w="5360" w:type="dxa"/>
            <w:vAlign w:val="bottom"/>
            <w:gridSpan w:val="2"/>
          </w:tcPr>
          <w:p>
            <w:pPr>
              <w:ind w:left="5140"/>
              <w:spacing w:after="0"/>
              <w:rPr>
                <w:sz w:val="20"/>
                <w:szCs w:val="20"/>
                <w:color w:val="auto"/>
              </w:rPr>
            </w:pPr>
            <w:r>
              <w:rPr>
                <w:rFonts w:ascii="Times New Roman" w:cs="Times New Roman" w:eastAsia="Times New Roman" w:hAnsi="Times New Roman"/>
                <w:sz w:val="18"/>
                <w:szCs w:val="18"/>
                <w:color w:val="auto"/>
                <w:w w:val="88"/>
              </w:rPr>
              <w:t>6.3</w:t>
            </w:r>
          </w:p>
        </w:tc>
        <w:tc>
          <w:tcPr>
            <w:tcW w:w="820" w:type="dxa"/>
            <w:vAlign w:val="bottom"/>
          </w:tcPr>
          <w:p>
            <w:pPr>
              <w:spacing w:after="0"/>
              <w:rPr>
                <w:sz w:val="19"/>
                <w:szCs w:val="19"/>
                <w:color w:val="auto"/>
              </w:rPr>
            </w:pP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9.14</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35" w:lineRule="exact"/>
        <w:rPr>
          <w:sz w:val="20"/>
          <w:szCs w:val="20"/>
          <w:color w:val="auto"/>
        </w:rPr>
      </w:pPr>
    </w:p>
    <w:p>
      <w:pPr>
        <w:ind w:left="640" w:hanging="236"/>
        <w:spacing w:after="0"/>
        <w:tabs>
          <w:tab w:leader="none" w:pos="640" w:val="left"/>
        </w:tabs>
        <w:numPr>
          <w:ilvl w:val="0"/>
          <w:numId w:val="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Amendment to Section 6.13</w:t>
      </w:r>
      <w:r>
        <w:rPr>
          <w:rFonts w:ascii="Times New Roman" w:cs="Times New Roman" w:eastAsia="Times New Roman" w:hAnsi="Times New Roman"/>
          <w:sz w:val="16"/>
          <w:szCs w:val="16"/>
          <w:color w:val="auto"/>
        </w:rPr>
        <w:t>. Section 6.13 of the Agreement is amended by deleting “Guaranties” appearing therein and inserting in lieu thereof “Debt”.</w:t>
      </w:r>
    </w:p>
    <w:p>
      <w:pPr>
        <w:spacing w:after="0" w:line="194" w:lineRule="exact"/>
        <w:rPr>
          <w:rFonts w:ascii="Times New Roman" w:cs="Times New Roman" w:eastAsia="Times New Roman" w:hAnsi="Times New Roman"/>
          <w:sz w:val="16"/>
          <w:szCs w:val="16"/>
          <w:color w:val="auto"/>
        </w:rPr>
      </w:pPr>
    </w:p>
    <w:p>
      <w:pPr>
        <w:ind w:left="-60" w:right="180" w:firstLine="464"/>
        <w:spacing w:after="0" w:line="275" w:lineRule="auto"/>
        <w:tabs>
          <w:tab w:leader="none" w:pos="616"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 to Section 8.11(b)</w:t>
      </w:r>
      <w:r>
        <w:rPr>
          <w:rFonts w:ascii="Times New Roman" w:cs="Times New Roman" w:eastAsia="Times New Roman" w:hAnsi="Times New Roman"/>
          <w:sz w:val="18"/>
          <w:szCs w:val="18"/>
          <w:color w:val="auto"/>
        </w:rPr>
        <w:t>. Section 8.11(b) of the Agreement is amended by deleting “$3,000,000” appearing therein and inserting in lieu thereof “Threshold Amount”.</w:t>
      </w:r>
    </w:p>
    <w:p>
      <w:pPr>
        <w:spacing w:after="0" w:line="119" w:lineRule="exact"/>
        <w:rPr>
          <w:rFonts w:ascii="Times New Roman" w:cs="Times New Roman" w:eastAsia="Times New Roman" w:hAnsi="Times New Roman"/>
          <w:sz w:val="18"/>
          <w:szCs w:val="18"/>
          <w:color w:val="auto"/>
        </w:rPr>
      </w:pPr>
    </w:p>
    <w:p>
      <w:pPr>
        <w:ind w:left="660" w:hanging="256"/>
        <w:spacing w:after="0"/>
        <w:tabs>
          <w:tab w:leader="none" w:pos="6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Amendments to Section 9.5</w:t>
      </w:r>
      <w:r>
        <w:rPr>
          <w:rFonts w:ascii="Times New Roman" w:cs="Times New Roman" w:eastAsia="Times New Roman" w:hAnsi="Times New Roman"/>
          <w:sz w:val="18"/>
          <w:szCs w:val="18"/>
          <w:color w:val="auto"/>
        </w:rPr>
        <w:t>. Section 9.5 of the Agreement is amended and restated in its entirety to read as follows:</w:t>
      </w:r>
    </w:p>
    <w:p>
      <w:pPr>
        <w:spacing w:after="0" w:line="171"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 xml:space="preserve">SECTION 9.5 </w:t>
      </w:r>
      <w:r>
        <w:rPr>
          <w:rFonts w:ascii="Times New Roman" w:cs="Times New Roman" w:eastAsia="Times New Roman" w:hAnsi="Times New Roman"/>
          <w:sz w:val="18"/>
          <w:szCs w:val="18"/>
          <w:u w:val="single" w:color="auto"/>
          <w:color w:val="auto"/>
        </w:rPr>
        <w:t>Financial Covenants</w:t>
      </w:r>
      <w:r>
        <w:rPr>
          <w:rFonts w:ascii="Times New Roman" w:cs="Times New Roman" w:eastAsia="Times New Roman" w:hAnsi="Times New Roman"/>
          <w:sz w:val="18"/>
          <w:szCs w:val="18"/>
          <w:color w:val="auto"/>
        </w:rPr>
        <w:t>.</w:t>
      </w:r>
    </w:p>
    <w:p>
      <w:pPr>
        <w:spacing w:after="0" w:line="90" w:lineRule="exact"/>
        <w:rPr>
          <w:sz w:val="20"/>
          <w:szCs w:val="20"/>
          <w:color w:val="auto"/>
        </w:rPr>
      </w:pPr>
    </w:p>
    <w:p>
      <w:pPr>
        <w:ind w:left="400" w:right="380" w:firstLine="443"/>
        <w:spacing w:after="0" w:line="275" w:lineRule="auto"/>
        <w:tabs>
          <w:tab w:leader="none" w:pos="1077"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Consolidated Total Leverage Ratio</w:t>
      </w:r>
      <w:r>
        <w:rPr>
          <w:rFonts w:ascii="Times New Roman" w:cs="Times New Roman" w:eastAsia="Times New Roman" w:hAnsi="Times New Roman"/>
          <w:sz w:val="18"/>
          <w:szCs w:val="18"/>
          <w:color w:val="auto"/>
        </w:rPr>
        <w:t>. As of the date of any fiscal quarter of the Borrower, the Borrower will not permit the Consolidated Total Leverage Ratio to be greater than 4.50 to 1.00.</w:t>
      </w:r>
    </w:p>
    <w:p>
      <w:pPr>
        <w:spacing w:after="0" w:line="38" w:lineRule="exact"/>
        <w:rPr>
          <w:rFonts w:ascii="Times New Roman" w:cs="Times New Roman" w:eastAsia="Times New Roman" w:hAnsi="Times New Roman"/>
          <w:sz w:val="18"/>
          <w:szCs w:val="18"/>
          <w:color w:val="auto"/>
        </w:rPr>
      </w:pPr>
    </w:p>
    <w:p>
      <w:pPr>
        <w:ind w:left="400" w:right="880" w:firstLine="443"/>
        <w:spacing w:after="0" w:line="275" w:lineRule="auto"/>
        <w:tabs>
          <w:tab w:leader="none" w:pos="1087"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Consolidated Fixed Charge Coverage Ratio</w:t>
      </w:r>
      <w:r>
        <w:rPr>
          <w:rFonts w:ascii="Times New Roman" w:cs="Times New Roman" w:eastAsia="Times New Roman" w:hAnsi="Times New Roman"/>
          <w:sz w:val="18"/>
          <w:szCs w:val="18"/>
          <w:color w:val="auto"/>
        </w:rPr>
        <w:t>. As of the last day of any fiscal quarter of the Borrower, the Borrower will not permit the Consolidated Fixed Charge Coverage Ratio to be less than 1.25 to 1.00.</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320"/>
          </w:cols>
          <w:pgMar w:left="300" w:top="274" w:right="279" w:bottom="1440" w:gutter="0" w:footer="0" w:header="0"/>
        </w:sectPr>
      </w:pPr>
    </w:p>
    <w:bookmarkStart w:id="115" w:name="page116"/>
    <w:bookmarkEnd w:id="115"/>
    <w:p>
      <w:pPr>
        <w:ind w:right="40" w:firstLine="464"/>
        <w:spacing w:after="0" w:line="275" w:lineRule="auto"/>
        <w:tabs>
          <w:tab w:leader="none" w:pos="705"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Amendment to Section 9.7</w:t>
      </w:r>
      <w:r>
        <w:rPr>
          <w:rFonts w:ascii="Times New Roman" w:cs="Times New Roman" w:eastAsia="Times New Roman" w:hAnsi="Times New Roman"/>
          <w:sz w:val="18"/>
          <w:szCs w:val="18"/>
          <w:color w:val="auto"/>
        </w:rPr>
        <w:t>. The proviso in Section 9.7 of the Agreement is deleted in its entirety and the following inserted in lieu thereof: “except as permitted in Section 9.7 (or any comparable provision) of the Domestic Credit Agreement.”</w:t>
      </w:r>
    </w:p>
    <w:p>
      <w:pPr>
        <w:spacing w:after="0" w:line="119" w:lineRule="exact"/>
        <w:rPr>
          <w:rFonts w:ascii="Times New Roman" w:cs="Times New Roman" w:eastAsia="Times New Roman" w:hAnsi="Times New Roman"/>
          <w:sz w:val="18"/>
          <w:szCs w:val="18"/>
          <w:color w:val="auto"/>
        </w:rPr>
      </w:pPr>
    </w:p>
    <w:p>
      <w:pPr>
        <w:ind w:right="360" w:firstLine="464"/>
        <w:spacing w:after="0" w:line="275" w:lineRule="auto"/>
        <w:tabs>
          <w:tab w:leader="none" w:pos="666"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Amendments to Section 10.1</w:t>
      </w:r>
      <w:r>
        <w:rPr>
          <w:rFonts w:ascii="Times New Roman" w:cs="Times New Roman" w:eastAsia="Times New Roman" w:hAnsi="Times New Roman"/>
          <w:sz w:val="18"/>
          <w:szCs w:val="18"/>
          <w:color w:val="auto"/>
        </w:rPr>
        <w:t>. (i) Section 10.1(k)(i) of the Agreement is amended by deleting “$5,000,000” appearing therein and inserting in lieu thereof “Threshold Amount”;</w:t>
      </w:r>
    </w:p>
    <w:p>
      <w:pPr>
        <w:spacing w:after="0" w:line="120" w:lineRule="exact"/>
        <w:rPr>
          <w:sz w:val="20"/>
          <w:szCs w:val="20"/>
          <w:color w:val="auto"/>
        </w:rPr>
      </w:pPr>
    </w:p>
    <w:p>
      <w:pPr>
        <w:ind w:left="720" w:hanging="256"/>
        <w:spacing w:after="0"/>
        <w:tabs>
          <w:tab w:leader="none" w:pos="7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10.1(l) of the Agreement is amended by deleting “$5,000,000” appearing therein and inserting in lieu thereof “Threshold Amount”; and</w:t>
      </w:r>
    </w:p>
    <w:p>
      <w:pPr>
        <w:spacing w:after="0" w:line="171" w:lineRule="exact"/>
        <w:rPr>
          <w:rFonts w:ascii="Times New Roman" w:cs="Times New Roman" w:eastAsia="Times New Roman" w:hAnsi="Times New Roman"/>
          <w:sz w:val="18"/>
          <w:szCs w:val="18"/>
          <w:color w:val="auto"/>
        </w:rPr>
      </w:pPr>
    </w:p>
    <w:p>
      <w:pPr>
        <w:ind w:left="780" w:hanging="316"/>
        <w:spacing w:after="0"/>
        <w:tabs>
          <w:tab w:leader="none" w:pos="780" w:val="left"/>
        </w:tabs>
        <w:numPr>
          <w:ilvl w:val="0"/>
          <w:numId w:val="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Section 10.1(n) of the Agreement is amended and restated in its entirety to read as follows: “(n) </w:t>
      </w:r>
      <w:r>
        <w:rPr>
          <w:rFonts w:ascii="Times New Roman" w:cs="Times New Roman" w:eastAsia="Times New Roman" w:hAnsi="Times New Roman"/>
          <w:sz w:val="16"/>
          <w:szCs w:val="16"/>
          <w:u w:val="single" w:color="auto"/>
          <w:color w:val="auto"/>
        </w:rPr>
        <w:t>Change of Control</w:t>
      </w:r>
      <w:r>
        <w:rPr>
          <w:rFonts w:ascii="Times New Roman" w:cs="Times New Roman" w:eastAsia="Times New Roman" w:hAnsi="Times New Roman"/>
          <w:sz w:val="16"/>
          <w:szCs w:val="16"/>
          <w:color w:val="auto"/>
        </w:rPr>
        <w:t>. A Change of Control shall occur;</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w:t>
      </w:r>
    </w:p>
    <w:p>
      <w:pPr>
        <w:spacing w:after="0" w:line="159" w:lineRule="exact"/>
        <w:rPr>
          <w:sz w:val="20"/>
          <w:szCs w:val="20"/>
          <w:color w:val="auto"/>
        </w:rPr>
      </w:pPr>
    </w:p>
    <w:p>
      <w:pPr>
        <w:ind w:left="680" w:hanging="216"/>
        <w:spacing w:after="0"/>
        <w:tabs>
          <w:tab w:leader="none" w:pos="6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 to Section 11.3</w:t>
      </w:r>
      <w:r>
        <w:rPr>
          <w:rFonts w:ascii="Times New Roman" w:cs="Times New Roman" w:eastAsia="Times New Roman" w:hAnsi="Times New Roman"/>
          <w:sz w:val="18"/>
          <w:szCs w:val="18"/>
          <w:color w:val="auto"/>
        </w:rPr>
        <w:t>. Clauses (a) and (b) of Section 11.3 of the Agreement are amended and restated in their entirety to read as follows:</w:t>
      </w:r>
    </w:p>
    <w:p>
      <w:pPr>
        <w:spacing w:after="0" w:line="211" w:lineRule="exact"/>
        <w:rPr>
          <w:rFonts w:ascii="Times New Roman" w:cs="Times New Roman" w:eastAsia="Times New Roman" w:hAnsi="Times New Roman"/>
          <w:sz w:val="18"/>
          <w:szCs w:val="18"/>
          <w:color w:val="auto"/>
        </w:rPr>
      </w:pPr>
    </w:p>
    <w:p>
      <w:pPr>
        <w:ind w:left="1480" w:hanging="567"/>
        <w:spacing w:after="0"/>
        <w:tabs>
          <w:tab w:leader="none" w:pos="1480"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the Borrower or any Guarantor:</w:t>
      </w:r>
    </w:p>
    <w:p>
      <w:pPr>
        <w:spacing w:after="0" w:line="171" w:lineRule="exact"/>
        <w:rPr>
          <w:rFonts w:ascii="Times New Roman" w:cs="Times New Roman" w:eastAsia="Times New Roman" w:hAnsi="Times New Roman"/>
          <w:sz w:val="18"/>
          <w:szCs w:val="18"/>
          <w:color w:val="auto"/>
        </w:rPr>
      </w:pPr>
    </w:p>
    <w:p>
      <w:pPr>
        <w:ind w:left="1500" w:right="6860"/>
        <w:spacing w:after="0" w:line="25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Great Lakes Dredge &amp; Dock Corporation 2122 York Road</w:t>
      </w:r>
    </w:p>
    <w:p>
      <w:pPr>
        <w:spacing w:after="0" w:line="1" w:lineRule="exact"/>
        <w:rPr>
          <w:rFonts w:ascii="Times New Roman" w:cs="Times New Roman" w:eastAsia="Times New Roman" w:hAnsi="Times New Roman"/>
          <w:sz w:val="18"/>
          <w:szCs w:val="18"/>
          <w:color w:val="auto"/>
        </w:rPr>
      </w:pPr>
    </w:p>
    <w:p>
      <w:pPr>
        <w:ind w:left="1500" w:right="7480"/>
        <w:spacing w:after="0" w:line="29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Oak Brook, Illinois 60523 Attention: Mr. Bruce J. Biemeck Telephone No.: (630) 574-2948 Telefax No.: (630) 574-3007</w:t>
      </w:r>
    </w:p>
    <w:p>
      <w:pPr>
        <w:spacing w:after="0" w:line="149" w:lineRule="exact"/>
        <w:rPr>
          <w:rFonts w:ascii="Times New Roman" w:cs="Times New Roman" w:eastAsia="Times New Roman" w:hAnsi="Times New Roman"/>
          <w:sz w:val="18"/>
          <w:szCs w:val="18"/>
          <w:color w:val="auto"/>
        </w:rPr>
      </w:pPr>
    </w:p>
    <w:p>
      <w:pPr>
        <w:ind w:left="1480" w:hanging="567"/>
        <w:spacing w:after="0"/>
        <w:tabs>
          <w:tab w:leader="none" w:pos="1480"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the Bank:</w:t>
      </w:r>
    </w:p>
    <w:p>
      <w:pPr>
        <w:spacing w:after="0" w:line="171" w:lineRule="exact"/>
        <w:rPr>
          <w:rFonts w:ascii="Times New Roman" w:cs="Times New Roman" w:eastAsia="Times New Roman" w:hAnsi="Times New Roman"/>
          <w:sz w:val="18"/>
          <w:szCs w:val="18"/>
          <w:color w:val="auto"/>
        </w:rPr>
      </w:pPr>
    </w:p>
    <w:p>
      <w:pPr>
        <w:ind w:left="15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Wells Fargo Bank, N.A.</w:t>
      </w:r>
    </w:p>
    <w:p>
      <w:pPr>
        <w:spacing w:after="0" w:line="21" w:lineRule="exact"/>
        <w:rPr>
          <w:rFonts w:ascii="Times New Roman" w:cs="Times New Roman" w:eastAsia="Times New Roman" w:hAnsi="Times New Roman"/>
          <w:sz w:val="18"/>
          <w:szCs w:val="18"/>
          <w:color w:val="auto"/>
        </w:rPr>
      </w:pPr>
    </w:p>
    <w:p>
      <w:pPr>
        <w:ind w:left="1500" w:right="724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1000 Louisiana Street, Fourth Floor Houston, Texas 77002-5027 Attention: Mr. Sushim Shah Telephone No.: (713) 319-1374 Telefax No.: (713) 739-1080</w:t>
      </w:r>
    </w:p>
    <w:p>
      <w:pPr>
        <w:spacing w:after="0" w:line="139" w:lineRule="exact"/>
        <w:rPr>
          <w:rFonts w:ascii="Times New Roman" w:cs="Times New Roman" w:eastAsia="Times New Roman" w:hAnsi="Times New Roman"/>
          <w:sz w:val="18"/>
          <w:szCs w:val="18"/>
          <w:color w:val="auto"/>
        </w:rPr>
      </w:pPr>
    </w:p>
    <w:p>
      <w:pPr>
        <w:jc w:val="both"/>
        <w:ind w:right="100" w:firstLine="464"/>
        <w:spacing w:after="0" w:line="262" w:lineRule="auto"/>
        <w:tabs>
          <w:tab w:leader="none" w:pos="705"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Amendments to Exhibit “A” of the Agreement</w:t>
      </w:r>
      <w:r>
        <w:rPr>
          <w:rFonts w:ascii="Times New Roman" w:cs="Times New Roman" w:eastAsia="Times New Roman" w:hAnsi="Times New Roman"/>
          <w:sz w:val="18"/>
          <w:szCs w:val="18"/>
          <w:color w:val="auto"/>
        </w:rPr>
        <w:t>. (i) The following definitions in Exhibit “A” of the Agreement are deleted in their entirety: “Adjusted Consolidated EBITDA”, “Capitalized Lease”, “Capitalized Rentals”, “EBITDA”, “Guaranties”, “Interest Coverage Ratio”, “Interest Expense”, “Total Funded Debt” and “Total Leverage Ratio”;</w:t>
      </w:r>
    </w:p>
    <w:p>
      <w:pPr>
        <w:spacing w:after="0" w:line="132" w:lineRule="exact"/>
        <w:rPr>
          <w:sz w:val="20"/>
          <w:szCs w:val="20"/>
          <w:color w:val="auto"/>
        </w:rPr>
      </w:pPr>
    </w:p>
    <w:p>
      <w:pPr>
        <w:ind w:left="5680" w:right="1520" w:hanging="5216"/>
        <w:spacing w:after="0" w:line="447" w:lineRule="auto"/>
        <w:tabs>
          <w:tab w:leader="none" w:pos="733"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definitions set forth on </w:t>
      </w:r>
      <w:r>
        <w:rPr>
          <w:rFonts w:ascii="Times New Roman" w:cs="Times New Roman" w:eastAsia="Times New Roman" w:hAnsi="Times New Roman"/>
          <w:sz w:val="18"/>
          <w:szCs w:val="18"/>
          <w:u w:val="single" w:color="auto"/>
          <w:color w:val="auto"/>
        </w:rPr>
        <w:t>Annex I</w:t>
      </w:r>
      <w:r>
        <w:rPr>
          <w:rFonts w:ascii="Times New Roman" w:cs="Times New Roman" w:eastAsia="Times New Roman" w:hAnsi="Times New Roman"/>
          <w:sz w:val="18"/>
          <w:szCs w:val="18"/>
          <w:color w:val="auto"/>
        </w:rPr>
        <w:t xml:space="preserve"> attached hereto are added in Exhibit “A” of the Agreement in appropriate alphabetical order; 3</w:t>
      </w:r>
    </w:p>
    <w:p>
      <w:pPr>
        <w:sectPr>
          <w:pgSz w:w="11900" w:h="16838" w:orient="portrait"/>
          <w:cols w:equalWidth="0" w:num="1">
            <w:col w:w="11260"/>
          </w:cols>
          <w:pgMar w:left="240" w:top="274" w:right="399" w:bottom="1440" w:gutter="0" w:footer="0" w:header="0"/>
        </w:sectPr>
      </w:pPr>
    </w:p>
    <w:bookmarkStart w:id="116" w:name="page117"/>
    <w:bookmarkEnd w:id="116"/>
    <w:p>
      <w:pPr>
        <w:jc w:val="both"/>
        <w:ind w:right="140" w:firstLine="464"/>
        <w:spacing w:after="0" w:line="310" w:lineRule="auto"/>
        <w:tabs>
          <w:tab w:leader="none" w:pos="764" w:val="left"/>
        </w:tabs>
        <w:numPr>
          <w:ilvl w:val="0"/>
          <w:numId w:val="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the following definitions in Exhibit “A” of the Agreement are amended and restated in their entirety to read as set forth on </w:t>
      </w:r>
      <w:r>
        <w:rPr>
          <w:rFonts w:ascii="Times New Roman" w:cs="Times New Roman" w:eastAsia="Times New Roman" w:hAnsi="Times New Roman"/>
          <w:sz w:val="16"/>
          <w:szCs w:val="16"/>
          <w:u w:val="single" w:color="auto"/>
          <w:color w:val="auto"/>
        </w:rPr>
        <w:t>Annex II</w:t>
      </w:r>
      <w:r>
        <w:rPr>
          <w:rFonts w:ascii="Times New Roman" w:cs="Times New Roman" w:eastAsia="Times New Roman" w:hAnsi="Times New Roman"/>
          <w:sz w:val="16"/>
          <w:szCs w:val="16"/>
          <w:color w:val="auto"/>
        </w:rPr>
        <w:t xml:space="preserve"> attached hereto: “Affiliate”, “Annual Audited Financial Statements”, “Capital Stock”, “Debt”, “Domestic Credit Agreement”, “Domestic Lenders”, “Existing Letters of Credit”, “GAAP”, “Investment”, “Lien”, “Material Adverse Effect”, “Prime Rate”, “Property”, “Restricted Payment”, “Subsidiary” and “Voting Stock”; and</w:t>
      </w:r>
    </w:p>
    <w:p>
      <w:pPr>
        <w:spacing w:after="0" w:line="97" w:lineRule="exact"/>
        <w:rPr>
          <w:rFonts w:ascii="Times New Roman" w:cs="Times New Roman" w:eastAsia="Times New Roman" w:hAnsi="Times New Roman"/>
          <w:sz w:val="16"/>
          <w:szCs w:val="16"/>
          <w:color w:val="auto"/>
        </w:rPr>
      </w:pPr>
    </w:p>
    <w:p>
      <w:pPr>
        <w:ind w:left="760" w:hanging="296"/>
        <w:spacing w:after="0"/>
        <w:tabs>
          <w:tab w:leader="none" w:pos="7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definitions in Exhibit “A” of the Agreement are amended and restated in their entirety to read as follows:</w:t>
      </w:r>
    </w:p>
    <w:p>
      <w:pPr>
        <w:spacing w:after="0" w:line="90" w:lineRule="exact"/>
        <w:rPr>
          <w:sz w:val="20"/>
          <w:szCs w:val="20"/>
          <w:color w:val="auto"/>
        </w:rPr>
      </w:pPr>
    </w:p>
    <w:p>
      <w:pPr>
        <w:ind w:left="460" w:right="360"/>
        <w:spacing w:after="0" w:line="27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Borrower Agreement</w:t>
      </w:r>
      <w:r>
        <w:rPr>
          <w:rFonts w:ascii="Times New Roman" w:cs="Times New Roman" w:eastAsia="Times New Roman" w:hAnsi="Times New Roman"/>
          <w:sz w:val="18"/>
          <w:szCs w:val="18"/>
          <w:color w:val="auto"/>
        </w:rPr>
        <w:t>” shall mean the Borrower Agreement dated as of June 12, 2012, executed by the Borrower and the Bank, as amended, restated, supplemented or otherwise modified from time to time.</w:t>
      </w:r>
    </w:p>
    <w:p>
      <w:pPr>
        <w:spacing w:after="0" w:line="39" w:lineRule="exact"/>
        <w:rPr>
          <w:sz w:val="20"/>
          <w:szCs w:val="20"/>
          <w:color w:val="auto"/>
        </w:rPr>
      </w:pPr>
    </w:p>
    <w:p>
      <w:pPr>
        <w:ind w:left="460"/>
        <w:spacing w:after="0" w:line="27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Fast Track Borrower Supplement</w:t>
      </w:r>
      <w:r>
        <w:rPr>
          <w:rFonts w:ascii="Times New Roman" w:cs="Times New Roman" w:eastAsia="Times New Roman" w:hAnsi="Times New Roman"/>
          <w:sz w:val="18"/>
          <w:szCs w:val="18"/>
          <w:color w:val="auto"/>
        </w:rPr>
        <w:t>” shall mean the Fast Track Borrower Agreement Supplement executed by the Borrower as of June 12, 2012, as the same may be amended, restated, modified or supplemented from time to time.</w:t>
      </w:r>
    </w:p>
    <w:p>
      <w:pPr>
        <w:spacing w:after="0" w:line="3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Loan Facility Anniversary Date</w:t>
      </w:r>
      <w:r>
        <w:rPr>
          <w:rFonts w:ascii="Times New Roman" w:cs="Times New Roman" w:eastAsia="Times New Roman" w:hAnsi="Times New Roman"/>
          <w:sz w:val="18"/>
          <w:szCs w:val="18"/>
          <w:color w:val="auto"/>
        </w:rPr>
        <w:t>” shall mean each one (1) year anniversary of June 12, 2012.</w:t>
      </w:r>
    </w:p>
    <w:p>
      <w:pPr>
        <w:spacing w:after="0" w:line="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Maturity Date</w:t>
      </w:r>
      <w:r>
        <w:rPr>
          <w:rFonts w:ascii="Times New Roman" w:cs="Times New Roman" w:eastAsia="Times New Roman" w:hAnsi="Times New Roman"/>
          <w:sz w:val="18"/>
          <w:szCs w:val="18"/>
          <w:color w:val="auto"/>
        </w:rPr>
        <w:t>” shall mean June 12, 2013.</w:t>
      </w:r>
    </w:p>
    <w:p>
      <w:pPr>
        <w:spacing w:after="0" w:line="171" w:lineRule="exact"/>
        <w:rPr>
          <w:sz w:val="20"/>
          <w:szCs w:val="20"/>
          <w:color w:val="auto"/>
        </w:rPr>
      </w:pPr>
    </w:p>
    <w:p>
      <w:pPr>
        <w:ind w:right="560" w:firstLine="456"/>
        <w:spacing w:after="0" w:line="275" w:lineRule="auto"/>
        <w:rPr>
          <w:sz w:val="20"/>
          <w:szCs w:val="20"/>
          <w:color w:val="auto"/>
        </w:rPr>
      </w:pPr>
      <w:r>
        <w:rPr>
          <w:rFonts w:ascii="Times New Roman" w:cs="Times New Roman" w:eastAsia="Times New Roman" w:hAnsi="Times New Roman"/>
          <w:sz w:val="18"/>
          <w:szCs w:val="18"/>
          <w:color w:val="auto"/>
        </w:rPr>
        <w:t xml:space="preserve">SECTION 2. </w:t>
      </w:r>
      <w:r>
        <w:rPr>
          <w:rFonts w:ascii="Times New Roman" w:cs="Times New Roman" w:eastAsia="Times New Roman" w:hAnsi="Times New Roman"/>
          <w:sz w:val="18"/>
          <w:szCs w:val="18"/>
          <w:u w:val="single" w:color="auto"/>
          <w:color w:val="auto"/>
        </w:rPr>
        <w:t>REPRESENTATIONS AND WARRANTIES TRUE; NO EVENT OF DEFAULT</w:t>
      </w:r>
      <w:r>
        <w:rPr>
          <w:rFonts w:ascii="Times New Roman" w:cs="Times New Roman" w:eastAsia="Times New Roman" w:hAnsi="Times New Roman"/>
          <w:sz w:val="18"/>
          <w:szCs w:val="18"/>
          <w:color w:val="auto"/>
        </w:rPr>
        <w:t>. By its execution and delivery hereof, the Borrower represents and warrants that, as of the date hereof:</w:t>
      </w:r>
    </w:p>
    <w:p>
      <w:pPr>
        <w:spacing w:after="0" w:line="120" w:lineRule="exact"/>
        <w:rPr>
          <w:sz w:val="20"/>
          <w:szCs w:val="20"/>
          <w:color w:val="auto"/>
        </w:rPr>
      </w:pPr>
    </w:p>
    <w:p>
      <w:pPr>
        <w:ind w:right="80" w:firstLine="464"/>
        <w:spacing w:after="0" w:line="262" w:lineRule="auto"/>
        <w:tabs>
          <w:tab w:leader="none" w:pos="695"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the Borrower has all requisite power and authority to execute and deliver this Third Amendment, (ii) this Third Amendment has been duly executed and delivered by the Borrower, and (iii) this Third Amendment and the Agreement, as amended hereby, constitute valid and legally binding obligations of the Borrower, enforceable against the Borrower in accordance with their respective terms, except as limited by Debtor Laws;</w:t>
      </w:r>
    </w:p>
    <w:p>
      <w:pPr>
        <w:spacing w:after="0" w:line="132" w:lineRule="exact"/>
        <w:rPr>
          <w:rFonts w:ascii="Times New Roman" w:cs="Times New Roman" w:eastAsia="Times New Roman" w:hAnsi="Times New Roman"/>
          <w:sz w:val="18"/>
          <w:szCs w:val="18"/>
          <w:color w:val="auto"/>
        </w:rPr>
      </w:pPr>
    </w:p>
    <w:p>
      <w:pPr>
        <w:ind w:left="720" w:hanging="256"/>
        <w:spacing w:after="0"/>
        <w:tabs>
          <w:tab w:leader="none" w:pos="72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exists no Event of Default or Default under the Agreement both before and after giving effect to this Third Amendment;</w:t>
      </w:r>
    </w:p>
    <w:p>
      <w:pPr>
        <w:spacing w:after="0" w:line="171" w:lineRule="exact"/>
        <w:rPr>
          <w:rFonts w:ascii="Times New Roman" w:cs="Times New Roman" w:eastAsia="Times New Roman" w:hAnsi="Times New Roman"/>
          <w:sz w:val="18"/>
          <w:szCs w:val="18"/>
          <w:color w:val="auto"/>
        </w:rPr>
      </w:pPr>
    </w:p>
    <w:p>
      <w:pPr>
        <w:ind w:firstLine="464"/>
        <w:spacing w:after="0" w:line="262" w:lineRule="auto"/>
        <w:tabs>
          <w:tab w:leader="none" w:pos="695"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representations and warranties set forth in the Agreement and other International Loan Documents are true and correct in all material respects on the date hereof both before and after giving effect to this Third Amendment, except to the extent that such representations and warranties specifically refer to an earlier date, in which case they shall be true and correct in all material respects as of such earlier date;</w:t>
      </w:r>
    </w:p>
    <w:p>
      <w:pPr>
        <w:spacing w:after="0" w:line="1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380"/>
          </w:cols>
          <w:pgMar w:left="240" w:top="274" w:right="279" w:bottom="1440" w:gutter="0" w:footer="0" w:header="0"/>
        </w:sectPr>
      </w:pPr>
    </w:p>
    <w:bookmarkStart w:id="117" w:name="page118"/>
    <w:bookmarkEnd w:id="117"/>
    <w:p>
      <w:pPr>
        <w:ind w:left="712" w:hanging="256"/>
        <w:spacing w:after="0"/>
        <w:tabs>
          <w:tab w:leader="none" w:pos="712"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Agreement, as amended hereby, and the other International Loan Documents remain in full force and effect; and</w:t>
      </w:r>
    </w:p>
    <w:p>
      <w:pPr>
        <w:spacing w:after="0" w:line="171" w:lineRule="exact"/>
        <w:rPr>
          <w:rFonts w:ascii="Times New Roman" w:cs="Times New Roman" w:eastAsia="Times New Roman" w:hAnsi="Times New Roman"/>
          <w:sz w:val="18"/>
          <w:szCs w:val="18"/>
          <w:color w:val="auto"/>
        </w:rPr>
      </w:pPr>
    </w:p>
    <w:p>
      <w:pPr>
        <w:jc w:val="both"/>
        <w:ind w:left="-8" w:right="200" w:firstLine="464"/>
        <w:spacing w:after="0" w:line="258" w:lineRule="auto"/>
        <w:tabs>
          <w:tab w:leader="none" w:pos="687"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execution, delivery and performance of this Third Amendment or the Agreement, as amended hereby, nor the consummation of any transactions contemplated herein or therein, will (a) contravene the terms of the Organization Documents of the Borrower, (b) violate any Governmental Requirement or (c) conflict with any Obligation to which the Borrower is a party; except in the case of clauses (b) and (c) above to the extent that such conflict could not reasonably be expected to have a Material Adverse Effect.</w:t>
      </w:r>
    </w:p>
    <w:p>
      <w:pPr>
        <w:spacing w:after="0" w:line="136" w:lineRule="exact"/>
        <w:rPr>
          <w:sz w:val="20"/>
          <w:szCs w:val="20"/>
          <w:color w:val="auto"/>
        </w:rPr>
      </w:pPr>
    </w:p>
    <w:p>
      <w:pPr>
        <w:ind w:left="452"/>
        <w:spacing w:after="0"/>
        <w:rPr>
          <w:sz w:val="20"/>
          <w:szCs w:val="20"/>
          <w:color w:val="auto"/>
        </w:rPr>
      </w:pPr>
      <w:r>
        <w:rPr>
          <w:rFonts w:ascii="Times New Roman" w:cs="Times New Roman" w:eastAsia="Times New Roman" w:hAnsi="Times New Roman"/>
          <w:sz w:val="16"/>
          <w:szCs w:val="16"/>
          <w:color w:val="auto"/>
        </w:rPr>
        <w:t xml:space="preserve">SECTION 3. </w:t>
      </w:r>
      <w:r>
        <w:rPr>
          <w:rFonts w:ascii="Times New Roman" w:cs="Times New Roman" w:eastAsia="Times New Roman" w:hAnsi="Times New Roman"/>
          <w:sz w:val="16"/>
          <w:szCs w:val="16"/>
          <w:u w:val="single" w:color="auto"/>
          <w:color w:val="auto"/>
        </w:rPr>
        <w:t>CONDITIONS TO EFFECTIVENESS</w:t>
      </w:r>
      <w:r>
        <w:rPr>
          <w:rFonts w:ascii="Times New Roman" w:cs="Times New Roman" w:eastAsia="Times New Roman" w:hAnsi="Times New Roman"/>
          <w:sz w:val="16"/>
          <w:szCs w:val="16"/>
          <w:color w:val="auto"/>
        </w:rPr>
        <w:t>. All provisions of this Third Amendment shall be effective upon receipt by the Bank of the following:</w:t>
      </w:r>
    </w:p>
    <w:p>
      <w:pPr>
        <w:spacing w:after="0" w:line="194" w:lineRule="exact"/>
        <w:rPr>
          <w:sz w:val="20"/>
          <w:szCs w:val="20"/>
          <w:color w:val="auto"/>
        </w:rPr>
      </w:pPr>
    </w:p>
    <w:p>
      <w:pPr>
        <w:ind w:left="692" w:hanging="236"/>
        <w:spacing w:after="0"/>
        <w:tabs>
          <w:tab w:leader="none" w:pos="692"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Third Amendment duly executed by the Borrower, the Guarantor and the Bank;</w:t>
      </w:r>
    </w:p>
    <w:p>
      <w:pPr>
        <w:spacing w:after="0" w:line="171" w:lineRule="exact"/>
        <w:rPr>
          <w:rFonts w:ascii="Times New Roman" w:cs="Times New Roman" w:eastAsia="Times New Roman" w:hAnsi="Times New Roman"/>
          <w:sz w:val="18"/>
          <w:szCs w:val="18"/>
          <w:color w:val="auto"/>
        </w:rPr>
      </w:pPr>
    </w:p>
    <w:p>
      <w:pPr>
        <w:ind w:left="712" w:hanging="256"/>
        <w:spacing w:after="0"/>
        <w:tabs>
          <w:tab w:leader="none" w:pos="712"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Secretary’s Certificate of Borrower duly executed by the Borrower, in form and substance satisfactory to Bank;</w:t>
      </w:r>
    </w:p>
    <w:p>
      <w:pPr>
        <w:spacing w:after="0" w:line="171" w:lineRule="exact"/>
        <w:rPr>
          <w:rFonts w:ascii="Times New Roman" w:cs="Times New Roman" w:eastAsia="Times New Roman" w:hAnsi="Times New Roman"/>
          <w:sz w:val="18"/>
          <w:szCs w:val="18"/>
          <w:color w:val="auto"/>
        </w:rPr>
      </w:pPr>
    </w:p>
    <w:p>
      <w:pPr>
        <w:ind w:left="692" w:hanging="236"/>
        <w:spacing w:after="0"/>
        <w:tabs>
          <w:tab w:leader="none" w:pos="692"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Secretary’s Certificate of Guarantor duly executed by the Guarantor, in form and substance satisfactory to Bank;</w:t>
      </w:r>
    </w:p>
    <w:p>
      <w:pPr>
        <w:spacing w:after="0" w:line="171" w:lineRule="exact"/>
        <w:rPr>
          <w:rFonts w:ascii="Times New Roman" w:cs="Times New Roman" w:eastAsia="Times New Roman" w:hAnsi="Times New Roman"/>
          <w:sz w:val="18"/>
          <w:szCs w:val="18"/>
          <w:color w:val="auto"/>
        </w:rPr>
      </w:pPr>
    </w:p>
    <w:p>
      <w:pPr>
        <w:ind w:left="712" w:hanging="256"/>
        <w:spacing w:after="0"/>
        <w:tabs>
          <w:tab w:leader="none" w:pos="712"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Acknowledgement of Country Limitation Schedule duly executed by the Borrower;</w:t>
      </w:r>
    </w:p>
    <w:p>
      <w:pPr>
        <w:spacing w:after="0" w:line="171" w:lineRule="exact"/>
        <w:rPr>
          <w:rFonts w:ascii="Times New Roman" w:cs="Times New Roman" w:eastAsia="Times New Roman" w:hAnsi="Times New Roman"/>
          <w:sz w:val="18"/>
          <w:szCs w:val="18"/>
          <w:color w:val="auto"/>
        </w:rPr>
      </w:pPr>
    </w:p>
    <w:p>
      <w:pPr>
        <w:ind w:left="692" w:hanging="236"/>
        <w:spacing w:after="0"/>
        <w:tabs>
          <w:tab w:leader="none" w:pos="692"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Executed copies of the Borrower Agreement and Fast Track Borrower Supplement;</w:t>
      </w:r>
    </w:p>
    <w:p>
      <w:pPr>
        <w:spacing w:after="0" w:line="171" w:lineRule="exact"/>
        <w:rPr>
          <w:rFonts w:ascii="Times New Roman" w:cs="Times New Roman" w:eastAsia="Times New Roman" w:hAnsi="Times New Roman"/>
          <w:sz w:val="18"/>
          <w:szCs w:val="18"/>
          <w:color w:val="auto"/>
        </w:rPr>
      </w:pPr>
    </w:p>
    <w:p>
      <w:pPr>
        <w:ind w:left="672" w:hanging="216"/>
        <w:spacing w:after="0"/>
        <w:tabs>
          <w:tab w:leader="none" w:pos="672"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and waiver letter from Ex-Im Bank; and</w:t>
      </w:r>
    </w:p>
    <w:p>
      <w:pPr>
        <w:spacing w:after="0" w:line="171" w:lineRule="exact"/>
        <w:rPr>
          <w:rFonts w:ascii="Times New Roman" w:cs="Times New Roman" w:eastAsia="Times New Roman" w:hAnsi="Times New Roman"/>
          <w:sz w:val="18"/>
          <w:szCs w:val="18"/>
          <w:color w:val="auto"/>
        </w:rPr>
      </w:pPr>
    </w:p>
    <w:p>
      <w:pPr>
        <w:ind w:left="712" w:hanging="256"/>
        <w:spacing w:after="0"/>
        <w:tabs>
          <w:tab w:leader="none" w:pos="712"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by the Borrower of the facility fee pursuant to Section 4.1 of the Agreement.</w:t>
      </w:r>
    </w:p>
    <w:p>
      <w:pPr>
        <w:spacing w:after="0" w:line="171" w:lineRule="exact"/>
        <w:rPr>
          <w:sz w:val="20"/>
          <w:szCs w:val="20"/>
          <w:color w:val="auto"/>
        </w:rPr>
      </w:pPr>
    </w:p>
    <w:p>
      <w:pPr>
        <w:ind w:left="452"/>
        <w:spacing w:after="0"/>
        <w:rPr>
          <w:sz w:val="20"/>
          <w:szCs w:val="20"/>
          <w:color w:val="auto"/>
        </w:rPr>
      </w:pPr>
      <w:r>
        <w:rPr>
          <w:rFonts w:ascii="Times New Roman" w:cs="Times New Roman" w:eastAsia="Times New Roman" w:hAnsi="Times New Roman"/>
          <w:sz w:val="18"/>
          <w:szCs w:val="18"/>
          <w:color w:val="auto"/>
        </w:rPr>
        <w:t xml:space="preserve">SECTION 4. </w:t>
      </w:r>
      <w:r>
        <w:rPr>
          <w:rFonts w:ascii="Times New Roman" w:cs="Times New Roman" w:eastAsia="Times New Roman" w:hAnsi="Times New Roman"/>
          <w:sz w:val="18"/>
          <w:szCs w:val="18"/>
          <w:u w:val="single" w:color="auto"/>
          <w:color w:val="auto"/>
        </w:rPr>
        <w:t>ACKNOWLEDGEMENT AND AGREEMENT OF GUARANTOR</w:t>
      </w:r>
      <w:r>
        <w:rPr>
          <w:rFonts w:ascii="Times New Roman" w:cs="Times New Roman" w:eastAsia="Times New Roman" w:hAnsi="Times New Roman"/>
          <w:sz w:val="18"/>
          <w:szCs w:val="18"/>
          <w:color w:val="auto"/>
        </w:rPr>
        <w:t>. Guarantor hereby (i) consents to the terms and execution hereof;</w:t>
      </w:r>
    </w:p>
    <w:p>
      <w:pPr>
        <w:spacing w:after="0" w:line="21" w:lineRule="exact"/>
        <w:rPr>
          <w:sz w:val="20"/>
          <w:szCs w:val="20"/>
          <w:color w:val="auto"/>
        </w:rPr>
      </w:pPr>
    </w:p>
    <w:p>
      <w:pPr>
        <w:ind w:left="-8" w:firstLine="8"/>
        <w:spacing w:after="0" w:line="254" w:lineRule="auto"/>
        <w:tabs>
          <w:tab w:leader="none" w:pos="25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reaffirms its obligations to the Bank pursuant to the terms of its Guaranty; and (iii) acknowledges that the Bank may amend, restate, extend, renew or otherwise modify the Agreement and any indebtedness or agreement of the Borrower, or enter into any agreement or extend additional or other credit accommodations, without notifying or obtaining the consent of the Guarantor and without impairing the liability of the Guarantor under its Guaranty for all of the Borrower’s present and future indebtedness to the Bank.</w:t>
      </w:r>
    </w:p>
    <w:p>
      <w:pPr>
        <w:spacing w:after="0" w:line="124" w:lineRule="exact"/>
        <w:rPr>
          <w:sz w:val="20"/>
          <w:szCs w:val="20"/>
          <w:color w:val="auto"/>
        </w:rPr>
      </w:pPr>
    </w:p>
    <w:p>
      <w:pPr>
        <w:jc w:val="center"/>
        <w:ind w:right="-51"/>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372"/>
          </w:cols>
          <w:pgMar w:left="248" w:top="274" w:right="279" w:bottom="1440" w:gutter="0" w:footer="0" w:header="0"/>
        </w:sectPr>
      </w:pPr>
    </w:p>
    <w:bookmarkStart w:id="118" w:name="page119"/>
    <w:bookmarkEnd w:id="118"/>
    <w:p>
      <w:pPr>
        <w:ind w:left="46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5. </w:t>
      </w:r>
      <w:r>
        <w:rPr>
          <w:rFonts w:ascii="Times New Roman" w:cs="Times New Roman" w:eastAsia="Times New Roman" w:hAnsi="Times New Roman"/>
          <w:sz w:val="18"/>
          <w:szCs w:val="18"/>
          <w:u w:val="single" w:color="auto"/>
          <w:color w:val="auto"/>
        </w:rPr>
        <w:t>REFERENCE TO THE AGREEMENT</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ind w:right="420" w:firstLine="464"/>
        <w:spacing w:after="0" w:line="275" w:lineRule="auto"/>
        <w:tabs>
          <w:tab w:leader="none" w:pos="695"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effectiveness of this Third Amendment, each reference in the Agreement to “this Agreement”, “hereunder”, or words of like import shall mean and be a reference to the Agreement, as affected and amended hereby.</w:t>
      </w:r>
    </w:p>
    <w:p>
      <w:pPr>
        <w:spacing w:after="0" w:line="119" w:lineRule="exact"/>
        <w:rPr>
          <w:rFonts w:ascii="Times New Roman" w:cs="Times New Roman" w:eastAsia="Times New Roman" w:hAnsi="Times New Roman"/>
          <w:sz w:val="18"/>
          <w:szCs w:val="18"/>
          <w:color w:val="auto"/>
        </w:rPr>
      </w:pPr>
    </w:p>
    <w:p>
      <w:pPr>
        <w:ind w:left="720" w:hanging="256"/>
        <w:spacing w:after="0"/>
        <w:tabs>
          <w:tab w:leader="none" w:pos="72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Agreement, as amended by the amendments referred to above, shall remain in full force and effect and is hereby ratified and confirmed.</w:t>
      </w:r>
    </w:p>
    <w:p>
      <w:pPr>
        <w:spacing w:after="0" w:line="171" w:lineRule="exact"/>
        <w:rPr>
          <w:sz w:val="20"/>
          <w:szCs w:val="20"/>
          <w:color w:val="auto"/>
        </w:rPr>
      </w:pPr>
    </w:p>
    <w:p>
      <w:pPr>
        <w:ind w:right="340" w:firstLine="456"/>
        <w:spacing w:after="0" w:line="262" w:lineRule="auto"/>
        <w:rPr>
          <w:sz w:val="20"/>
          <w:szCs w:val="20"/>
          <w:color w:val="auto"/>
        </w:rPr>
      </w:pPr>
      <w:r>
        <w:rPr>
          <w:rFonts w:ascii="Times New Roman" w:cs="Times New Roman" w:eastAsia="Times New Roman" w:hAnsi="Times New Roman"/>
          <w:sz w:val="18"/>
          <w:szCs w:val="18"/>
          <w:color w:val="auto"/>
        </w:rPr>
        <w:t xml:space="preserve">SECTION 6. </w:t>
      </w:r>
      <w:r>
        <w:rPr>
          <w:rFonts w:ascii="Times New Roman" w:cs="Times New Roman" w:eastAsia="Times New Roman" w:hAnsi="Times New Roman"/>
          <w:sz w:val="18"/>
          <w:szCs w:val="18"/>
          <w:u w:val="single" w:color="auto"/>
          <w:color w:val="auto"/>
        </w:rPr>
        <w:t>COSTS, EXPENSES AND TAXES</w:t>
      </w:r>
      <w:r>
        <w:rPr>
          <w:rFonts w:ascii="Times New Roman" w:cs="Times New Roman" w:eastAsia="Times New Roman" w:hAnsi="Times New Roman"/>
          <w:sz w:val="18"/>
          <w:szCs w:val="18"/>
          <w:color w:val="auto"/>
        </w:rPr>
        <w:t>. The Borrower agrees to pay all reasonable out-of-pocket costs and expenses incurred by the Bank in connection with the preparation, reproduction, execution and delivery of this Third Amendment and the other instruments and documents to be delivered hereunder (including the reasonable fees, charges and disbursements of counsel with respect thereto).</w:t>
      </w:r>
    </w:p>
    <w:p>
      <w:pPr>
        <w:spacing w:after="0" w:line="132"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 xml:space="preserve">SECTION 7. </w:t>
      </w:r>
      <w:r>
        <w:rPr>
          <w:rFonts w:ascii="Times New Roman" w:cs="Times New Roman" w:eastAsia="Times New Roman" w:hAnsi="Times New Roman"/>
          <w:sz w:val="18"/>
          <w:szCs w:val="18"/>
          <w:u w:val="single" w:color="auto"/>
          <w:color w:val="auto"/>
        </w:rPr>
        <w:t>EXECUTION IN COUNTERPARTS</w:t>
      </w:r>
      <w:r>
        <w:rPr>
          <w:rFonts w:ascii="Times New Roman" w:cs="Times New Roman" w:eastAsia="Times New Roman" w:hAnsi="Times New Roman"/>
          <w:sz w:val="18"/>
          <w:szCs w:val="18"/>
          <w:color w:val="auto"/>
        </w:rPr>
        <w:t>. This Third Amendment may be executed in any number of counterparts and by different parties hereto in separate counterparts, each of which when so executed and delivered shall be deemed to be an original and all of which when taken together shall constitute but one and the same instrument. For purposes of this Third Amendment, a counterpart hereof (or signature page thereto) signed and transmitted by any Person party hereto to the Bank (or its counsel) by facsimile machine, telecopier or electronic mail is to be treated as an original. The signature of such Person thereon, for purposes hereof, is to be considered as an original signature, and the counterpart (or signature page thereto) so transmitted is to be considered to have the same binding effect as an original signature on an original document.</w:t>
      </w:r>
    </w:p>
    <w:p>
      <w:pPr>
        <w:spacing w:after="0" w:line="139" w:lineRule="exact"/>
        <w:rPr>
          <w:sz w:val="20"/>
          <w:szCs w:val="20"/>
          <w:color w:val="auto"/>
        </w:rPr>
      </w:pPr>
    </w:p>
    <w:p>
      <w:pPr>
        <w:ind w:right="80" w:firstLine="456"/>
        <w:spacing w:after="0" w:line="275" w:lineRule="auto"/>
        <w:rPr>
          <w:sz w:val="20"/>
          <w:szCs w:val="20"/>
          <w:color w:val="auto"/>
        </w:rPr>
      </w:pPr>
      <w:r>
        <w:rPr>
          <w:rFonts w:ascii="Times New Roman" w:cs="Times New Roman" w:eastAsia="Times New Roman" w:hAnsi="Times New Roman"/>
          <w:sz w:val="18"/>
          <w:szCs w:val="18"/>
          <w:color w:val="auto"/>
        </w:rPr>
        <w:t xml:space="preserve">SECTION 8. </w:t>
      </w: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Section headings in this Third Amendment are included herein for convenience of reference only and shall not constitute a part of this Third Amendment for any other purpose.</w:t>
      </w:r>
    </w:p>
    <w:p>
      <w:pPr>
        <w:spacing w:after="0" w:line="118" w:lineRule="exact"/>
        <w:rPr>
          <w:sz w:val="20"/>
          <w:szCs w:val="20"/>
          <w:color w:val="auto"/>
        </w:rPr>
      </w:pPr>
    </w:p>
    <w:p>
      <w:pPr>
        <w:jc w:val="both"/>
        <w:ind w:right="240" w:firstLine="456"/>
        <w:spacing w:after="0" w:line="259" w:lineRule="auto"/>
        <w:rPr>
          <w:sz w:val="20"/>
          <w:szCs w:val="20"/>
          <w:color w:val="auto"/>
        </w:rPr>
      </w:pPr>
      <w:r>
        <w:rPr>
          <w:rFonts w:ascii="Times New Roman" w:cs="Times New Roman" w:eastAsia="Times New Roman" w:hAnsi="Times New Roman"/>
          <w:sz w:val="18"/>
          <w:szCs w:val="18"/>
          <w:color w:val="auto"/>
        </w:rPr>
        <w:t xml:space="preserve">SECTION 9. </w:t>
      </w:r>
      <w:r>
        <w:rPr>
          <w:rFonts w:ascii="Times New Roman" w:cs="Times New Roman" w:eastAsia="Times New Roman" w:hAnsi="Times New Roman"/>
          <w:sz w:val="18"/>
          <w:szCs w:val="18"/>
          <w:b w:val="1"/>
          <w:bCs w:val="1"/>
          <w:u w:val="single" w:color="auto"/>
          <w:color w:val="auto"/>
        </w:rPr>
        <w:t>ENTIRE AGREEMENT</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THIS THIRD AMENDMENT AND THE OTHER INTERNATIONAL LOAN DOCUMENTS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REPRESENT THE FINAL AGREEMENT AMONG THE PARTIES AND MAY NOT BE CONTRADICTED BY EVIDENCE OF PRIOR, CONTEMPORANEOUS OR SUBSEQUENT ORAL AGREEMENTS OF THE PARTIES. THERE ARE NO UNWRITTEN ORAL AGREEMENTS AMONG THE PARTIES.</w:t>
      </w:r>
    </w:p>
    <w:p>
      <w:pPr>
        <w:spacing w:after="0" w:line="135" w:lineRule="exact"/>
        <w:rPr>
          <w:sz w:val="20"/>
          <w:szCs w:val="20"/>
          <w:color w:val="auto"/>
        </w:rPr>
      </w:pPr>
    </w:p>
    <w:p>
      <w:pPr>
        <w:ind w:right="60" w:firstLine="456"/>
        <w:spacing w:after="0" w:line="262" w:lineRule="auto"/>
        <w:rPr>
          <w:sz w:val="20"/>
          <w:szCs w:val="20"/>
          <w:color w:val="auto"/>
        </w:rPr>
      </w:pPr>
      <w:r>
        <w:rPr>
          <w:rFonts w:ascii="Times New Roman" w:cs="Times New Roman" w:eastAsia="Times New Roman" w:hAnsi="Times New Roman"/>
          <w:sz w:val="18"/>
          <w:szCs w:val="18"/>
          <w:color w:val="auto"/>
        </w:rPr>
        <w:t xml:space="preserve">SECTION 10. </w:t>
      </w: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THIRD AMENDMENT SHALL BE GOVERNED BY, AND CONSTRUED IN ACCORDANCE WITH, THE LAWS OF THE STATE OF NEW YORK WITHOUT REGARD TO ITS CONFLICTS OF LAW PRINCIPLES (OTHER THAN PROVISIONS OF 5-1401 AND 5-1402 OF THE NEW YORK GENERAL OBLIGATIONS LAW).</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420"/>
          </w:cols>
          <w:pgMar w:left="240" w:top="274" w:right="239" w:bottom="1440" w:gutter="0" w:footer="0" w:header="0"/>
        </w:sectPr>
      </w:pPr>
    </w:p>
    <w:bookmarkStart w:id="119" w:name="page120"/>
    <w:bookmarkEnd w:id="119"/>
    <w:p>
      <w:pPr>
        <w:ind w:firstLine="456"/>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11. </w:t>
      </w:r>
      <w:r>
        <w:rPr>
          <w:rFonts w:ascii="Times New Roman" w:cs="Times New Roman" w:eastAsia="Times New Roman" w:hAnsi="Times New Roman"/>
          <w:sz w:val="18"/>
          <w:szCs w:val="18"/>
          <w:u w:val="single" w:color="auto"/>
          <w:color w:val="auto"/>
        </w:rPr>
        <w:t>WAIVERS OF JURY TRIAL</w:t>
      </w:r>
      <w:r>
        <w:rPr>
          <w:rFonts w:ascii="Times New Roman" w:cs="Times New Roman" w:eastAsia="Times New Roman" w:hAnsi="Times New Roman"/>
          <w:sz w:val="18"/>
          <w:szCs w:val="18"/>
          <w:color w:val="auto"/>
        </w:rPr>
        <w:t>. TO THE FULLEST EXTENT PERMITTED BY APPLICABLE LAWS, THE PARTIES HERETO HEREBY WAIVE ANY RIGHT TO A TRIAL BY JURY IN ANY ACTION OR PROCEEDING TO ENFORCE OR DEFEND ANY RIGHTS OR REMEDIES UNDER THIS THIRD AMENDMENT OR INTERNATIONAL LOAN DOCUMENTS, OR ARISING FROM ANY FINANCING RELATIONSHIP EXISTING IN CONNECTION WITH THIS THIRD AMENDMENT OR ANY INTERNATIONAL LOAN DOCUMENT AND AGREE THAT ANY ACTION OR PROCEEDING SHALL BE TRIED BEFORE A COURT AND NOT BEFORE A JURY.</w:t>
      </w: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REMAINDER OF PAGE LEFT INTENTIONALLY BLANK</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400"/>
          </w:cols>
          <w:pgMar w:left="240" w:top="274" w:right="25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this Third Amendment is executed as of the date first set forth above.</w:t>
      </w:r>
    </w:p>
    <w:p>
      <w:pPr>
        <w:spacing w:after="0" w:line="212" w:lineRule="exact"/>
        <w:rPr>
          <w:sz w:val="20"/>
          <w:szCs w:val="20"/>
          <w:color w:val="auto"/>
        </w:rPr>
      </w:pPr>
    </w:p>
    <w:p>
      <w:pPr>
        <w:ind w:left="6400"/>
        <w:spacing w:after="0"/>
        <w:rPr>
          <w:sz w:val="20"/>
          <w:szCs w:val="20"/>
          <w:color w:val="auto"/>
        </w:rPr>
      </w:pPr>
      <w:r>
        <w:rPr>
          <w:rFonts w:ascii="Times New Roman" w:cs="Times New Roman" w:eastAsia="Times New Roman" w:hAnsi="Times New Roman"/>
          <w:sz w:val="18"/>
          <w:szCs w:val="18"/>
          <w:color w:val="auto"/>
        </w:rPr>
        <w:t>BORROWER:</w:t>
      </w:r>
    </w:p>
    <w:p>
      <w:pPr>
        <w:spacing w:after="0" w:line="225" w:lineRule="exact"/>
        <w:rPr>
          <w:sz w:val="20"/>
          <w:szCs w:val="20"/>
          <w:color w:val="auto"/>
        </w:rPr>
      </w:pPr>
    </w:p>
    <w:p>
      <w:pPr>
        <w:ind w:left="6400"/>
        <w:spacing w:after="0"/>
        <w:rPr>
          <w:sz w:val="20"/>
          <w:szCs w:val="20"/>
          <w:color w:val="auto"/>
        </w:rPr>
      </w:pPr>
      <w:r>
        <w:rPr>
          <w:rFonts w:ascii="Times New Roman" w:cs="Times New Roman" w:eastAsia="Times New Roman" w:hAnsi="Times New Roman"/>
          <w:sz w:val="18"/>
          <w:szCs w:val="18"/>
          <w:color w:val="auto"/>
        </w:rPr>
        <w:t>GREAT LAKES DREDGE &amp; DOCK</w:t>
      </w:r>
    </w:p>
    <w:p>
      <w:pPr>
        <w:spacing w:after="0" w:line="21" w:lineRule="exact"/>
        <w:rPr>
          <w:sz w:val="20"/>
          <w:szCs w:val="20"/>
          <w:color w:val="auto"/>
        </w:rPr>
      </w:pPr>
    </w:p>
    <w:p>
      <w:pPr>
        <w:ind w:left="6400"/>
        <w:spacing w:after="0"/>
        <w:rPr>
          <w:sz w:val="20"/>
          <w:szCs w:val="20"/>
          <w:color w:val="auto"/>
        </w:rPr>
      </w:pPr>
      <w:r>
        <w:rPr>
          <w:rFonts w:ascii="Times New Roman" w:cs="Times New Roman" w:eastAsia="Times New Roman" w:hAnsi="Times New Roman"/>
          <w:sz w:val="18"/>
          <w:szCs w:val="18"/>
          <w:color w:val="auto"/>
        </w:rPr>
        <w:t>CORPORATION</w:t>
      </w:r>
    </w:p>
    <w:p>
      <w:pPr>
        <w:spacing w:after="0" w:line="226" w:lineRule="exact"/>
        <w:rPr>
          <w:sz w:val="20"/>
          <w:szCs w:val="20"/>
          <w:color w:val="auto"/>
        </w:rPr>
      </w:pPr>
    </w:p>
    <w:p>
      <w:pPr>
        <w:ind w:left="6400"/>
        <w:spacing w:after="0"/>
        <w:rPr>
          <w:sz w:val="20"/>
          <w:szCs w:val="20"/>
          <w:color w:val="auto"/>
        </w:rPr>
      </w:pPr>
      <w:r>
        <w:rPr>
          <w:rFonts w:ascii="Times New Roman" w:cs="Times New Roman" w:eastAsia="Times New Roman" w:hAnsi="Times New Roman"/>
          <w:sz w:val="18"/>
          <w:szCs w:val="18"/>
          <w:color w:val="auto"/>
        </w:rPr>
        <w:t>By:  /s/ Bruce J. Biemeck</w:t>
      </w:r>
    </w:p>
    <w:p>
      <w:pPr>
        <w:spacing w:after="0" w:line="23"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Bruce J. Biemeck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4241165</wp:posOffset>
            </wp:positionH>
            <wp:positionV relativeFrom="paragraph">
              <wp:posOffset>-130175</wp:posOffset>
            </wp:positionV>
            <wp:extent cx="2718435"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1"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President and Chief Financial Officer</w:t>
      </w:r>
    </w:p>
    <w:p>
      <w:pPr>
        <w:spacing w:after="0" w:line="213" w:lineRule="exact"/>
        <w:rPr>
          <w:sz w:val="20"/>
          <w:szCs w:val="20"/>
          <w:color w:val="auto"/>
        </w:rPr>
      </w:pPr>
    </w:p>
    <w:p>
      <w:pPr>
        <w:ind w:left="6400"/>
        <w:spacing w:after="0"/>
        <w:rPr>
          <w:sz w:val="20"/>
          <w:szCs w:val="20"/>
          <w:color w:val="auto"/>
        </w:rPr>
      </w:pPr>
      <w:r>
        <w:rPr>
          <w:rFonts w:ascii="Times New Roman" w:cs="Times New Roman" w:eastAsia="Times New Roman" w:hAnsi="Times New Roman"/>
          <w:sz w:val="18"/>
          <w:szCs w:val="18"/>
          <w:color w:val="auto"/>
        </w:rPr>
        <w:t>GUARANTOR:</w:t>
      </w:r>
    </w:p>
    <w:p>
      <w:pPr>
        <w:spacing w:after="0" w:line="225" w:lineRule="exact"/>
        <w:rPr>
          <w:sz w:val="20"/>
          <w:szCs w:val="20"/>
          <w:color w:val="auto"/>
        </w:rPr>
      </w:pPr>
    </w:p>
    <w:p>
      <w:pPr>
        <w:ind w:left="6400"/>
        <w:spacing w:after="0"/>
        <w:rPr>
          <w:sz w:val="20"/>
          <w:szCs w:val="20"/>
          <w:color w:val="auto"/>
        </w:rPr>
      </w:pPr>
      <w:r>
        <w:rPr>
          <w:rFonts w:ascii="Times New Roman" w:cs="Times New Roman" w:eastAsia="Times New Roman" w:hAnsi="Times New Roman"/>
          <w:sz w:val="16"/>
          <w:szCs w:val="16"/>
          <w:color w:val="auto"/>
        </w:rPr>
        <w:t>GREAT LAKES DREDGE &amp; DOCK COMPANY,</w:t>
      </w:r>
    </w:p>
    <w:p>
      <w:pPr>
        <w:spacing w:after="0" w:line="44" w:lineRule="exact"/>
        <w:rPr>
          <w:sz w:val="20"/>
          <w:szCs w:val="20"/>
          <w:color w:val="auto"/>
        </w:rPr>
      </w:pPr>
    </w:p>
    <w:p>
      <w:pPr>
        <w:ind w:left="6400"/>
        <w:spacing w:after="0"/>
        <w:rPr>
          <w:sz w:val="20"/>
          <w:szCs w:val="20"/>
          <w:color w:val="auto"/>
        </w:rPr>
      </w:pPr>
      <w:r>
        <w:rPr>
          <w:rFonts w:ascii="Times New Roman" w:cs="Times New Roman" w:eastAsia="Times New Roman" w:hAnsi="Times New Roman"/>
          <w:sz w:val="18"/>
          <w:szCs w:val="18"/>
          <w:color w:val="auto"/>
        </w:rPr>
        <w:t>LLC</w:t>
      </w:r>
    </w:p>
    <w:p>
      <w:pPr>
        <w:spacing w:after="0" w:line="226" w:lineRule="exact"/>
        <w:rPr>
          <w:sz w:val="20"/>
          <w:szCs w:val="20"/>
          <w:color w:val="auto"/>
        </w:rPr>
      </w:pPr>
    </w:p>
    <w:p>
      <w:pPr>
        <w:ind w:left="6400"/>
        <w:spacing w:after="0"/>
        <w:rPr>
          <w:sz w:val="20"/>
          <w:szCs w:val="20"/>
          <w:color w:val="auto"/>
        </w:rPr>
      </w:pPr>
      <w:r>
        <w:rPr>
          <w:rFonts w:ascii="Times New Roman" w:cs="Times New Roman" w:eastAsia="Times New Roman" w:hAnsi="Times New Roman"/>
          <w:sz w:val="18"/>
          <w:szCs w:val="18"/>
          <w:color w:val="auto"/>
        </w:rPr>
        <w:t>By:  /s/ Bruce J. Biemeck</w:t>
      </w:r>
    </w:p>
    <w:p>
      <w:pPr>
        <w:spacing w:after="0" w:line="23"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Bruce J. Biemeck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4241165</wp:posOffset>
            </wp:positionH>
            <wp:positionV relativeFrom="paragraph">
              <wp:posOffset>-130175</wp:posOffset>
            </wp:positionV>
            <wp:extent cx="2718435"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1"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President and Chief Financial Officer</w:t>
      </w:r>
    </w:p>
    <w:p>
      <w:pPr>
        <w:spacing w:after="0" w:line="213" w:lineRule="exact"/>
        <w:rPr>
          <w:sz w:val="20"/>
          <w:szCs w:val="20"/>
          <w:color w:val="auto"/>
        </w:rPr>
      </w:pPr>
    </w:p>
    <w:p>
      <w:pPr>
        <w:ind w:left="6400"/>
        <w:spacing w:after="0"/>
        <w:rPr>
          <w:sz w:val="20"/>
          <w:szCs w:val="20"/>
          <w:color w:val="auto"/>
        </w:rPr>
      </w:pPr>
      <w:r>
        <w:rPr>
          <w:rFonts w:ascii="Times New Roman" w:cs="Times New Roman" w:eastAsia="Times New Roman" w:hAnsi="Times New Roman"/>
          <w:sz w:val="18"/>
          <w:szCs w:val="18"/>
          <w:color w:val="auto"/>
        </w:rPr>
        <w:t>BANK:</w:t>
      </w:r>
    </w:p>
    <w:p>
      <w:pPr>
        <w:spacing w:after="0" w:line="225" w:lineRule="exact"/>
        <w:rPr>
          <w:sz w:val="20"/>
          <w:szCs w:val="20"/>
          <w:color w:val="auto"/>
        </w:rPr>
      </w:pPr>
    </w:p>
    <w:p>
      <w:pPr>
        <w:ind w:left="6400"/>
        <w:spacing w:after="0"/>
        <w:rPr>
          <w:sz w:val="20"/>
          <w:szCs w:val="20"/>
          <w:color w:val="auto"/>
        </w:rPr>
      </w:pPr>
      <w:r>
        <w:rPr>
          <w:rFonts w:ascii="Times New Roman" w:cs="Times New Roman" w:eastAsia="Times New Roman" w:hAnsi="Times New Roman"/>
          <w:sz w:val="18"/>
          <w:szCs w:val="18"/>
          <w:color w:val="auto"/>
        </w:rPr>
        <w:t>WELLS FARGO BANK, N.A.</w:t>
      </w:r>
    </w:p>
    <w:p>
      <w:pPr>
        <w:spacing w:after="0" w:line="225" w:lineRule="exact"/>
        <w:rPr>
          <w:sz w:val="20"/>
          <w:szCs w:val="20"/>
          <w:color w:val="auto"/>
        </w:rPr>
      </w:pPr>
    </w:p>
    <w:p>
      <w:pPr>
        <w:ind w:left="6400"/>
        <w:spacing w:after="0"/>
        <w:rPr>
          <w:sz w:val="20"/>
          <w:szCs w:val="20"/>
          <w:color w:val="auto"/>
        </w:rPr>
      </w:pPr>
      <w:r>
        <w:rPr>
          <w:rFonts w:ascii="Times New Roman" w:cs="Times New Roman" w:eastAsia="Times New Roman" w:hAnsi="Times New Roman"/>
          <w:sz w:val="18"/>
          <w:szCs w:val="18"/>
          <w:color w:val="auto"/>
        </w:rPr>
        <w:t>By:  /s/ Sushim R. Shah</w:t>
      </w:r>
    </w:p>
    <w:p>
      <w:pPr>
        <w:spacing w:after="0" w:line="23"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Sushim R. Shah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4241165</wp:posOffset>
            </wp:positionH>
            <wp:positionV relativeFrom="paragraph">
              <wp:posOffset>-130175</wp:posOffset>
            </wp:positionV>
            <wp:extent cx="2718435"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1"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Vice President and</w:t>
      </w:r>
    </w:p>
    <w:p>
      <w:pPr>
        <w:spacing w:after="0" w:line="9"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Senior Relationship Manager</w:t>
      </w:r>
    </w:p>
    <w:p>
      <w:pPr>
        <w:spacing w:after="0" w:line="145"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9980"/>
          </w:cols>
          <w:pgMar w:left="700" w:top="274" w:right="1219" w:bottom="1440" w:gutter="0" w:footer="0" w:header="0"/>
        </w:sectPr>
      </w:pPr>
    </w:p>
    <w:bookmarkStart w:id="121" w:name="page122"/>
    <w:bookmarkEnd w:id="121"/>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ANNEX I</w:t>
      </w:r>
    </w:p>
    <w:p>
      <w:pPr>
        <w:spacing w:after="0" w:line="173" w:lineRule="exact"/>
        <w:rPr>
          <w:sz w:val="20"/>
          <w:szCs w:val="20"/>
          <w:color w:val="auto"/>
        </w:rPr>
      </w:pPr>
    </w:p>
    <w:p>
      <w:pPr>
        <w:ind w:right="840" w:firstLine="456"/>
        <w:spacing w:after="0" w:line="27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Administrative Agent</w:t>
      </w:r>
      <w:r>
        <w:rPr>
          <w:rFonts w:ascii="Times New Roman" w:cs="Times New Roman" w:eastAsia="Times New Roman" w:hAnsi="Times New Roman"/>
          <w:sz w:val="18"/>
          <w:szCs w:val="18"/>
          <w:color w:val="auto"/>
        </w:rPr>
        <w:t xml:space="preserve">” means Wells Fargo, in its capacity as Administrative Agent hereunder, and any successor thereto appointed pursuant to </w:t>
      </w:r>
      <w:r>
        <w:rPr>
          <w:rFonts w:ascii="Times New Roman" w:cs="Times New Roman" w:eastAsia="Times New Roman" w:hAnsi="Times New Roman"/>
          <w:sz w:val="18"/>
          <w:szCs w:val="18"/>
          <w:u w:val="single" w:color="auto"/>
          <w:color w:val="auto"/>
        </w:rPr>
        <w:t>Section 11.6</w:t>
      </w:r>
      <w:r>
        <w:rPr>
          <w:rFonts w:ascii="Times New Roman" w:cs="Times New Roman" w:eastAsia="Times New Roman" w:hAnsi="Times New Roman"/>
          <w:sz w:val="18"/>
          <w:szCs w:val="18"/>
          <w:color w:val="auto"/>
        </w:rPr>
        <w:t xml:space="preserve"> (or comparable provision) of the Domestic Credit Agreement.</w:t>
      </w:r>
    </w:p>
    <w:p>
      <w:pPr>
        <w:spacing w:after="0" w:line="120" w:lineRule="exact"/>
        <w:rPr>
          <w:sz w:val="20"/>
          <w:szCs w:val="20"/>
          <w:color w:val="auto"/>
        </w:rPr>
      </w:pPr>
    </w:p>
    <w:p>
      <w:pPr>
        <w:ind w:right="700" w:firstLine="456"/>
        <w:spacing w:after="0" w:line="27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Bonding Agreement</w:t>
      </w:r>
      <w:r>
        <w:rPr>
          <w:rFonts w:ascii="Times New Roman" w:cs="Times New Roman" w:eastAsia="Times New Roman" w:hAnsi="Times New Roman"/>
          <w:sz w:val="18"/>
          <w:szCs w:val="18"/>
          <w:color w:val="auto"/>
        </w:rPr>
        <w:t>” means, collectively, the Zurich Agreement and any supplement thereto or replacement thereof, and any similar contractual arrangement entered into by the Borrower or any of its Subsidiaries with providers of bid, performance or payment bonds.</w:t>
      </w:r>
    </w:p>
    <w:p>
      <w:pPr>
        <w:spacing w:after="0" w:line="120" w:lineRule="exact"/>
        <w:rPr>
          <w:sz w:val="20"/>
          <w:szCs w:val="20"/>
          <w:color w:val="auto"/>
        </w:rPr>
      </w:pPr>
    </w:p>
    <w:p>
      <w:pPr>
        <w:jc w:val="both"/>
        <w:ind w:right="240" w:firstLine="456"/>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Bonding Obligations</w:t>
      </w:r>
      <w:r>
        <w:rPr>
          <w:rFonts w:ascii="Times New Roman" w:cs="Times New Roman" w:eastAsia="Times New Roman" w:hAnsi="Times New Roman"/>
          <w:sz w:val="18"/>
          <w:szCs w:val="18"/>
          <w:color w:val="auto"/>
        </w:rPr>
        <w:t>” means (a) obligations incurred by the Borrower and its Subsidiaries (including guaranties thereof) with respect to bid, payment, performance, surety, appeal or similar bonds and completion guaranties in the ordinary course of business and (b) obligations incurred by the Borrower and its Subsidiaries (including guaranties thereof) under any Bonding Agreement.</w:t>
      </w:r>
    </w:p>
    <w:p>
      <w:pPr>
        <w:spacing w:after="0" w:line="132" w:lineRule="exact"/>
        <w:rPr>
          <w:sz w:val="20"/>
          <w:szCs w:val="20"/>
          <w:color w:val="auto"/>
        </w:rPr>
      </w:pPr>
    </w:p>
    <w:p>
      <w:pPr>
        <w:ind w:right="20" w:firstLine="456"/>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Capital Asset</w:t>
      </w:r>
      <w:r>
        <w:rPr>
          <w:rFonts w:ascii="Times New Roman" w:cs="Times New Roman" w:eastAsia="Times New Roman" w:hAnsi="Times New Roman"/>
          <w:sz w:val="18"/>
          <w:szCs w:val="18"/>
          <w:color w:val="auto"/>
        </w:rPr>
        <w:t>” means, with respect to the Borrower and its Subsidiaries, any asset that should, in accordance with GAAP, be classified and accounted for as a capital asset on a Consolidated balance sheet of the Borrower and its Subsidiaries. Notwithstanding the foregoing, any obligations of a Person under a lease (whether existing now or entered into in the future) that is not (or would not be) a Capital Lease under GAAP as in effect on the Start Date, shall not be treated as a Capital Lease solely as a result of the adoption after the Start Date of changes in GAAP.</w:t>
      </w:r>
    </w:p>
    <w:p>
      <w:pPr>
        <w:spacing w:after="0" w:line="136" w:lineRule="exact"/>
        <w:rPr>
          <w:sz w:val="20"/>
          <w:szCs w:val="20"/>
          <w:color w:val="auto"/>
        </w:rPr>
      </w:pPr>
    </w:p>
    <w:p>
      <w:pPr>
        <w:ind w:right="300" w:firstLine="456"/>
        <w:spacing w:after="0" w:line="27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Capital Expenditures</w:t>
      </w:r>
      <w:r>
        <w:rPr>
          <w:rFonts w:ascii="Times New Roman" w:cs="Times New Roman" w:eastAsia="Times New Roman" w:hAnsi="Times New Roman"/>
          <w:sz w:val="18"/>
          <w:szCs w:val="18"/>
          <w:color w:val="auto"/>
        </w:rPr>
        <w:t>” means, with respect to the Borrower and its Subsidiaries for any period, the aggregate cost of all Capital Assets acquired by the Borrower and its Subsidiaries during such period, as determined in accordance with GAAP.</w:t>
      </w:r>
    </w:p>
    <w:p>
      <w:pPr>
        <w:spacing w:after="0" w:line="120" w:lineRule="exact"/>
        <w:rPr>
          <w:sz w:val="20"/>
          <w:szCs w:val="20"/>
          <w:color w:val="auto"/>
        </w:rPr>
      </w:pPr>
    </w:p>
    <w:p>
      <w:pPr>
        <w:ind w:right="60" w:firstLine="456"/>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Capital Lease</w:t>
      </w:r>
      <w:r>
        <w:rPr>
          <w:rFonts w:ascii="Times New Roman" w:cs="Times New Roman" w:eastAsia="Times New Roman" w:hAnsi="Times New Roman"/>
          <w:sz w:val="18"/>
          <w:szCs w:val="18"/>
          <w:color w:val="auto"/>
        </w:rPr>
        <w:t>” means any lease of any property by the Borrower or any of its Subsidiaries, as lessee, that should, in accordance with GAAP, be classified and accounted for as a capital lease on a Consolidated balance sheet of the Borrower and its Subsidiaries. Notwithstanding the foregoing, any obligations of a Person under a lease (whether existing now or entered into in the future) that is not (or would not be) a Capital Lease under GAAP as in effect on the Start Date, shall not be treated as a Capital Lease solely as a result of the adoption after the Start Date of changes in GAAP.</w:t>
      </w:r>
    </w:p>
    <w:p>
      <w:pPr>
        <w:spacing w:after="0" w:line="136"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Cash Equivalents</w:t>
      </w:r>
      <w:r>
        <w:rPr>
          <w:rFonts w:ascii="Times New Roman" w:cs="Times New Roman" w:eastAsia="Times New Roman" w:hAnsi="Times New Roman"/>
          <w:sz w:val="18"/>
          <w:szCs w:val="18"/>
          <w:color w:val="auto"/>
        </w:rPr>
        <w:t>” means, at any time, Investments of the Borrower or any of its Subsidiaries in (a) any obligation, maturing not more than one hundred twenty (120) days from the date of creation thereof, which is issued or guaranteed by the United States Government or issued by an agency thereof and backed by the full faith and credit of the United States; (b) commercial paper, maturing not more than one hundred twenty (120) days from the date of creation thereof, which is issued by (i) a corporation (other than an Affiliate of the Borrower or any of its Subsidiaries) organized under the laws of any state of the United States or of the District of Columbia which has a short-term credit rating of at least A-1 by S&amp;P and P-1 by Moody’s, or (ii) any Domestic Lender (or its holding company) having a long-term credit rating of at least A by S&amp;P and A2 by Moody’s; (c) any certificate of deposit, time or demand deposit (including Eurodollar time deposits) or bankers acceptance, maturing not more than one hundred twenty (120) days from the date of creation thereof, which is issued by either (i) a commercial banking institution organized under the laws of the United States or any State thereof or the</w:t>
      </w:r>
    </w:p>
    <w:p>
      <w:pPr>
        <w:spacing w:after="0" w:line="1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ANNEX I – Page 1</w:t>
      </w:r>
    </w:p>
    <w:p>
      <w:pPr>
        <w:sectPr>
          <w:pgSz w:w="11900" w:h="16838" w:orient="portrait"/>
          <w:cols w:equalWidth="0" w:num="1">
            <w:col w:w="11380"/>
          </w:cols>
          <w:pgMar w:left="240" w:top="272" w:right="279" w:bottom="1440" w:gutter="0" w:footer="0" w:header="0"/>
        </w:sectPr>
      </w:pPr>
    </w:p>
    <w:bookmarkStart w:id="122" w:name="page123"/>
    <w:bookmarkEnd w:id="122"/>
    <w:p>
      <w:pPr>
        <w:spacing w:after="0" w:line="287"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District of Columbia that has a combined capital, surplus and undivided profits of not less than $500,000,000 and has a long-term credit rating of at least A by S&amp;P and A2 by Moody’s, (ii) any Domestic Lender with a long-term credit rating of at least A by S&amp;P and A2 by Moody’s, or (iii) (A) any branch of any Domestic Lender having a long-term credit rating of at least A by S&amp;P and A2 by Moody’s, (B) any commercial banking institution organized under the laws of the United States or any State thereof or any Organization for Economic Co-operation and Development country which has a combined capital, surplus and undivided profits of not less than $500,000,000 and has a long-term credit rating of at least A by S&amp;P and A2 by Moody’s or (C) any financial institution organized under the laws of a country where the Borrower or any of its Subsidiaries is engaged in a dredging or construction project to the extent such certificates of deposit, time or demand deposits (including Eurodollar time deposits) or bankers acceptances are reasonably necessary in connection with such dredging or construction project with a long-term credit rating of at least A by S&amp;P and A2 by Moody’s; (d) fully collateralized repurchase agreements with a term of not more than 30 days for underlying securities of the type described in </w:t>
      </w:r>
      <w:r>
        <w:rPr>
          <w:rFonts w:ascii="Times New Roman" w:cs="Times New Roman" w:eastAsia="Times New Roman" w:hAnsi="Times New Roman"/>
          <w:sz w:val="16"/>
          <w:szCs w:val="16"/>
          <w:u w:val="single" w:color="auto"/>
          <w:color w:val="auto"/>
        </w:rPr>
        <w:t>clause (a)</w:t>
      </w:r>
      <w:r>
        <w:rPr>
          <w:rFonts w:ascii="Times New Roman" w:cs="Times New Roman" w:eastAsia="Times New Roman" w:hAnsi="Times New Roman"/>
          <w:sz w:val="16"/>
          <w:szCs w:val="16"/>
          <w:color w:val="auto"/>
        </w:rPr>
        <w:t xml:space="preserve"> above, entered into with any institution meeting the qualifications specified in </w:t>
      </w:r>
      <w:r>
        <w:rPr>
          <w:rFonts w:ascii="Times New Roman" w:cs="Times New Roman" w:eastAsia="Times New Roman" w:hAnsi="Times New Roman"/>
          <w:sz w:val="16"/>
          <w:szCs w:val="16"/>
          <w:u w:val="single" w:color="auto"/>
          <w:color w:val="auto"/>
        </w:rPr>
        <w:t>clause (c)</w:t>
      </w:r>
      <w:r>
        <w:rPr>
          <w:rFonts w:ascii="Times New Roman" w:cs="Times New Roman" w:eastAsia="Times New Roman" w:hAnsi="Times New Roman"/>
          <w:sz w:val="16"/>
          <w:szCs w:val="16"/>
          <w:color w:val="auto"/>
        </w:rPr>
        <w:t xml:space="preserve"> above; (e) short-term asset management accounts offered by any Domestic Lender for the purpose of investing in notes issued by a corporation (other than an Affiliate of the Borrower or any of its Subsidiaries) organized under the laws of any state of the United States or of the District of Columbia and having a short-term credit rating of at least A-1 by S&amp;P and P-1 by Moody’s; (f) Dollars or money in other currencies received in the ordinary course of business; or</w:t>
      </w:r>
    </w:p>
    <w:p>
      <w:pPr>
        <w:spacing w:after="0" w:line="185" w:lineRule="exact"/>
        <w:rPr>
          <w:sz w:val="20"/>
          <w:szCs w:val="20"/>
          <w:color w:val="auto"/>
        </w:rPr>
      </w:pPr>
    </w:p>
    <w:p>
      <w:pPr>
        <w:ind w:left="460" w:right="300" w:hanging="452"/>
        <w:spacing w:after="0" w:line="431" w:lineRule="auto"/>
        <w:tabs>
          <w:tab w:leader="none" w:pos="252"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money market funds at least 95% of the assets of which constitute Cash Equivalents of the kinds described in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(f)</w:t>
      </w:r>
      <w:r>
        <w:rPr>
          <w:rFonts w:ascii="Times New Roman" w:cs="Times New Roman" w:eastAsia="Times New Roman" w:hAnsi="Times New Roman"/>
          <w:sz w:val="18"/>
          <w:szCs w:val="18"/>
          <w:color w:val="auto"/>
        </w:rPr>
        <w:t xml:space="preserve"> of this definition. “</w:t>
      </w:r>
      <w:r>
        <w:rPr>
          <w:rFonts w:ascii="Times New Roman" w:cs="Times New Roman" w:eastAsia="Times New Roman" w:hAnsi="Times New Roman"/>
          <w:sz w:val="18"/>
          <w:szCs w:val="18"/>
          <w:u w:val="single" w:color="auto"/>
          <w:color w:val="auto"/>
        </w:rPr>
        <w:t>Change in Control</w:t>
      </w:r>
      <w:r>
        <w:rPr>
          <w:rFonts w:ascii="Times New Roman" w:cs="Times New Roman" w:eastAsia="Times New Roman" w:hAnsi="Times New Roman"/>
          <w:sz w:val="18"/>
          <w:szCs w:val="18"/>
          <w:color w:val="auto"/>
        </w:rPr>
        <w:t>” means an event or series of events by which:</w:t>
      </w:r>
    </w:p>
    <w:p>
      <w:pPr>
        <w:ind w:right="100" w:firstLine="921"/>
        <w:spacing w:after="0" w:line="255" w:lineRule="auto"/>
        <w:tabs>
          <w:tab w:leader="none" w:pos="1152"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“person” or “group” (as such terms are used in </w:t>
      </w:r>
      <w:r>
        <w:rPr>
          <w:rFonts w:ascii="Times New Roman" w:cs="Times New Roman" w:eastAsia="Times New Roman" w:hAnsi="Times New Roman"/>
          <w:sz w:val="18"/>
          <w:szCs w:val="18"/>
          <w:u w:val="single" w:color="auto"/>
          <w:color w:val="auto"/>
        </w:rPr>
        <w:t>Sections 13(d)</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14(d)</w:t>
      </w:r>
      <w:r>
        <w:rPr>
          <w:rFonts w:ascii="Times New Roman" w:cs="Times New Roman" w:eastAsia="Times New Roman" w:hAnsi="Times New Roman"/>
          <w:sz w:val="18"/>
          <w:szCs w:val="18"/>
          <w:color w:val="auto"/>
        </w:rPr>
        <w:t xml:space="preserve"> of the Exchange Act, but excluding any employee benefit plan of such person or its Subsidiaries, and any person or entity acting in its capacity as trustee, agent or other fiduciary or administrator of any such plan) becomes the “beneficial owner” (as defined in Rules 13d-3 and 13d-5 under the Exchange Act, except that a “person” or “group” shall be deemed to have “beneficial ownership” of all Capital Stock that such “person” or “group” has the right to acquire, whether such right is exercisable immediately or only after the passage of time (such right, an “option right”)), directly or indirectly, of more than thirty-five percent (35%) of the Capital Stock of the Borrower entitled to vote in the election of members of the board of directors (or equivalent governing body) of Borrower; or</w:t>
      </w:r>
    </w:p>
    <w:p>
      <w:pPr>
        <w:spacing w:after="0" w:line="139" w:lineRule="exact"/>
        <w:rPr>
          <w:rFonts w:ascii="Times New Roman" w:cs="Times New Roman" w:eastAsia="Times New Roman" w:hAnsi="Times New Roman"/>
          <w:sz w:val="18"/>
          <w:szCs w:val="18"/>
          <w:color w:val="auto"/>
        </w:rPr>
      </w:pPr>
    </w:p>
    <w:p>
      <w:pPr>
        <w:ind w:left="1160" w:hanging="239"/>
        <w:spacing w:after="0"/>
        <w:tabs>
          <w:tab w:leader="none" w:pos="1160"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“Change of Control” (or any similar or comparable definition or provision) occurs under any agreement governing Note Indenture</w:t>
      </w:r>
    </w:p>
    <w:p>
      <w:pPr>
        <w:spacing w:after="0" w:line="2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Obligations; or</w:t>
      </w:r>
    </w:p>
    <w:p>
      <w:pPr>
        <w:spacing w:after="0" w:line="158" w:lineRule="exact"/>
        <w:rPr>
          <w:rFonts w:ascii="Times New Roman" w:cs="Times New Roman" w:eastAsia="Times New Roman" w:hAnsi="Times New Roman"/>
          <w:sz w:val="18"/>
          <w:szCs w:val="18"/>
          <w:color w:val="auto"/>
        </w:rPr>
      </w:pPr>
    </w:p>
    <w:p>
      <w:pPr>
        <w:ind w:left="1160" w:hanging="239"/>
        <w:spacing w:after="0"/>
        <w:tabs>
          <w:tab w:leader="none" w:pos="1160"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majority of the members of the board of directors (or other equivalent governing body) of the Borrower are not Continuing Directors.</w:t>
      </w:r>
    </w:p>
    <w:p>
      <w:pPr>
        <w:spacing w:after="0" w:line="171" w:lineRule="exact"/>
        <w:rPr>
          <w:sz w:val="20"/>
          <w:szCs w:val="20"/>
          <w:color w:val="auto"/>
        </w:rPr>
      </w:pPr>
    </w:p>
    <w:p>
      <w:pPr>
        <w:ind w:right="680" w:firstLine="456"/>
        <w:spacing w:after="0" w:line="27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Consolidated</w:t>
      </w:r>
      <w:r>
        <w:rPr>
          <w:rFonts w:ascii="Times New Roman" w:cs="Times New Roman" w:eastAsia="Times New Roman" w:hAnsi="Times New Roman"/>
          <w:sz w:val="18"/>
          <w:szCs w:val="18"/>
          <w:color w:val="auto"/>
        </w:rPr>
        <w:t>” means, when used with reference to financial statements or financial statement items of any Person, such statements or items on a consolidated basis in accordance with applicable principles of consolidation under GAAP.</w:t>
      </w:r>
    </w:p>
    <w:p>
      <w:pPr>
        <w:spacing w:after="0" w:line="120" w:lineRule="exact"/>
        <w:rPr>
          <w:sz w:val="20"/>
          <w:szCs w:val="20"/>
          <w:color w:val="auto"/>
        </w:rPr>
      </w:pPr>
    </w:p>
    <w:p>
      <w:pPr>
        <w:ind w:right="60" w:firstLine="456"/>
        <w:spacing w:after="0" w:line="310"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Consolidated Cash Interest Expense</w:t>
      </w:r>
      <w:r>
        <w:rPr>
          <w:rFonts w:ascii="Times New Roman" w:cs="Times New Roman" w:eastAsia="Times New Roman" w:hAnsi="Times New Roman"/>
          <w:sz w:val="16"/>
          <w:szCs w:val="16"/>
          <w:color w:val="auto"/>
        </w:rPr>
        <w:t>” means, for any period, the sum of the following determined on a Consolidated basis, without duplication, for the Borrower and its Subsidiaries in accordance with GAAP, interest expense (net of interest income received in cash) paid in cash (including, without limitation, interest expense paid in cash which is attributable to Capital Leases and all net payment obligations paid in cash pursuant to Hedge Agreements) for such period.</w:t>
      </w:r>
    </w:p>
    <w:p>
      <w:pPr>
        <w:spacing w:after="0" w:line="8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ANNEX I – Page 2</w:t>
      </w:r>
    </w:p>
    <w:p>
      <w:pPr>
        <w:sectPr>
          <w:pgSz w:w="11900" w:h="16838" w:orient="portrait"/>
          <w:cols w:equalWidth="0" w:num="1">
            <w:col w:w="11380"/>
          </w:cols>
          <w:pgMar w:left="240" w:top="274" w:right="279" w:bottom="1440" w:gutter="0" w:footer="0" w:header="0"/>
        </w:sectPr>
      </w:pPr>
    </w:p>
    <w:bookmarkStart w:id="123" w:name="page124"/>
    <w:bookmarkEnd w:id="123"/>
    <w:p>
      <w:pPr>
        <w:ind w:right="20" w:firstLine="456"/>
        <w:spacing w:after="0" w:line="285"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Times New Roman" w:cs="Times New Roman" w:eastAsia="Times New Roman" w:hAnsi="Times New Roman"/>
          <w:sz w:val="16"/>
          <w:szCs w:val="16"/>
          <w:u w:val="single" w:color="auto"/>
          <w:color w:val="auto"/>
        </w:rPr>
        <w:t>Consolidated EBITDA</w:t>
      </w:r>
      <w:r>
        <w:rPr>
          <w:rFonts w:ascii="Times New Roman" w:cs="Times New Roman" w:eastAsia="Times New Roman" w:hAnsi="Times New Roman"/>
          <w:sz w:val="16"/>
          <w:szCs w:val="16"/>
          <w:color w:val="auto"/>
        </w:rPr>
        <w:t xml:space="preserve">” means, for any period, the sum of the following determined on a Consolidated basis, without duplication, for the Borrower and its Subsidiaries in accordance with GAAP: (a) Consolidated Net Income for such period </w:t>
      </w:r>
      <w:r>
        <w:rPr>
          <w:rFonts w:ascii="Times New Roman" w:cs="Times New Roman" w:eastAsia="Times New Roman" w:hAnsi="Times New Roman"/>
          <w:sz w:val="16"/>
          <w:szCs w:val="16"/>
          <w:u w:val="single" w:color="auto"/>
          <w:color w:val="auto"/>
        </w:rPr>
        <w:t>plus</w:t>
      </w:r>
      <w:r>
        <w:rPr>
          <w:rFonts w:ascii="Times New Roman" w:cs="Times New Roman" w:eastAsia="Times New Roman" w:hAnsi="Times New Roman"/>
          <w:sz w:val="16"/>
          <w:szCs w:val="16"/>
          <w:color w:val="auto"/>
        </w:rPr>
        <w:t xml:space="preserve"> (b) the sum of the following, without duplication, to the extent deducted in determining Consolidated Net Income for such period: (i) federal, state, local and foreign income and franchise taxes, (ii) total interest expense (net of interest income) for such period, (iii) depreciation, depletion and amortization expense (including amortization of intangible assets (including goodwill)),</w:t>
      </w:r>
    </w:p>
    <w:p>
      <w:pPr>
        <w:spacing w:after="0" w:line="3" w:lineRule="exact"/>
        <w:rPr>
          <w:sz w:val="20"/>
          <w:szCs w:val="20"/>
          <w:color w:val="auto"/>
        </w:rPr>
      </w:pPr>
    </w:p>
    <w:p>
      <w:pPr>
        <w:ind w:firstLine="8"/>
        <w:spacing w:after="0" w:line="285" w:lineRule="auto"/>
        <w:tabs>
          <w:tab w:leader="none" w:pos="297" w:val="left"/>
        </w:tabs>
        <w:numPr>
          <w:ilvl w:val="0"/>
          <w:numId w:val="6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non-cash charges and losses (excluding any such non-cash charges or losses to the extent (x) there were cash charges with respect to such charges and losses in past accounting periods, (y) there is a reasonable expectation that there will be cash charges with respect to such charges and losses in future accounting periods or (z) they consist of write-downs of accounts receivable that exceed $5,000,000 in the aggregate during any Fiscal Year), (v) Transaction Costs (other than Transaction Costs incurred in connection with (x) the Transactions that exceed $5,000,000 in the aggregate or (y) any Permitted Acquisition or the amendment, consent or waiver of any Domestic Loan Document or otherwise unrelated to the Transactions that exceed $1,000,000 in the aggregate during any Fiscal Year), (vi) any amounts included in the calculation of Consolidated Net Income for amortization or non-cash charges for the write-off or impairment of goodwill, intangibles or other purchase accounting adjustments related to the accounting for the Transactions or other acquisitions under GAAP (including Financial Accounting Standards Codification 350 and 805), (vii) non-recurring restructuring charges or reserves and business optimization expense (including any non-recurring restructuring costs and integration costs incurred in connection with Permitted Acquisitions after the Start Date), costs related to the closure or consolidation of facilities, relocation and severance expenses, systems establishment costs and conversion costs,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the aggregate amount of add-backs made pursuant to this </w:t>
      </w:r>
      <w:r>
        <w:rPr>
          <w:rFonts w:ascii="Times New Roman" w:cs="Times New Roman" w:eastAsia="Times New Roman" w:hAnsi="Times New Roman"/>
          <w:sz w:val="16"/>
          <w:szCs w:val="16"/>
          <w:u w:val="single" w:color="auto"/>
          <w:color w:val="auto"/>
        </w:rPr>
        <w:t>clause (vii)</w:t>
      </w:r>
      <w:r>
        <w:rPr>
          <w:rFonts w:ascii="Times New Roman" w:cs="Times New Roman" w:eastAsia="Times New Roman" w:hAnsi="Times New Roman"/>
          <w:sz w:val="16"/>
          <w:szCs w:val="16"/>
          <w:color w:val="auto"/>
        </w:rPr>
        <w:t xml:space="preserve">, shall not exceed $5,000,000 during any Fiscal Year, (viii) fees and expenses incurred in connection with the negotiation or entering into of any Bonding Agreement or any amendment, restatement, supplement or other modification of any Bonding Agreement, and (ix) Consolidated Net Income attributable to the minority equity interest that is owned, directly or indirectly, by the Borrower in Yankee or any other non-wholly owned Subsidiary to the extent the Net Income in respect of such minority equity interest is received by the Borrower, </w:t>
      </w:r>
      <w:r>
        <w:rPr>
          <w:rFonts w:ascii="Times New Roman" w:cs="Times New Roman" w:eastAsia="Times New Roman" w:hAnsi="Times New Roman"/>
          <w:sz w:val="16"/>
          <w:szCs w:val="16"/>
          <w:u w:val="single" w:color="auto"/>
          <w:color w:val="auto"/>
        </w:rPr>
        <w:t>less</w:t>
      </w:r>
      <w:r>
        <w:rPr>
          <w:rFonts w:ascii="Times New Roman" w:cs="Times New Roman" w:eastAsia="Times New Roman" w:hAnsi="Times New Roman"/>
          <w:sz w:val="16"/>
          <w:szCs w:val="16"/>
          <w:color w:val="auto"/>
        </w:rPr>
        <w:t xml:space="preserve"> (c) without duplication and to the extent reflected as a gain or otherwise included in the calculation of such Consolidated Net Income for such period, (i) non-cash gains (excluding any such non-cash gains to the extent</w:t>
      </w:r>
    </w:p>
    <w:p>
      <w:pPr>
        <w:spacing w:after="0" w:line="182" w:lineRule="exact"/>
        <w:rPr>
          <w:rFonts w:ascii="Times New Roman" w:cs="Times New Roman" w:eastAsia="Times New Roman" w:hAnsi="Times New Roman"/>
          <w:sz w:val="16"/>
          <w:szCs w:val="16"/>
          <w:color w:val="auto"/>
        </w:rPr>
      </w:pPr>
    </w:p>
    <w:p>
      <w:pPr>
        <w:ind w:right="80" w:firstLine="8"/>
        <w:spacing w:after="0" w:line="281" w:lineRule="auto"/>
        <w:tabs>
          <w:tab w:leader="none" w:pos="249" w:val="left"/>
        </w:tabs>
        <w:numPr>
          <w:ilvl w:val="0"/>
          <w:numId w:val="6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there were cash gains with respect to such gains in past accounting periods or (y) there is a reasonable expectation that there will be cash gains with respect to such gains in future accounting periods) and (ii) Consolidated Net Income attributable to the minority equity interest that is not owned, directly or indirectly, by the Borrower in Yankee or any other non-wholly owned Subsidiary to the extent the Net Income in respect of such minority equity interest is distributed to the holder or holders of such minority equity interest and </w:t>
      </w:r>
      <w:r>
        <w:rPr>
          <w:rFonts w:ascii="Times New Roman" w:cs="Times New Roman" w:eastAsia="Times New Roman" w:hAnsi="Times New Roman"/>
          <w:sz w:val="16"/>
          <w:szCs w:val="16"/>
          <w:u w:val="single" w:color="auto"/>
          <w:color w:val="auto"/>
        </w:rPr>
        <w:t>plus</w:t>
      </w:r>
      <w:r>
        <w:rPr>
          <w:rFonts w:ascii="Times New Roman" w:cs="Times New Roman" w:eastAsia="Times New Roman" w:hAnsi="Times New Roman"/>
          <w:sz w:val="16"/>
          <w:szCs w:val="16"/>
          <w:color w:val="auto"/>
        </w:rPr>
        <w:t>, (d) without duplication, cash dividends received by the Borrower or any Subsidiary from Amboy Aggregates, a New Jersey joint venture, and any other equity joint ventures. For purposes of this Agreement, Consolidated EBITDA shall be adjusted on a</w:t>
      </w:r>
    </w:p>
    <w:p>
      <w:pPr>
        <w:spacing w:after="0" w:line="3" w:lineRule="exact"/>
        <w:rPr>
          <w:rFonts w:ascii="Times New Roman" w:cs="Times New Roman" w:eastAsia="Times New Roman" w:hAnsi="Times New Roman"/>
          <w:sz w:val="16"/>
          <w:szCs w:val="16"/>
          <w:color w:val="auto"/>
        </w:rPr>
      </w:pPr>
    </w:p>
    <w:p>
      <w:pPr>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Pro Forma Basis.</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I – Page 3</w:t>
      </w:r>
    </w:p>
    <w:p>
      <w:pPr>
        <w:sectPr>
          <w:pgSz w:w="11900" w:h="16838" w:orient="portrait"/>
          <w:cols w:equalWidth="0" w:num="1">
            <w:col w:w="11420"/>
          </w:cols>
          <w:pgMar w:left="240" w:top="274" w:right="239" w:bottom="1440" w:gutter="0" w:footer="0" w:header="0"/>
        </w:sectPr>
      </w:pPr>
    </w:p>
    <w:bookmarkStart w:id="124" w:name="page125"/>
    <w:bookmarkEnd w:id="124"/>
    <w:p>
      <w:pPr>
        <w:ind w:right="20" w:firstLine="456"/>
        <w:spacing w:after="0" w:line="26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Consolidated Fixed Charges</w:t>
      </w:r>
      <w:r>
        <w:rPr>
          <w:rFonts w:ascii="Times New Roman" w:cs="Times New Roman" w:eastAsia="Times New Roman" w:hAnsi="Times New Roman"/>
          <w:sz w:val="18"/>
          <w:szCs w:val="18"/>
          <w:color w:val="auto"/>
        </w:rPr>
        <w:t>” means, for any period, the sum of the following determined on a Consolidated basis for such period, without duplication, for the Borrower and its Subsidiaries in accordance with GAAP: (a) Consolidated Cash Interest Expense and (b) scheduled principal payments with respect to Debt (including, without limitation, scheduled principal payments which are attributable to Capital Leases).</w:t>
      </w:r>
    </w:p>
    <w:p>
      <w:pPr>
        <w:spacing w:after="0" w:line="132" w:lineRule="exact"/>
        <w:rPr>
          <w:sz w:val="20"/>
          <w:szCs w:val="20"/>
          <w:color w:val="auto"/>
        </w:rPr>
      </w:pPr>
    </w:p>
    <w:p>
      <w:pPr>
        <w:ind w:right="20" w:firstLine="456"/>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Consolidated Fixed Charge Coverage Ratio</w:t>
      </w:r>
      <w:r>
        <w:rPr>
          <w:rFonts w:ascii="Times New Roman" w:cs="Times New Roman" w:eastAsia="Times New Roman" w:hAnsi="Times New Roman"/>
          <w:sz w:val="18"/>
          <w:szCs w:val="18"/>
          <w:color w:val="auto"/>
        </w:rPr>
        <w:t xml:space="preserve">” means, as of any date of determination, the ratio of (a) the sum of (i) Consolidated EBITDA for the period of four (4) consecutive fiscal quarters ending on or immediately prior to such date, </w:t>
      </w:r>
      <w:r>
        <w:rPr>
          <w:rFonts w:ascii="Times New Roman" w:cs="Times New Roman" w:eastAsia="Times New Roman" w:hAnsi="Times New Roman"/>
          <w:sz w:val="18"/>
          <w:szCs w:val="18"/>
          <w:u w:val="single" w:color="auto"/>
          <w:color w:val="auto"/>
        </w:rPr>
        <w:t>minus</w:t>
      </w:r>
      <w:r>
        <w:rPr>
          <w:rFonts w:ascii="Times New Roman" w:cs="Times New Roman" w:eastAsia="Times New Roman" w:hAnsi="Times New Roman"/>
          <w:sz w:val="18"/>
          <w:szCs w:val="18"/>
          <w:color w:val="auto"/>
        </w:rPr>
        <w:t xml:space="preserve"> (ii) Capital Expenditures accrued with respect to the maintenance of Capital Assets of the Borrower and its Subsidiaries for the period, </w:t>
      </w:r>
      <w:r>
        <w:rPr>
          <w:rFonts w:ascii="Times New Roman" w:cs="Times New Roman" w:eastAsia="Times New Roman" w:hAnsi="Times New Roman"/>
          <w:sz w:val="18"/>
          <w:szCs w:val="18"/>
          <w:u w:val="single" w:color="auto"/>
          <w:color w:val="auto"/>
        </w:rPr>
        <w:t>minus</w:t>
      </w:r>
      <w:r>
        <w:rPr>
          <w:rFonts w:ascii="Times New Roman" w:cs="Times New Roman" w:eastAsia="Times New Roman" w:hAnsi="Times New Roman"/>
          <w:sz w:val="18"/>
          <w:szCs w:val="18"/>
          <w:color w:val="auto"/>
        </w:rPr>
        <w:t xml:space="preserve"> (iii) Restricted Payments paid in cash for the period, </w:t>
      </w:r>
      <w:r>
        <w:rPr>
          <w:rFonts w:ascii="Times New Roman" w:cs="Times New Roman" w:eastAsia="Times New Roman" w:hAnsi="Times New Roman"/>
          <w:sz w:val="18"/>
          <w:szCs w:val="18"/>
          <w:u w:val="single" w:color="auto"/>
          <w:color w:val="auto"/>
        </w:rPr>
        <w:t>minus</w:t>
      </w:r>
      <w:r>
        <w:rPr>
          <w:rFonts w:ascii="Times New Roman" w:cs="Times New Roman" w:eastAsia="Times New Roman" w:hAnsi="Times New Roman"/>
          <w:sz w:val="18"/>
          <w:szCs w:val="18"/>
          <w:color w:val="auto"/>
        </w:rPr>
        <w:t xml:space="preserve"> (iv) federal, state, local and foreign income taxes paid in cash for the period, to (b) Consolidated Fixed Charges for the period of four (4) consecutive fiscal quarters ending on or immediately prior to such date.</w:t>
      </w:r>
    </w:p>
    <w:p>
      <w:pPr>
        <w:spacing w:after="0" w:line="139" w:lineRule="exact"/>
        <w:rPr>
          <w:sz w:val="20"/>
          <w:szCs w:val="20"/>
          <w:color w:val="auto"/>
        </w:rPr>
      </w:pPr>
    </w:p>
    <w:p>
      <w:pPr>
        <w:jc w:val="center"/>
        <w:ind w:right="320"/>
        <w:spacing w:after="0" w:line="339"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Consolidated Net Income</w:t>
      </w:r>
      <w:r>
        <w:rPr>
          <w:rFonts w:ascii="Times New Roman" w:cs="Times New Roman" w:eastAsia="Times New Roman" w:hAnsi="Times New Roman"/>
          <w:sz w:val="16"/>
          <w:szCs w:val="16"/>
          <w:color w:val="auto"/>
        </w:rPr>
        <w:t>” means, for any period, the net income (or loss) of the Borrower and its Subsidiaries for such period, determined on a Consolidated basis, without duplication, in accordance with GAAP (exclusive of all amounts in respect of any extraordinary or non-recurring gains or losses).</w:t>
      </w:r>
    </w:p>
    <w:p>
      <w:pPr>
        <w:spacing w:after="0" w:line="74"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Consolidated Total Indebtedness</w:t>
      </w:r>
      <w:r>
        <w:rPr>
          <w:rFonts w:ascii="Times New Roman" w:cs="Times New Roman" w:eastAsia="Times New Roman" w:hAnsi="Times New Roman"/>
          <w:sz w:val="18"/>
          <w:szCs w:val="18"/>
          <w:color w:val="auto"/>
        </w:rPr>
        <w:t xml:space="preserve">” of the Borrower, means as of any date of determination, the sum of (without duplication), (a) all Debt (other than any Operating Lease) of the Borrower and its Subsidiaries on a Consolidated basis which, in accordance with GAAP, should be included as liabilities in the consolidated balance sheet of the Borrower and its Subsidiaries at such time,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(b) the undrawn face amount of letters of credit (other than (i) letters of credit issued to (x) Zurich in an amount not to exceed $12,500,000 to support the Bonding Obligations held by Zurich and (y) Travelers pursuant to the terms set forth in the Travelers’ Termination Agreement, (ii) Performance Letters of Credit (as defined in the Domestic Credit Agreement) and (iii) standby letters of credit issued pursuant to this Agreement) and bank guarantees (other than those issued to support performance obligations),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(c) the principal amount of all guarantees executed by such Person.</w:t>
      </w:r>
    </w:p>
    <w:p>
      <w:pPr>
        <w:spacing w:after="0" w:line="141" w:lineRule="exact"/>
        <w:rPr>
          <w:sz w:val="20"/>
          <w:szCs w:val="20"/>
          <w:color w:val="auto"/>
        </w:rPr>
      </w:pPr>
    </w:p>
    <w:p>
      <w:pPr>
        <w:ind w:right="320" w:firstLine="456"/>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Consolidated Total Leverage Ratio</w:t>
      </w:r>
      <w:r>
        <w:rPr>
          <w:rFonts w:ascii="Times New Roman" w:cs="Times New Roman" w:eastAsia="Times New Roman" w:hAnsi="Times New Roman"/>
          <w:sz w:val="18"/>
          <w:szCs w:val="18"/>
          <w:color w:val="auto"/>
        </w:rPr>
        <w:t xml:space="preserve">” means, as of any date of determination, the ratio of (a) the sum of (i) the Consolidated Total Indebtedness on such date </w:t>
      </w:r>
      <w:r>
        <w:rPr>
          <w:rFonts w:ascii="Times New Roman" w:cs="Times New Roman" w:eastAsia="Times New Roman" w:hAnsi="Times New Roman"/>
          <w:sz w:val="18"/>
          <w:szCs w:val="18"/>
          <w:u w:val="single" w:color="auto"/>
          <w:color w:val="auto"/>
        </w:rPr>
        <w:t>minus</w:t>
      </w:r>
      <w:r>
        <w:rPr>
          <w:rFonts w:ascii="Times New Roman" w:cs="Times New Roman" w:eastAsia="Times New Roman" w:hAnsi="Times New Roman"/>
          <w:sz w:val="18"/>
          <w:szCs w:val="18"/>
          <w:color w:val="auto"/>
        </w:rPr>
        <w:t xml:space="preserve"> (ii) the aggregate amount of unrestricted cash and Cash Equivalents of the Borrower and its Subsidiaries in the United States on such date, to (b) Consolidated EBITDA for the period of four (4) consecutive fiscal quarters ending on or immediately prior to such date.</w:t>
      </w:r>
    </w:p>
    <w:p>
      <w:pPr>
        <w:spacing w:after="0" w:line="132" w:lineRule="exact"/>
        <w:rPr>
          <w:sz w:val="20"/>
          <w:szCs w:val="20"/>
          <w:color w:val="auto"/>
        </w:rPr>
      </w:pPr>
    </w:p>
    <w:p>
      <w:pPr>
        <w:ind w:right="40" w:firstLine="456"/>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Continuing Directors</w:t>
      </w:r>
      <w:r>
        <w:rPr>
          <w:rFonts w:ascii="Times New Roman" w:cs="Times New Roman" w:eastAsia="Times New Roman" w:hAnsi="Times New Roman"/>
          <w:sz w:val="18"/>
          <w:szCs w:val="18"/>
          <w:color w:val="auto"/>
        </w:rPr>
        <w:t>” means the directors of the Borrower on the Start Date and each other director of the Borrower, if, in each case, such other director’s nomination for election to the board of directors (or equivalent governing body) of the Borrower is recommended by at least 51% of the then Continuing Directors.</w:t>
      </w:r>
    </w:p>
    <w:p>
      <w:pPr>
        <w:spacing w:after="0" w:line="132" w:lineRule="exact"/>
        <w:rPr>
          <w:sz w:val="20"/>
          <w:szCs w:val="20"/>
          <w:color w:val="auto"/>
        </w:rPr>
      </w:pPr>
    </w:p>
    <w:p>
      <w:pPr>
        <w:ind w:right="400" w:firstLine="456"/>
        <w:spacing w:after="0" w:line="27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Control</w:t>
      </w:r>
      <w:r>
        <w:rPr>
          <w:rFonts w:ascii="Times New Roman" w:cs="Times New Roman" w:eastAsia="Times New Roman" w:hAnsi="Times New Roman"/>
          <w:sz w:val="18"/>
          <w:szCs w:val="18"/>
          <w:color w:val="auto"/>
        </w:rPr>
        <w:t>” means the possession, directly or indirectly, of the power to direct or cause the direction of the management or policies of a Person, whether through the ability to exercise voting power, by contract or otherwise. “</w:t>
      </w:r>
      <w:r>
        <w:rPr>
          <w:rFonts w:ascii="Times New Roman" w:cs="Times New Roman" w:eastAsia="Times New Roman" w:hAnsi="Times New Roman"/>
          <w:sz w:val="18"/>
          <w:szCs w:val="18"/>
          <w:u w:val="single" w:color="auto"/>
          <w:color w:val="auto"/>
        </w:rPr>
        <w:t>Controlling</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Controlled</w:t>
      </w:r>
      <w:r>
        <w:rPr>
          <w:rFonts w:ascii="Times New Roman" w:cs="Times New Roman" w:eastAsia="Times New Roman" w:hAnsi="Times New Roman"/>
          <w:sz w:val="18"/>
          <w:szCs w:val="18"/>
          <w:color w:val="auto"/>
        </w:rPr>
        <w:t>” have meanings correlative thereto.</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I – Page 4</w:t>
      </w:r>
    </w:p>
    <w:p>
      <w:pPr>
        <w:sectPr>
          <w:pgSz w:w="11900" w:h="16838" w:orient="portrait"/>
          <w:cols w:equalWidth="0" w:num="1">
            <w:col w:w="11420"/>
          </w:cols>
          <w:pgMar w:left="240" w:top="274" w:right="239" w:bottom="1440" w:gutter="0" w:footer="0" w:header="0"/>
        </w:sectPr>
      </w:pPr>
    </w:p>
    <w:bookmarkStart w:id="125" w:name="page126"/>
    <w:bookmarkEnd w:id="125"/>
    <w:p>
      <w:pPr>
        <w:ind w:right="60" w:firstLine="456"/>
        <w:spacing w:after="0" w:line="286"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Times New Roman" w:cs="Times New Roman" w:eastAsia="Times New Roman" w:hAnsi="Times New Roman"/>
          <w:sz w:val="16"/>
          <w:szCs w:val="16"/>
          <w:u w:val="single" w:color="auto"/>
          <w:color w:val="auto"/>
        </w:rPr>
        <w:t>Disqualified Capital Stock</w:t>
      </w:r>
      <w:r>
        <w:rPr>
          <w:rFonts w:ascii="Times New Roman" w:cs="Times New Roman" w:eastAsia="Times New Roman" w:hAnsi="Times New Roman"/>
          <w:sz w:val="16"/>
          <w:szCs w:val="16"/>
          <w:color w:val="auto"/>
        </w:rPr>
        <w:t xml:space="preserve">” means any Capital Stock that, by its terms (or by the terms of any security or other Capital Stock into which it is convertible or for which it is exchangeable) or upon the happening of any event or condition, (a) matures or is mandatorily redeemable (other than solely for Qualified Capital Stock), pursuant to a sinking fund obligation or otherwise (except as a result of a change of control or asset sale so long as any rights of the holders thereof upon the occurrence of a change of control or asset sale event shall be subject to the prior repayment in full of the Loans (as defined in the Domestic Credit Agreement) and all other Obligations (as defined in the Domestic Credit Agreement) that are accrued and payable and the termination of the Aggregate Commitment (as defined in the Domestic Credit Agreement)), (b) is redeemable at the option of the holder thereof (other than solely for Qualified Capital Stock) (except as a result of a change of control or asset sale so long as any rights of the holders thereof upon the occurrence of a change of control or asset sale event shall be subject to the prior repayment in full of the Loans (as defined in the Domestic Credit Agreement) and all other Obligations (as defined in the Domestic Credit Agreement) that are accrued and payable and the termination of the Aggregate Commitment (as defined in the Domestic Credit Agreement)), in whole or in part, (c) provides for the scheduled payment of dividends in cash or (d) is or becomes convertible into or exchangeable for Debt or any other Capital Stock that would constitute Disqualified Capital Stock, in each case for </w:t>
      </w:r>
      <w:r>
        <w:rPr>
          <w:rFonts w:ascii="Times New Roman" w:cs="Times New Roman" w:eastAsia="Times New Roman" w:hAnsi="Times New Roman"/>
          <w:sz w:val="16"/>
          <w:szCs w:val="16"/>
          <w:u w:val="single" w:color="auto"/>
          <w:color w:val="auto"/>
        </w:rPr>
        <w:t>clauses (a)</w:t>
      </w:r>
      <w:r>
        <w:rPr>
          <w:rFonts w:ascii="Times New Roman" w:cs="Times New Roman" w:eastAsia="Times New Roman" w:hAnsi="Times New Roman"/>
          <w:sz w:val="16"/>
          <w:szCs w:val="16"/>
          <w:color w:val="auto"/>
        </w:rPr>
        <w:t xml:space="preserve"> through </w:t>
      </w:r>
      <w:r>
        <w:rPr>
          <w:rFonts w:ascii="Times New Roman" w:cs="Times New Roman" w:eastAsia="Times New Roman" w:hAnsi="Times New Roman"/>
          <w:sz w:val="16"/>
          <w:szCs w:val="16"/>
          <w:u w:val="single" w:color="auto"/>
          <w:color w:val="auto"/>
        </w:rPr>
        <w:t>(d)</w:t>
      </w:r>
      <w:r>
        <w:rPr>
          <w:rFonts w:ascii="Times New Roman" w:cs="Times New Roman" w:eastAsia="Times New Roman" w:hAnsi="Times New Roman"/>
          <w:sz w:val="16"/>
          <w:szCs w:val="16"/>
          <w:color w:val="auto"/>
        </w:rPr>
        <w:t xml:space="preserve"> above, prior to the date that is 91 days after the Revolving Credit Maturity Date (as defined in the Domestic Credit Agreement);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that if such Capital Stock is issued pursuant to a plan for the benefit of the Borrower or its Subsidiaries or by any such plan to such employees, such Capital Stock shall not constitute Disqualified Capital Stock solely because it may be required to be repurchased by the Borrower or its Subsidiaries in order to satisfy applicable statutory or regulatory obligations.</w:t>
      </w:r>
    </w:p>
    <w:p>
      <w:pPr>
        <w:spacing w:after="0" w:line="337" w:lineRule="exact"/>
        <w:rPr>
          <w:sz w:val="20"/>
          <w:szCs w:val="20"/>
          <w:color w:val="auto"/>
        </w:rPr>
      </w:pPr>
    </w:p>
    <w:p>
      <w:pPr>
        <w:jc w:val="both"/>
        <w:ind w:right="80" w:firstLine="456"/>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Equipment Utilization Agreement</w:t>
      </w:r>
      <w:r>
        <w:rPr>
          <w:rFonts w:ascii="Times New Roman" w:cs="Times New Roman" w:eastAsia="Times New Roman" w:hAnsi="Times New Roman"/>
          <w:sz w:val="18"/>
          <w:szCs w:val="18"/>
          <w:color w:val="auto"/>
        </w:rPr>
        <w:t>” means the Equipment Utilization Agreement, dated as of the date hereof, among the Borrower, certain Subsidiaries of the Borrower as indemnitors, the Administrative Agent and Zurich, as surety thereunder, as may be amended, restated, supplemented or otherwise modified from time to time in accordance with the terms thereof.</w:t>
      </w:r>
    </w:p>
    <w:p>
      <w:pPr>
        <w:spacing w:after="0" w:line="13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means the Securities Exchange Act of 1934, as amended.</w:t>
      </w:r>
    </w:p>
    <w:p>
      <w:pPr>
        <w:spacing w:after="0" w:line="1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Existing Hedge Banks</w:t>
      </w:r>
      <w:r>
        <w:rPr>
          <w:rFonts w:ascii="Times New Roman" w:cs="Times New Roman" w:eastAsia="Times New Roman" w:hAnsi="Times New Roman"/>
          <w:sz w:val="18"/>
          <w:szCs w:val="18"/>
          <w:color w:val="auto"/>
        </w:rPr>
        <w:t xml:space="preserve">” means those Hedge Banks existing on the Start Date and identified on </w:t>
      </w:r>
      <w:r>
        <w:rPr>
          <w:rFonts w:ascii="Times New Roman" w:cs="Times New Roman" w:eastAsia="Times New Roman" w:hAnsi="Times New Roman"/>
          <w:sz w:val="18"/>
          <w:szCs w:val="18"/>
          <w:u w:val="single" w:color="auto"/>
          <w:color w:val="auto"/>
        </w:rPr>
        <w:t>Schedule 1.1(a)</w:t>
      </w:r>
      <w:r>
        <w:rPr>
          <w:rFonts w:ascii="Times New Roman" w:cs="Times New Roman" w:eastAsia="Times New Roman" w:hAnsi="Times New Roman"/>
          <w:sz w:val="18"/>
          <w:szCs w:val="18"/>
          <w:color w:val="auto"/>
        </w:rPr>
        <w:t xml:space="preserve"> to the Domestic Credit Agreement.</w:t>
      </w:r>
    </w:p>
    <w:p>
      <w:pPr>
        <w:spacing w:after="0" w:line="171" w:lineRule="exact"/>
        <w:rPr>
          <w:sz w:val="20"/>
          <w:szCs w:val="20"/>
          <w:color w:val="auto"/>
        </w:rPr>
      </w:pPr>
    </w:p>
    <w:p>
      <w:pPr>
        <w:ind w:right="180" w:firstLine="456"/>
        <w:spacing w:after="0" w:line="27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Existing Issuing Lender</w:t>
      </w:r>
      <w:r>
        <w:rPr>
          <w:rFonts w:ascii="Times New Roman" w:cs="Times New Roman" w:eastAsia="Times New Roman" w:hAnsi="Times New Roman"/>
          <w:sz w:val="18"/>
          <w:szCs w:val="18"/>
          <w:color w:val="auto"/>
        </w:rPr>
        <w:t>” means Bank of America, N.A. in its capacity as an issuing bank with respect to the Existing Letters of Credit, or any successor thereto.</w:t>
      </w:r>
    </w:p>
    <w:p>
      <w:pPr>
        <w:spacing w:after="0" w:line="120"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Guaranty Obligation</w:t>
      </w:r>
      <w:r>
        <w:rPr>
          <w:rFonts w:ascii="Times New Roman" w:cs="Times New Roman" w:eastAsia="Times New Roman" w:hAnsi="Times New Roman"/>
          <w:sz w:val="18"/>
          <w:szCs w:val="18"/>
          <w:color w:val="auto"/>
        </w:rPr>
        <w:t xml:space="preserve">” means, with respect to the Borrower and its Subsidiaries, without duplication, any obligation, contingent or otherwise, of any such Person pursuant to which such Person has directly or indirectly guaranteed any Debt or other obligation of any other Person and, without limiting the generality of the foregoing, any obligation, direct or indirect, contingent or otherwise, of any such Person (a) to purchase or pay (or advance or supply funds for the purchase or payment of) such Debt or other obligation (whether arising by virtue of partnership arrangements, by agreement to keep well, to purchase assets, goods, securities or services, to take-or-pay, or to maintain financial statement condition or otherwise) or (b) entered into for the purpose of assuring in any other manner the obligee of such Debt or other obligation of the payment thereof or to protect such obligee against loss in respect thereof (in whole or in part);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the term Guaranty Obligation shall not include endorsements for collection or deposit in the ordinary course of business.</w:t>
      </w:r>
    </w:p>
    <w:p>
      <w:pPr>
        <w:spacing w:after="0" w:line="1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I – Page 5</w:t>
      </w:r>
    </w:p>
    <w:p>
      <w:pPr>
        <w:sectPr>
          <w:pgSz w:w="11900" w:h="16838" w:orient="portrait"/>
          <w:cols w:equalWidth="0" w:num="1">
            <w:col w:w="11420"/>
          </w:cols>
          <w:pgMar w:left="240" w:top="274" w:right="239" w:bottom="1440" w:gutter="0" w:footer="0" w:header="0"/>
        </w:sectPr>
      </w:pPr>
    </w:p>
    <w:bookmarkStart w:id="126" w:name="page127"/>
    <w:bookmarkEnd w:id="126"/>
    <w:p>
      <w:pPr>
        <w:ind w:firstLine="456"/>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Hedge Agreement</w:t>
      </w:r>
      <w:r>
        <w:rPr>
          <w:rFonts w:ascii="Times New Roman" w:cs="Times New Roman" w:eastAsia="Times New Roman" w:hAnsi="Times New Roman"/>
          <w:sz w:val="18"/>
          <w:szCs w:val="18"/>
          <w:color w:val="auto"/>
        </w:rPr>
        <w:t>” means (a) any and all rate swap transactions, basis swaps, credit derivative transactions, forward rate transactions, commodity swaps, commodity options, forward commodity contracts, equity or equity index swaps or options, bond or bond price or bond index swaps or options or forward bond or forward bond price or forward bond index transactions, interest rate options, forward foreign exchange transactions, cap transactions, floor transactions, collar transactions, currency swap transactions, cross-currency rate swap transactions, currency options, spot contracts, or any other similar transactions or any combination of any of the foregoing (including any options to enter into any of the foregoing), whether or not any such transaction is governed by or subject to any master agreement, and (b) any and all transactions of any kind, and the related confirmations, which are subject to the terms and conditions of, or governed by, any form of master agreement published by the International Swaps and Derivatives Association, Inc., any International Foreign Exchange Master Agreement, or any other master agreement, all as amended, restated, supplemented or otherwise modified from time to time.</w:t>
      </w:r>
    </w:p>
    <w:p>
      <w:pPr>
        <w:spacing w:after="0" w:line="138" w:lineRule="exact"/>
        <w:rPr>
          <w:sz w:val="20"/>
          <w:szCs w:val="20"/>
          <w:color w:val="auto"/>
        </w:rPr>
      </w:pPr>
    </w:p>
    <w:p>
      <w:pPr>
        <w:jc w:val="both"/>
        <w:ind w:right="40" w:firstLine="456"/>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Hedge Bank</w:t>
      </w:r>
      <w:r>
        <w:rPr>
          <w:rFonts w:ascii="Times New Roman" w:cs="Times New Roman" w:eastAsia="Times New Roman" w:hAnsi="Times New Roman"/>
          <w:sz w:val="18"/>
          <w:szCs w:val="18"/>
          <w:color w:val="auto"/>
        </w:rPr>
        <w:t xml:space="preserve">” means (a) any Existing Hedge Bank and (b) any Person that, at the time it enters into a Hedge Agreement permitted under </w:t>
      </w:r>
      <w:r>
        <w:rPr>
          <w:rFonts w:ascii="Times New Roman" w:cs="Times New Roman" w:eastAsia="Times New Roman" w:hAnsi="Times New Roman"/>
          <w:sz w:val="18"/>
          <w:szCs w:val="18"/>
          <w:u w:val="single" w:color="auto"/>
          <w:color w:val="auto"/>
        </w:rPr>
        <w:t>Article IX</w:t>
      </w:r>
      <w:r>
        <w:rPr>
          <w:rFonts w:ascii="Times New Roman" w:cs="Times New Roman" w:eastAsia="Times New Roman" w:hAnsi="Times New Roman"/>
          <w:sz w:val="18"/>
          <w:szCs w:val="18"/>
          <w:color w:val="auto"/>
        </w:rPr>
        <w:t xml:space="preserve"> of the Domestic Credit Agreement, is a Domestic Lender, an Affiliate of a Domestic Lender, the Administrative Agent or an Affiliate of Wells Fargo, in its capacity as a party to such Hedge Agreement.</w:t>
      </w:r>
    </w:p>
    <w:p>
      <w:pPr>
        <w:spacing w:after="0" w:line="132" w:lineRule="exact"/>
        <w:rPr>
          <w:sz w:val="20"/>
          <w:szCs w:val="20"/>
          <w:color w:val="auto"/>
        </w:rPr>
      </w:pPr>
    </w:p>
    <w:p>
      <w:pPr>
        <w:ind w:right="60" w:firstLine="456"/>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Hedge Termination Value</w:t>
      </w:r>
      <w:r>
        <w:rPr>
          <w:rFonts w:ascii="Times New Roman" w:cs="Times New Roman" w:eastAsia="Times New Roman" w:hAnsi="Times New Roman"/>
          <w:sz w:val="18"/>
          <w:szCs w:val="18"/>
          <w:color w:val="auto"/>
        </w:rPr>
        <w:t xml:space="preserve">” means, in respect of any one or more Hedge Agreements, after taking into account the effect of any legally enforceable netting agreement relating to such Hedge Agreements, (a) for any date on or after the date such Hedge Agreements have been closed out and termination value(s) determined in accordance therewith, such termination value(s), and (b) for any date prior to the date referenced in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the amount(s) determined as the mark-to-market value(s) for such Hedge Agreements, as determined based upon one or more mid-market or other readily available quotations provided by any recognized dealer in such Hedge Agreements (which may include a Domestic Lender or any Affiliate of a Domestic Lender).</w:t>
      </w:r>
    </w:p>
    <w:p>
      <w:pPr>
        <w:spacing w:after="0" w:line="13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Moody’s</w:t>
      </w:r>
      <w:r>
        <w:rPr>
          <w:rFonts w:ascii="Times New Roman" w:cs="Times New Roman" w:eastAsia="Times New Roman" w:hAnsi="Times New Roman"/>
          <w:sz w:val="18"/>
          <w:szCs w:val="18"/>
          <w:color w:val="auto"/>
        </w:rPr>
        <w:t>” means Moody’s Investors Service, Inc. and any successor thereto.</w:t>
      </w:r>
    </w:p>
    <w:p>
      <w:pPr>
        <w:spacing w:after="0" w:line="171" w:lineRule="exact"/>
        <w:rPr>
          <w:sz w:val="20"/>
          <w:szCs w:val="20"/>
          <w:color w:val="auto"/>
        </w:rPr>
      </w:pPr>
    </w:p>
    <w:p>
      <w:pPr>
        <w:ind w:right="60" w:firstLine="456"/>
        <w:spacing w:after="0" w:line="27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Note Indenture</w:t>
      </w:r>
      <w:r>
        <w:rPr>
          <w:rFonts w:ascii="Times New Roman" w:cs="Times New Roman" w:eastAsia="Times New Roman" w:hAnsi="Times New Roman"/>
          <w:sz w:val="18"/>
          <w:szCs w:val="18"/>
          <w:color w:val="auto"/>
        </w:rPr>
        <w:t>” that certain Indenture, dated as of January 28, 2011, between Wells Fargo, as trustee, and the Borrower and the Subsidiary Guarantors (as defined in the Domestic Credit Agreement), as the same may be amended, restated, supplemented or otherwise modified from time to time.</w:t>
      </w:r>
    </w:p>
    <w:p>
      <w:pPr>
        <w:spacing w:after="0" w:line="120" w:lineRule="exact"/>
        <w:rPr>
          <w:sz w:val="20"/>
          <w:szCs w:val="20"/>
          <w:color w:val="auto"/>
        </w:rPr>
      </w:pPr>
    </w:p>
    <w:p>
      <w:pPr>
        <w:ind w:right="20" w:firstLine="456"/>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Note Indenture Obligations</w:t>
      </w:r>
      <w:r>
        <w:rPr>
          <w:rFonts w:ascii="Times New Roman" w:cs="Times New Roman" w:eastAsia="Times New Roman" w:hAnsi="Times New Roman"/>
          <w:sz w:val="18"/>
          <w:szCs w:val="18"/>
          <w:color w:val="auto"/>
        </w:rPr>
        <w:t xml:space="preserve">” means all of (a) the Borrower’s obligations under and with respect to the Note Indenture, including, without limitation, all obligations to pay principal in an aggregate principal amount not to exceed $250,000,000 under its 7-3/8% Senior Notes due 2019, and all interest, premium, fees, charges, expenses and indemnities with respect thereto, and all obligations to effect redemptions, repurchases and prepayments with respect thereto, in any case, whether fixed, contingent, matured or unmatured, and (b) the Borrower’s obligations under and with respect to such other unsecured Debt the net proceeds of which are, in whole or in part, designated to be used, and are used reasonably promptly after the incurrence thereof, to refinance in whole or in part the then existing Note Indenture Obligations (including any subsequent refinancing thereof from time to time which constitutes a Permitted Note Refinancing);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(i) the aggregate principal amount of such refinancing Debt and any remaining Debt under the Note Indenture (and any Permitted Note Refinancing thereof) does not exceed $300,000,000,</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I – Page 6</w:t>
      </w:r>
    </w:p>
    <w:p>
      <w:pPr>
        <w:sectPr>
          <w:pgSz w:w="11900" w:h="16838" w:orient="portrait"/>
          <w:cols w:equalWidth="0" w:num="1">
            <w:col w:w="11420"/>
          </w:cols>
          <w:pgMar w:left="240" w:top="274" w:right="239" w:bottom="1440" w:gutter="0" w:footer="0" w:header="0"/>
        </w:sectPr>
      </w:pPr>
    </w:p>
    <w:bookmarkStart w:id="127" w:name="page128"/>
    <w:bookmarkEnd w:id="127"/>
    <w:p>
      <w:pPr>
        <w:ind w:firstLine="8"/>
        <w:spacing w:after="0" w:line="253" w:lineRule="auto"/>
        <w:tabs>
          <w:tab w:leader="none" w:pos="258"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immediately after giving effect to the incurrence of such refinancing Debt and the application of proceeds thereof, the Borrower and its Subsidiaries will be in pro forma compliance (giving effect to such refinancing as if it occurred as of the first day of the relevant period of calculation) with each financial covenant ratio set forth in </w:t>
      </w:r>
      <w:r>
        <w:rPr>
          <w:rFonts w:ascii="Times New Roman" w:cs="Times New Roman" w:eastAsia="Times New Roman" w:hAnsi="Times New Roman"/>
          <w:sz w:val="18"/>
          <w:szCs w:val="18"/>
          <w:u w:val="single" w:color="auto"/>
          <w:color w:val="auto"/>
        </w:rPr>
        <w:t>Section 9.5</w:t>
      </w:r>
      <w:r>
        <w:rPr>
          <w:rFonts w:ascii="Times New Roman" w:cs="Times New Roman" w:eastAsia="Times New Roman" w:hAnsi="Times New Roman"/>
          <w:sz w:val="18"/>
          <w:szCs w:val="18"/>
          <w:color w:val="auto"/>
        </w:rPr>
        <w:t xml:space="preserve"> as of the most recently ended fiscal quarter for which financial statements (and the related compliance certificate) have been delivered pursuant to </w:t>
      </w:r>
      <w:r>
        <w:rPr>
          <w:rFonts w:ascii="Times New Roman" w:cs="Times New Roman" w:eastAsia="Times New Roman" w:hAnsi="Times New Roman"/>
          <w:sz w:val="18"/>
          <w:szCs w:val="18"/>
          <w:u w:val="single" w:color="auto"/>
          <w:color w:val="auto"/>
        </w:rPr>
        <w:t>Section 8.1</w:t>
      </w:r>
      <w:r>
        <w:rPr>
          <w:rFonts w:ascii="Times New Roman" w:cs="Times New Roman" w:eastAsia="Times New Roman" w:hAnsi="Times New Roman"/>
          <w:sz w:val="18"/>
          <w:szCs w:val="18"/>
          <w:color w:val="auto"/>
        </w:rPr>
        <w:t xml:space="preserve"> (it being understood and agreed that the Borrower shall provide a certification of such pro forma compliance but shall not be required to provide a Compliance Certificate), (iii) such refinancing Debt has a final maturity more than 180 days after the Revolving Credit Maturity Date (as defined in the Domestic Credit Agreement) and requires no scheduled payment of principal in cash prior to such date, and (iv) the terms of such refinancing Debt, including the covenants, events of default and other terms and provisions (including quantities thereof), are reasonably acceptable to the Administrative Agent, such acceptance not to be unreasonably withheld so long as such terms are no more restrictive, when taken as a whole, to the Borrower and its Subsidiaries than are (x) in the case of any public issuance (including through a 144A or other similar issuance) of Debt by the Borrower, customary at the time of such refinancing of such type for issuers with a debt rating similar to that of the Borrower and (y) in the case of any private issuance of Debt by the Borrower, as set forth in the Note Indenture (any such refinancing as described in this </w:t>
      </w:r>
      <w:r>
        <w:rPr>
          <w:rFonts w:ascii="Times New Roman" w:cs="Times New Roman" w:eastAsia="Times New Roman" w:hAnsi="Times New Roman"/>
          <w:sz w:val="18"/>
          <w:szCs w:val="18"/>
          <w:u w:val="single" w:color="auto"/>
          <w:color w:val="auto"/>
        </w:rPr>
        <w:t>clause (b)</w:t>
      </w:r>
      <w:r>
        <w:rPr>
          <w:rFonts w:ascii="Times New Roman" w:cs="Times New Roman" w:eastAsia="Times New Roman" w:hAnsi="Times New Roman"/>
          <w:sz w:val="18"/>
          <w:szCs w:val="18"/>
          <w:color w:val="auto"/>
        </w:rPr>
        <w:t>, a “</w:t>
      </w:r>
      <w:r>
        <w:rPr>
          <w:rFonts w:ascii="Times New Roman" w:cs="Times New Roman" w:eastAsia="Times New Roman" w:hAnsi="Times New Roman"/>
          <w:sz w:val="18"/>
          <w:szCs w:val="18"/>
          <w:u w:val="single" w:color="auto"/>
          <w:color w:val="auto"/>
        </w:rPr>
        <w:t>Permitted Note Refinancing</w:t>
      </w:r>
      <w:r>
        <w:rPr>
          <w:rFonts w:ascii="Times New Roman" w:cs="Times New Roman" w:eastAsia="Times New Roman" w:hAnsi="Times New Roman"/>
          <w:sz w:val="18"/>
          <w:szCs w:val="18"/>
          <w:color w:val="auto"/>
        </w:rPr>
        <w:t>”).</w:t>
      </w:r>
    </w:p>
    <w:p>
      <w:pPr>
        <w:spacing w:after="0" w:line="139" w:lineRule="exact"/>
        <w:rPr>
          <w:sz w:val="20"/>
          <w:szCs w:val="20"/>
          <w:color w:val="auto"/>
        </w:rPr>
      </w:pPr>
    </w:p>
    <w:p>
      <w:pPr>
        <w:ind w:right="460" w:firstLine="456"/>
        <w:spacing w:after="0" w:line="27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Operating Lease</w:t>
      </w:r>
      <w:r>
        <w:rPr>
          <w:rFonts w:ascii="Times New Roman" w:cs="Times New Roman" w:eastAsia="Times New Roman" w:hAnsi="Times New Roman"/>
          <w:sz w:val="18"/>
          <w:szCs w:val="18"/>
          <w:color w:val="auto"/>
        </w:rPr>
        <w:t>” means, as to any Person as determined in accordance with GAAP, any lease of Property (whether real, personal or mixed) by such Person as lessee which is not a Capital Lease.</w:t>
      </w:r>
    </w:p>
    <w:p>
      <w:pPr>
        <w:spacing w:after="0" w:line="12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Acquisition</w:t>
      </w:r>
      <w:r>
        <w:rPr>
          <w:rFonts w:ascii="Times New Roman" w:cs="Times New Roman" w:eastAsia="Times New Roman" w:hAnsi="Times New Roman"/>
          <w:sz w:val="18"/>
          <w:szCs w:val="18"/>
          <w:color w:val="auto"/>
        </w:rPr>
        <w:t xml:space="preserve">” has the meaning assigned thereto in </w:t>
      </w:r>
      <w:r>
        <w:rPr>
          <w:rFonts w:ascii="Times New Roman" w:cs="Times New Roman" w:eastAsia="Times New Roman" w:hAnsi="Times New Roman"/>
          <w:sz w:val="18"/>
          <w:szCs w:val="18"/>
          <w:u w:val="single" w:color="auto"/>
          <w:color w:val="auto"/>
        </w:rPr>
        <w:t>Section 9.3(h)</w:t>
      </w:r>
      <w:r>
        <w:rPr>
          <w:rFonts w:ascii="Times New Roman" w:cs="Times New Roman" w:eastAsia="Times New Roman" w:hAnsi="Times New Roman"/>
          <w:sz w:val="18"/>
          <w:szCs w:val="18"/>
          <w:color w:val="auto"/>
        </w:rPr>
        <w:t xml:space="preserve"> (or comparable provision) of the Domestic Credit Agreement.</w:t>
      </w:r>
    </w:p>
    <w:p>
      <w:pPr>
        <w:spacing w:after="0" w:line="171" w:lineRule="exact"/>
        <w:rPr>
          <w:sz w:val="20"/>
          <w:szCs w:val="20"/>
          <w:color w:val="auto"/>
        </w:rPr>
      </w:pPr>
    </w:p>
    <w:p>
      <w:pPr>
        <w:ind w:right="60" w:firstLine="456"/>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 Forma Basis</w:t>
      </w:r>
      <w:r>
        <w:rPr>
          <w:rFonts w:ascii="Times New Roman" w:cs="Times New Roman" w:eastAsia="Times New Roman" w:hAnsi="Times New Roman"/>
          <w:sz w:val="18"/>
          <w:szCs w:val="18"/>
          <w:color w:val="auto"/>
        </w:rPr>
        <w:t xml:space="preserve">” means, for purposes of calculating Consolidated EBITDA for any period during which one or more Specified Transactions occurs, that such Specified Transaction (and all other Specified Transactions that have been consummated during the applicable period) shall be deemed to have occurred as of the first day of the applicable period of measurement and all income statement items (whether positive or negative) attributable to the Property or Person disposed of in a Specified Disposition shall be excluded and all income statement items (whether positive or negative) attributable to the Property or Person acquired in a Permitted Acquisition shall be included;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foregoing pro forma adjustments may be applied to any such definition, test or financial covenant solely to the extent that such adjustments (i) are reasonably expected to be realized within twelve (12) months of such Specified Transaction and (ii) are calculated in a reasonable and factually supportable manner on a basis consistent with GAAP, as certified by a Responsible Officer (as defined in the Domestic Credit Agreement) of the Borrower;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the foregoing pro forma adjustment may incorporate add-backs and other adjustments permitted by this Agreement to the extent such add-backs and adjustments are not duplicative of any amounts or adjustments that are already included in the calculation of Consolidated EBITDA.</w:t>
      </w:r>
    </w:p>
    <w:p>
      <w:pPr>
        <w:spacing w:after="0" w:line="14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Qualified Capital Stock</w:t>
      </w:r>
      <w:r>
        <w:rPr>
          <w:rFonts w:ascii="Times New Roman" w:cs="Times New Roman" w:eastAsia="Times New Roman" w:hAnsi="Times New Roman"/>
          <w:sz w:val="18"/>
          <w:szCs w:val="18"/>
          <w:color w:val="auto"/>
        </w:rPr>
        <w:t>” means any Capital Stock that is not Disqualified Capital Stock.</w:t>
      </w:r>
    </w:p>
    <w:p>
      <w:pPr>
        <w:spacing w:after="0" w:line="1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S&amp;P</w:t>
      </w:r>
      <w:r>
        <w:rPr>
          <w:rFonts w:ascii="Times New Roman" w:cs="Times New Roman" w:eastAsia="Times New Roman" w:hAnsi="Times New Roman"/>
          <w:sz w:val="18"/>
          <w:szCs w:val="18"/>
          <w:color w:val="auto"/>
        </w:rPr>
        <w:t>” means Standard &amp; Poor’s Ratings Services, a Standard &amp; Poor’s Financial Services LLC business, and any successor thereto.</w:t>
      </w:r>
    </w:p>
    <w:p>
      <w:pPr>
        <w:spacing w:after="0" w:line="158"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8"/>
          <w:szCs w:val="18"/>
          <w:color w:val="auto"/>
        </w:rPr>
        <w:t>ANNEX I – Page 7</w:t>
      </w:r>
    </w:p>
    <w:p>
      <w:pPr>
        <w:sectPr>
          <w:pgSz w:w="11900" w:h="16838" w:orient="portrait"/>
          <w:cols w:equalWidth="0" w:num="1">
            <w:col w:w="11400"/>
          </w:cols>
          <w:pgMar w:left="240" w:top="274" w:right="259" w:bottom="1440" w:gutter="0" w:footer="0" w:header="0"/>
        </w:sectPr>
      </w:pPr>
    </w:p>
    <w:bookmarkStart w:id="128" w:name="page129"/>
    <w:bookmarkEnd w:id="128"/>
    <w:p>
      <w:pPr>
        <w:ind w:right="240" w:firstLine="456"/>
        <w:spacing w:after="0" w:line="27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Specified Disposition</w:t>
      </w:r>
      <w:r>
        <w:rPr>
          <w:rFonts w:ascii="Times New Roman" w:cs="Times New Roman" w:eastAsia="Times New Roman" w:hAnsi="Times New Roman"/>
          <w:sz w:val="18"/>
          <w:szCs w:val="18"/>
          <w:color w:val="auto"/>
        </w:rPr>
        <w:t>” means any disposition of all or substantially all of the assets or Capital Stock of any Subsidiary of the Borrower or any division, business unit, product line or line of business of the Borrower or any of its Subsidiaries.</w:t>
      </w:r>
    </w:p>
    <w:p>
      <w:pPr>
        <w:spacing w:after="0" w:line="12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Specified Transactions</w:t>
      </w:r>
      <w:r>
        <w:rPr>
          <w:rFonts w:ascii="Times New Roman" w:cs="Times New Roman" w:eastAsia="Times New Roman" w:hAnsi="Times New Roman"/>
          <w:sz w:val="18"/>
          <w:szCs w:val="18"/>
          <w:color w:val="auto"/>
        </w:rPr>
        <w:t>” means (a) any Specified Disposition and (b) any Permitted Acquisition.</w:t>
      </w:r>
    </w:p>
    <w:p>
      <w:pPr>
        <w:spacing w:after="0" w:line="171" w:lineRule="exact"/>
        <w:rPr>
          <w:sz w:val="20"/>
          <w:szCs w:val="20"/>
          <w:color w:val="auto"/>
        </w:rPr>
      </w:pPr>
    </w:p>
    <w:p>
      <w:pPr>
        <w:ind w:firstLine="456"/>
        <w:spacing w:after="0" w:line="27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Synthetic Lease</w:t>
      </w:r>
      <w:r>
        <w:rPr>
          <w:rFonts w:ascii="Times New Roman" w:cs="Times New Roman" w:eastAsia="Times New Roman" w:hAnsi="Times New Roman"/>
          <w:sz w:val="18"/>
          <w:szCs w:val="18"/>
          <w:color w:val="auto"/>
        </w:rPr>
        <w:t>” means any synthetic lease, tax retention operating lease, off-balance sheet loan or similar off-balance sheet financing product where such transaction is considered borrowed money indebtedness for tax purposes but is classified as an Operating Lease in accordance with GAAP.</w:t>
      </w:r>
    </w:p>
    <w:p>
      <w:pPr>
        <w:spacing w:after="0" w:line="12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Threshold Amount</w:t>
      </w:r>
      <w:r>
        <w:rPr>
          <w:rFonts w:ascii="Times New Roman" w:cs="Times New Roman" w:eastAsia="Times New Roman" w:hAnsi="Times New Roman"/>
          <w:sz w:val="18"/>
          <w:szCs w:val="18"/>
          <w:color w:val="auto"/>
        </w:rPr>
        <w:t>” means $10,000,000.</w:t>
      </w:r>
    </w:p>
    <w:p>
      <w:pPr>
        <w:spacing w:after="0" w:line="171" w:lineRule="exact"/>
        <w:rPr>
          <w:sz w:val="20"/>
          <w:szCs w:val="20"/>
          <w:color w:val="auto"/>
        </w:rPr>
      </w:pPr>
    </w:p>
    <w:p>
      <w:pPr>
        <w:ind w:right="60" w:firstLine="456"/>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Transaction Costs</w:t>
      </w:r>
      <w:r>
        <w:rPr>
          <w:rFonts w:ascii="Times New Roman" w:cs="Times New Roman" w:eastAsia="Times New Roman" w:hAnsi="Times New Roman"/>
          <w:sz w:val="18"/>
          <w:szCs w:val="18"/>
          <w:color w:val="auto"/>
        </w:rPr>
        <w:t>” means all fees, expenses, costs, and other amounts related to (i) the Transactions, (ii) any amendments, consents or waivers of the Domestic Loan Documents (including all such fees, expenses, costs and other amounts incurred during any workout, restructuring or negotiations in respect thereof), in each case, whether or not consummated, and (iii) any Permitted Acquisitions, whether or not consummated (including, without limitation, any financing fees, merger and acquisition fees, legal fees and expenses, due diligence fees, appraisal fees or any other fees and expenses in connection therewith), in each case to the extent paid within twelve (12) months of either the Start Date, such amendment, consent or waiver of the Domestic Loan Documents, or such Permitted Acquisition, as applicable.</w:t>
      </w:r>
    </w:p>
    <w:p>
      <w:pPr>
        <w:spacing w:after="0" w:line="139" w:lineRule="exact"/>
        <w:rPr>
          <w:sz w:val="20"/>
          <w:szCs w:val="20"/>
          <w:color w:val="auto"/>
        </w:rPr>
      </w:pPr>
    </w:p>
    <w:p>
      <w:pPr>
        <w:ind w:right="220" w:firstLine="456"/>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Transactions</w:t>
      </w:r>
      <w:r>
        <w:rPr>
          <w:rFonts w:ascii="Times New Roman" w:cs="Times New Roman" w:eastAsia="Times New Roman" w:hAnsi="Times New Roman"/>
          <w:sz w:val="18"/>
          <w:szCs w:val="18"/>
          <w:color w:val="auto"/>
        </w:rPr>
        <w:t>” means, collectively, (a) the Refinancing (as defined in the Domestic Credit Agreement), (b) the initial Extensions of Credit (as defined in the Domestic Credit Agreement), (c) the execution and delivery of the Domestic Loan Documents and (d) the payment of the Transaction Costs incurred in connection with the foregoing.</w:t>
      </w:r>
    </w:p>
    <w:p>
      <w:pPr>
        <w:spacing w:after="0" w:line="132" w:lineRule="exact"/>
        <w:rPr>
          <w:sz w:val="20"/>
          <w:szCs w:val="20"/>
          <w:color w:val="auto"/>
        </w:rPr>
      </w:pPr>
    </w:p>
    <w:p>
      <w:pPr>
        <w:ind w:right="400" w:firstLine="456"/>
        <w:spacing w:after="0" w:line="27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Travelers</w:t>
      </w:r>
      <w:r>
        <w:rPr>
          <w:rFonts w:ascii="Times New Roman" w:cs="Times New Roman" w:eastAsia="Times New Roman" w:hAnsi="Times New Roman"/>
          <w:sz w:val="18"/>
          <w:szCs w:val="18"/>
          <w:color w:val="auto"/>
        </w:rPr>
        <w:t>” means, collectively, Travelers Casualty and Surety Company and Travelers Casualty and Surety Company of America, together with their successors and assigns.</w:t>
      </w:r>
    </w:p>
    <w:p>
      <w:pPr>
        <w:spacing w:after="0" w:line="120" w:lineRule="exact"/>
        <w:rPr>
          <w:sz w:val="20"/>
          <w:szCs w:val="20"/>
          <w:color w:val="auto"/>
        </w:rPr>
      </w:pPr>
    </w:p>
    <w:p>
      <w:pPr>
        <w:ind w:right="520" w:firstLine="456"/>
        <w:spacing w:after="0" w:line="27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Travelers’ Termination Agreement</w:t>
      </w:r>
      <w:r>
        <w:rPr>
          <w:rFonts w:ascii="Times New Roman" w:cs="Times New Roman" w:eastAsia="Times New Roman" w:hAnsi="Times New Roman"/>
          <w:sz w:val="18"/>
          <w:szCs w:val="18"/>
          <w:color w:val="auto"/>
        </w:rPr>
        <w:t>” means that certain Termination and Release Agreement, dated as of June 4, 2012, among the Borrower, certain Subsidiaries of the Borrower party thereto and Travelers.</w:t>
      </w:r>
    </w:p>
    <w:p>
      <w:pPr>
        <w:spacing w:after="0" w:line="12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United States</w:t>
      </w:r>
      <w:r>
        <w:rPr>
          <w:rFonts w:ascii="Times New Roman" w:cs="Times New Roman" w:eastAsia="Times New Roman" w:hAnsi="Times New Roman"/>
          <w:sz w:val="18"/>
          <w:szCs w:val="18"/>
          <w:color w:val="auto"/>
        </w:rPr>
        <w:t>” means the United States of America.</w:t>
      </w:r>
    </w:p>
    <w:p>
      <w:pPr>
        <w:spacing w:after="0" w:line="1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Yankee</w:t>
      </w:r>
      <w:r>
        <w:rPr>
          <w:rFonts w:ascii="Times New Roman" w:cs="Times New Roman" w:eastAsia="Times New Roman" w:hAnsi="Times New Roman"/>
          <w:sz w:val="18"/>
          <w:szCs w:val="18"/>
          <w:color w:val="auto"/>
        </w:rPr>
        <w:t>” means Yankee Environmental Services, LLC, a Delaware limited liability company.</w:t>
      </w:r>
    </w:p>
    <w:p>
      <w:pPr>
        <w:spacing w:after="0" w:line="171" w:lineRule="exact"/>
        <w:rPr>
          <w:sz w:val="20"/>
          <w:szCs w:val="20"/>
          <w:color w:val="auto"/>
        </w:rPr>
      </w:pPr>
    </w:p>
    <w:p>
      <w:pPr>
        <w:ind w:right="180" w:firstLine="456"/>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Zurich</w:t>
      </w:r>
      <w:r>
        <w:rPr>
          <w:rFonts w:ascii="Times New Roman" w:cs="Times New Roman" w:eastAsia="Times New Roman" w:hAnsi="Times New Roman"/>
          <w:sz w:val="18"/>
          <w:szCs w:val="18"/>
          <w:color w:val="auto"/>
        </w:rPr>
        <w:t>” means, collectively, Zurich American Insurance Company and its subsidiaries and Affiliates, including, without limitation, Fidelity and Deposit Company of Maryland, Colonia American Casualty and Surety Company, and American Guarantee and Liability Insurance Company, together with their successors and assigns.</w:t>
      </w:r>
    </w:p>
    <w:p>
      <w:pPr>
        <w:spacing w:after="0" w:line="132" w:lineRule="exact"/>
        <w:rPr>
          <w:sz w:val="20"/>
          <w:szCs w:val="20"/>
          <w:color w:val="auto"/>
        </w:rPr>
      </w:pPr>
    </w:p>
    <w:p>
      <w:pPr>
        <w:ind w:right="180" w:firstLine="456"/>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Zurich Agreement</w:t>
      </w:r>
      <w:r>
        <w:rPr>
          <w:rFonts w:ascii="Times New Roman" w:cs="Times New Roman" w:eastAsia="Times New Roman" w:hAnsi="Times New Roman"/>
          <w:sz w:val="18"/>
          <w:szCs w:val="18"/>
          <w:color w:val="auto"/>
        </w:rPr>
        <w:t>” means, collectively, (i) that certain Agreement of Indemnity, dated as of September 7, 2011, executed by the Borrower and the Subsidiaries of the Borrower party there as “Contractors” and Indemnitors”, in favor of Zurich and (ii) the Equipment Utilization Agreement, each as amended, restated, supplemented or otherwise modified from time to time.</w:t>
      </w:r>
    </w:p>
    <w:p>
      <w:pPr>
        <w:spacing w:after="0" w:line="1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ANNEX I – Page 8</w:t>
      </w:r>
    </w:p>
    <w:p>
      <w:pPr>
        <w:sectPr>
          <w:pgSz w:w="11900" w:h="16838" w:orient="portrait"/>
          <w:cols w:equalWidth="0" w:num="1">
            <w:col w:w="11400"/>
          </w:cols>
          <w:pgMar w:left="240" w:top="274" w:right="259" w:bottom="1440" w:gutter="0" w:footer="0" w:header="0"/>
        </w:sectPr>
      </w:pPr>
    </w:p>
    <w:bookmarkStart w:id="129" w:name="page130"/>
    <w:bookmarkEnd w:id="129"/>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ANNEX II</w:t>
      </w:r>
    </w:p>
    <w:p>
      <w:pPr>
        <w:spacing w:after="0" w:line="173" w:lineRule="exact"/>
        <w:rPr>
          <w:sz w:val="20"/>
          <w:szCs w:val="20"/>
          <w:color w:val="auto"/>
        </w:rPr>
      </w:pPr>
    </w:p>
    <w:p>
      <w:pPr>
        <w:ind w:right="660" w:firstLine="456"/>
        <w:spacing w:after="0" w:line="27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means, with respect to a specified Person, another Person that directly, or indirectly through one or more intermediaries, Controls or is Controlled by or is under common Control with the Person specified.</w:t>
      </w:r>
    </w:p>
    <w:p>
      <w:pPr>
        <w:spacing w:after="0" w:line="120" w:lineRule="exact"/>
        <w:rPr>
          <w:sz w:val="20"/>
          <w:szCs w:val="20"/>
          <w:color w:val="auto"/>
        </w:rPr>
      </w:pPr>
    </w:p>
    <w:p>
      <w:pPr>
        <w:jc w:val="both"/>
        <w:ind w:right="20" w:firstLine="456"/>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Annual Audited Financial Statements</w:t>
      </w:r>
      <w:r>
        <w:rPr>
          <w:rFonts w:ascii="Times New Roman" w:cs="Times New Roman" w:eastAsia="Times New Roman" w:hAnsi="Times New Roman"/>
          <w:sz w:val="18"/>
          <w:szCs w:val="18"/>
          <w:color w:val="auto"/>
        </w:rPr>
        <w:t>” shall mean, as to any Person, the year-end consolidated financial statements of such Person (consolidated balance sheet, consolidated statement of earnings, and consolidated cash flow statements), all prepared in conformity with GAAP and audited by Deloitte &amp; Touche LLP or other independent certified public accountants reasonably satisfactory to the Bank and Ex-Im Bank. Annual Financial Statements shall also include unaudited consolidating financial statements.</w:t>
      </w:r>
    </w:p>
    <w:p>
      <w:pPr>
        <w:spacing w:after="0" w:line="136" w:lineRule="exact"/>
        <w:rPr>
          <w:sz w:val="20"/>
          <w:szCs w:val="20"/>
          <w:color w:val="auto"/>
        </w:rPr>
      </w:pPr>
    </w:p>
    <w:p>
      <w:pPr>
        <w:jc w:val="center"/>
        <w:spacing w:after="0" w:line="289"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Capital Stock</w:t>
      </w:r>
      <w:r>
        <w:rPr>
          <w:rFonts w:ascii="Times New Roman" w:cs="Times New Roman" w:eastAsia="Times New Roman" w:hAnsi="Times New Roman"/>
          <w:sz w:val="16"/>
          <w:szCs w:val="16"/>
          <w:color w:val="auto"/>
        </w:rPr>
        <w:t>” means (a) in the case of a corporation, capital stock, (b) in the case of an association or business entity, any and all shares, interests, participations, rights or other equivalents (however designated) of capital stock, (c) in the case of a partnership, partnership interests (whether general or limited),</w:t>
      </w:r>
    </w:p>
    <w:p>
      <w:pPr>
        <w:spacing w:after="0" w:line="1" w:lineRule="exact"/>
        <w:rPr>
          <w:sz w:val="20"/>
          <w:szCs w:val="20"/>
          <w:color w:val="auto"/>
        </w:rPr>
      </w:pPr>
    </w:p>
    <w:p>
      <w:pPr>
        <w:ind w:right="140" w:firstLine="8"/>
        <w:spacing w:after="0" w:line="323" w:lineRule="auto"/>
        <w:tabs>
          <w:tab w:leader="none" w:pos="249" w:val="left"/>
        </w:tabs>
        <w:numPr>
          <w:ilvl w:val="0"/>
          <w:numId w:val="6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the case of a limited liability company, membership interests, (e) any other interest or participation that confers on a Person the right to receive a share of the profits and losses of, or distributions of assets of, the issuing Person and (f) any and all warrants, rights or options to purchase any of the foregoing.</w:t>
      </w:r>
    </w:p>
    <w:p>
      <w:pPr>
        <w:spacing w:after="0" w:line="8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Debt</w:t>
      </w:r>
      <w:r>
        <w:rPr>
          <w:rFonts w:ascii="Times New Roman" w:cs="Times New Roman" w:eastAsia="Times New Roman" w:hAnsi="Times New Roman"/>
          <w:sz w:val="18"/>
          <w:szCs w:val="18"/>
          <w:color w:val="auto"/>
        </w:rPr>
        <w:t>” means, with respect to any Person at any date and without duplication, the sum of the following:</w:t>
      </w:r>
    </w:p>
    <w:p>
      <w:pPr>
        <w:spacing w:after="0" w:line="171" w:lineRule="exact"/>
        <w:rPr>
          <w:sz w:val="20"/>
          <w:szCs w:val="20"/>
          <w:color w:val="auto"/>
        </w:rPr>
      </w:pPr>
    </w:p>
    <w:p>
      <w:pPr>
        <w:ind w:right="220" w:firstLine="464"/>
        <w:spacing w:after="0" w:line="275" w:lineRule="auto"/>
        <w:tabs>
          <w:tab w:leader="none" w:pos="695"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indebtedness for borrowed money including, but not limited to, obligations evidenced by bonds, debentures, notes or other similar instruments of such Person;</w:t>
      </w:r>
    </w:p>
    <w:p>
      <w:pPr>
        <w:spacing w:after="0" w:line="119" w:lineRule="exact"/>
        <w:rPr>
          <w:rFonts w:ascii="Times New Roman" w:cs="Times New Roman" w:eastAsia="Times New Roman" w:hAnsi="Times New Roman"/>
          <w:sz w:val="18"/>
          <w:szCs w:val="18"/>
          <w:color w:val="auto"/>
        </w:rPr>
      </w:pPr>
    </w:p>
    <w:p>
      <w:pPr>
        <w:ind w:right="220" w:firstLine="464"/>
        <w:spacing w:after="0" w:line="262" w:lineRule="auto"/>
        <w:tabs>
          <w:tab w:leader="none" w:pos="705"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obligations of such Person to pay the deferred purchase price of property or services (including, without limitation, all obligations under earn-out agreements), except (i) trade payables incurred in the ordinary course of such Person’s business, and (ii) liabilities associated with customer prepayments and deposits in the ordinary course of such Person’s business;</w:t>
      </w:r>
    </w:p>
    <w:p>
      <w:pPr>
        <w:spacing w:after="0" w:line="132" w:lineRule="exact"/>
        <w:rPr>
          <w:rFonts w:ascii="Times New Roman" w:cs="Times New Roman" w:eastAsia="Times New Roman" w:hAnsi="Times New Roman"/>
          <w:sz w:val="18"/>
          <w:szCs w:val="18"/>
          <w:color w:val="auto"/>
        </w:rPr>
      </w:pPr>
    </w:p>
    <w:p>
      <w:pPr>
        <w:ind w:right="360" w:firstLine="464"/>
        <w:spacing w:after="0" w:line="262" w:lineRule="auto"/>
        <w:tabs>
          <w:tab w:leader="none" w:pos="695"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capitalized amount of all obligations of such Person as lessee under Capital Leases and Synthetic Leases (if such lease were accounted for as a Capital Lease) that would appear on a balance sheet of such Person prepared in accordance with GAAP that is attributable to the principal amount of such obligations;</w:t>
      </w:r>
    </w:p>
    <w:p>
      <w:pPr>
        <w:spacing w:after="0" w:line="132" w:lineRule="exact"/>
        <w:rPr>
          <w:rFonts w:ascii="Times New Roman" w:cs="Times New Roman" w:eastAsia="Times New Roman" w:hAnsi="Times New Roman"/>
          <w:sz w:val="18"/>
          <w:szCs w:val="18"/>
          <w:color w:val="auto"/>
        </w:rPr>
      </w:pPr>
    </w:p>
    <w:p>
      <w:pPr>
        <w:ind w:right="460" w:firstLine="464"/>
        <w:spacing w:after="0" w:line="275" w:lineRule="auto"/>
        <w:tabs>
          <w:tab w:leader="none" w:pos="705"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obligations of such Person under conditional sale or other title retention agreements relating to property purchased by such Person (other than customary reservations or retentions of title under agreements with suppliers entered into in the ordinary course of business);</w:t>
      </w:r>
    </w:p>
    <w:p>
      <w:pPr>
        <w:spacing w:after="0" w:line="119" w:lineRule="exact"/>
        <w:rPr>
          <w:rFonts w:ascii="Times New Roman" w:cs="Times New Roman" w:eastAsia="Times New Roman" w:hAnsi="Times New Roman"/>
          <w:sz w:val="18"/>
          <w:szCs w:val="18"/>
          <w:color w:val="auto"/>
        </w:rPr>
      </w:pPr>
    </w:p>
    <w:p>
      <w:pPr>
        <w:ind w:right="140" w:firstLine="464"/>
        <w:spacing w:after="0" w:line="275" w:lineRule="auto"/>
        <w:tabs>
          <w:tab w:leader="none" w:pos="695"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Debt of any other Person secured by a Lien on any asset owned by such Person even though such Person has not assumed or become liable for the payment of such obligations;</w:t>
      </w:r>
    </w:p>
    <w:p>
      <w:pPr>
        <w:spacing w:after="0" w:line="119" w:lineRule="exact"/>
        <w:rPr>
          <w:rFonts w:ascii="Times New Roman" w:cs="Times New Roman" w:eastAsia="Times New Roman" w:hAnsi="Times New Roman"/>
          <w:sz w:val="18"/>
          <w:szCs w:val="18"/>
          <w:color w:val="auto"/>
        </w:rPr>
      </w:pPr>
    </w:p>
    <w:p>
      <w:pPr>
        <w:ind w:right="40" w:firstLine="464"/>
        <w:spacing w:after="0" w:line="262" w:lineRule="auto"/>
        <w:tabs>
          <w:tab w:leader="none" w:pos="676"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obligations, contingent or otherwise, of such Person relative to the face amount of letters of credit or bank guarantees, whether or not drawn, including, without limitation, any Reimbursement Obligation (as defined in the Domestic Credit Agreement), and banker’s acceptances issued for the account of such Person;</w:t>
      </w:r>
    </w:p>
    <w:p>
      <w:pPr>
        <w:spacing w:after="0" w:line="11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ANNEX II – Page 1</w:t>
      </w:r>
    </w:p>
    <w:p>
      <w:pPr>
        <w:sectPr>
          <w:pgSz w:w="11900" w:h="16838" w:orient="portrait"/>
          <w:cols w:equalWidth="0" w:num="1">
            <w:col w:w="11340"/>
          </w:cols>
          <w:pgMar w:left="240" w:top="272" w:right="319" w:bottom="1440" w:gutter="0" w:footer="0" w:header="0"/>
        </w:sectPr>
      </w:pPr>
    </w:p>
    <w:bookmarkStart w:id="130" w:name="page131"/>
    <w:bookmarkEnd w:id="130"/>
    <w:p>
      <w:pPr>
        <w:ind w:left="900" w:hanging="446"/>
        <w:spacing w:after="0"/>
        <w:tabs>
          <w:tab w:leader="none" w:pos="90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all obligations of any such Person in respect of Disqualified Capital Stock;</w:t>
      </w:r>
    </w:p>
    <w:p>
      <w:pPr>
        <w:spacing w:after="0" w:line="9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net obligations of such Person under any Hedge Agreements;</w:t>
      </w:r>
    </w:p>
    <w:p>
      <w:pPr>
        <w:spacing w:after="0" w:line="9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Bonding Obligations; and</w:t>
      </w:r>
    </w:p>
    <w:p>
      <w:pPr>
        <w:spacing w:after="0" w:line="9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Guaranty Obligations of such Person with respect to any of the foregoing.</w:t>
      </w:r>
    </w:p>
    <w:p>
      <w:pPr>
        <w:spacing w:after="0" w:line="171" w:lineRule="exact"/>
        <w:rPr>
          <w:sz w:val="20"/>
          <w:szCs w:val="20"/>
          <w:color w:val="auto"/>
        </w:rPr>
      </w:pPr>
    </w:p>
    <w:p>
      <w:pPr>
        <w:ind w:right="80"/>
        <w:spacing w:after="0" w:line="262" w:lineRule="auto"/>
        <w:rPr>
          <w:sz w:val="20"/>
          <w:szCs w:val="20"/>
          <w:color w:val="auto"/>
        </w:rPr>
      </w:pPr>
      <w:r>
        <w:rPr>
          <w:rFonts w:ascii="Times New Roman" w:cs="Times New Roman" w:eastAsia="Times New Roman" w:hAnsi="Times New Roman"/>
          <w:sz w:val="18"/>
          <w:szCs w:val="18"/>
          <w:color w:val="auto"/>
        </w:rPr>
        <w:t>For all purposes hereof, the Debt of any Person shall include the Debt of any partnership in which such Person is a general partner, unless such Debt is expressly made non-recourse to such Person. The amount of any net obligation under any Hedge Agreement on any date shall be deemed to be the Hedge Termination Value thereof as of such date.</w:t>
      </w:r>
    </w:p>
    <w:p>
      <w:pPr>
        <w:spacing w:after="0" w:line="132" w:lineRule="exact"/>
        <w:rPr>
          <w:sz w:val="20"/>
          <w:szCs w:val="20"/>
          <w:color w:val="auto"/>
        </w:rPr>
      </w:pPr>
    </w:p>
    <w:p>
      <w:pPr>
        <w:ind w:right="180" w:firstLine="456"/>
        <w:spacing w:after="0" w:line="27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Domestic Credit Agreement</w:t>
      </w:r>
      <w:r>
        <w:rPr>
          <w:rFonts w:ascii="Times New Roman" w:cs="Times New Roman" w:eastAsia="Times New Roman" w:hAnsi="Times New Roman"/>
          <w:sz w:val="18"/>
          <w:szCs w:val="18"/>
          <w:color w:val="auto"/>
        </w:rPr>
        <w:t>” shall mean the Credit Agreement, dated as of June 4, 2012, among the Borrower, the other Loan Parties from time to time party thereto, the lenders from time to time party thereto, certain agents and Wells Fargo, as Administrative Agent.</w:t>
      </w:r>
    </w:p>
    <w:p>
      <w:pPr>
        <w:spacing w:after="0" w:line="120" w:lineRule="exact"/>
        <w:rPr>
          <w:sz w:val="20"/>
          <w:szCs w:val="20"/>
          <w:color w:val="auto"/>
        </w:rPr>
      </w:pPr>
    </w:p>
    <w:p>
      <w:pPr>
        <w:ind w:right="240" w:firstLine="456"/>
        <w:spacing w:after="0" w:line="27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Domestic Lenders</w:t>
      </w:r>
      <w:r>
        <w:rPr>
          <w:rFonts w:ascii="Times New Roman" w:cs="Times New Roman" w:eastAsia="Times New Roman" w:hAnsi="Times New Roman"/>
          <w:sz w:val="18"/>
          <w:szCs w:val="18"/>
          <w:color w:val="auto"/>
        </w:rPr>
        <w:t>” shall mean Wells Fargo, as Administrative Agent, and the other agents, arrangers, issuers, and lenders now or hereafter party to the Domestic Credit Agreement.</w:t>
      </w:r>
    </w:p>
    <w:p>
      <w:pPr>
        <w:spacing w:after="0" w:line="120" w:lineRule="exact"/>
        <w:rPr>
          <w:sz w:val="20"/>
          <w:szCs w:val="20"/>
          <w:color w:val="auto"/>
        </w:rPr>
      </w:pPr>
    </w:p>
    <w:p>
      <w:pPr>
        <w:ind w:right="400" w:firstLine="456"/>
        <w:spacing w:after="0" w:line="27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Existing Letters of Credit</w:t>
      </w:r>
      <w:r>
        <w:rPr>
          <w:rFonts w:ascii="Times New Roman" w:cs="Times New Roman" w:eastAsia="Times New Roman" w:hAnsi="Times New Roman"/>
          <w:sz w:val="18"/>
          <w:szCs w:val="18"/>
          <w:color w:val="auto"/>
        </w:rPr>
        <w:t xml:space="preserve">” means those letters of credit existing, undrawn and outstanding, on the Start Date and identified on </w:t>
      </w:r>
      <w:r>
        <w:rPr>
          <w:rFonts w:ascii="Times New Roman" w:cs="Times New Roman" w:eastAsia="Times New Roman" w:hAnsi="Times New Roman"/>
          <w:sz w:val="18"/>
          <w:szCs w:val="18"/>
          <w:u w:val="single" w:color="auto"/>
          <w:color w:val="auto"/>
        </w:rPr>
        <w:t>Schedule 1.1(b)</w:t>
      </w:r>
      <w:r>
        <w:rPr>
          <w:rFonts w:ascii="Times New Roman" w:cs="Times New Roman" w:eastAsia="Times New Roman" w:hAnsi="Times New Roman"/>
          <w:sz w:val="18"/>
          <w:szCs w:val="18"/>
          <w:color w:val="auto"/>
        </w:rPr>
        <w:t xml:space="preserve"> to the Domestic Credit Agreement.</w:t>
      </w:r>
    </w:p>
    <w:p>
      <w:pPr>
        <w:spacing w:after="0" w:line="120"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GAAP</w:t>
      </w:r>
      <w:r>
        <w:rPr>
          <w:rFonts w:ascii="Times New Roman" w:cs="Times New Roman" w:eastAsia="Times New Roman" w:hAnsi="Times New Roman"/>
          <w:sz w:val="18"/>
          <w:szCs w:val="18"/>
          <w:color w:val="auto"/>
        </w:rPr>
        <w:t>” means generally accepted accounting principles in the United States set forth in the opinions and pronouncements of the Accounting Principles Board and the American Institute of Certified Public Accountants and statements and pronouncements of the Financial Accounting Standards Board or such other principles as may be approved by a significant segment of the accounting profession in the United States, that are applicable to the circumstances as of the date of determination, consistently applied.</w:t>
      </w:r>
    </w:p>
    <w:p>
      <w:pPr>
        <w:spacing w:after="0" w:line="136" w:lineRule="exact"/>
        <w:rPr>
          <w:sz w:val="20"/>
          <w:szCs w:val="20"/>
          <w:color w:val="auto"/>
        </w:rPr>
      </w:pPr>
    </w:p>
    <w:p>
      <w:pPr>
        <w:ind w:right="20" w:firstLine="456"/>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Investment</w:t>
      </w:r>
      <w:r>
        <w:rPr>
          <w:rFonts w:ascii="Times New Roman" w:cs="Times New Roman" w:eastAsia="Times New Roman" w:hAnsi="Times New Roman"/>
          <w:sz w:val="18"/>
          <w:szCs w:val="18"/>
          <w:color w:val="auto"/>
        </w:rPr>
        <w:t xml:space="preserve">” means, as to any Person, any direct or indirect acquisition or investment by such Person, whether by means of (a) the purchase or other acquisition of Capital Stock or debt or other securities of another Person, (b) a loan, advance or capital contribution to, guaranty or assumption of debt of, or purchase or other acquisition of any other debt or equity participation or interest in, another Person, including any partnership or joint venture interest in such other Person and any arrangement pursuant to which the investor incurs debt of the type referred to in </w:t>
      </w:r>
      <w:r>
        <w:rPr>
          <w:rFonts w:ascii="Times New Roman" w:cs="Times New Roman" w:eastAsia="Times New Roman" w:hAnsi="Times New Roman"/>
          <w:sz w:val="18"/>
          <w:szCs w:val="18"/>
          <w:u w:val="single" w:color="auto"/>
          <w:color w:val="auto"/>
        </w:rPr>
        <w:t>clause (j)</w:t>
      </w:r>
      <w:r>
        <w:rPr>
          <w:rFonts w:ascii="Times New Roman" w:cs="Times New Roman" w:eastAsia="Times New Roman" w:hAnsi="Times New Roman"/>
          <w:sz w:val="18"/>
          <w:szCs w:val="18"/>
          <w:color w:val="auto"/>
        </w:rPr>
        <w:t xml:space="preserve"> of the definition of “Debt” set forth in this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in respect of such Person, or (c) the purchase or other acquisition (in one transaction or a series of transactions) of all or substantially all of the property and assets or business of another Person or assets constituting a business unit, line of business or division of such Person.</w:t>
      </w:r>
    </w:p>
    <w:p>
      <w:pPr>
        <w:spacing w:after="0" w:line="139" w:lineRule="exact"/>
        <w:rPr>
          <w:sz w:val="20"/>
          <w:szCs w:val="20"/>
          <w:color w:val="auto"/>
        </w:rPr>
      </w:pPr>
    </w:p>
    <w:p>
      <w:pPr>
        <w:ind w:right="40" w:firstLine="456"/>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Lien</w:t>
      </w:r>
      <w:r>
        <w:rPr>
          <w:rFonts w:ascii="Times New Roman" w:cs="Times New Roman" w:eastAsia="Times New Roman" w:hAnsi="Times New Roman"/>
          <w:sz w:val="18"/>
          <w:szCs w:val="18"/>
          <w:color w:val="auto"/>
        </w:rPr>
        <w:t xml:space="preserve">” means, with respect to any asset, any mortgage, leasehold mortgage, lien, pledge, charge, security interest, hypothecation or encumbrance of any kind in respect of such asset. For the purposes of this Agreement, a Person shall be deemed to own subject to a Lien any asset which it has acquired or holds subject to the interest of a vendor or lessor under any conditional sale agreement, Capital Lease or other title retention agreement relating to such asset;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in no event shall an Operating Lease in and of itself be deemed a Lien regardless of GAAP treatment.</w:t>
      </w:r>
    </w:p>
    <w:p>
      <w:pPr>
        <w:spacing w:after="0" w:line="1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ANNEX II – Page 2</w:t>
      </w:r>
    </w:p>
    <w:p>
      <w:pPr>
        <w:sectPr>
          <w:pgSz w:w="11900" w:h="16838" w:orient="portrait"/>
          <w:cols w:equalWidth="0" w:num="1">
            <w:col w:w="11380"/>
          </w:cols>
          <w:pgMar w:left="240" w:top="274" w:right="279" w:bottom="1440" w:gutter="0" w:footer="0" w:header="0"/>
        </w:sectPr>
      </w:pPr>
    </w:p>
    <w:bookmarkStart w:id="131" w:name="page132"/>
    <w:bookmarkEnd w:id="131"/>
    <w:p>
      <w:pPr>
        <w:ind w:right="160" w:firstLine="456"/>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Material Adverse Effect</w:t>
      </w:r>
      <w:r>
        <w:rPr>
          <w:rFonts w:ascii="Times New Roman" w:cs="Times New Roman" w:eastAsia="Times New Roman" w:hAnsi="Times New Roman"/>
          <w:sz w:val="18"/>
          <w:szCs w:val="18"/>
          <w:color w:val="auto"/>
        </w:rPr>
        <w:t>” means, with respect to the Borrower and its Subsidiaries, (a) a material adverse effect on the properties, business, operations, assets, liabilities or condition (financial or otherwise) of such Persons, taken as a whole, (b) a material impairment of the rights and remedies of the Bank under any International Loan Document or (c) a material impairment of the legality, validity, binding effect or enforceability against any Borrower or any of its Subsidiaries of any International Loan Document to which it is a party.</w:t>
      </w:r>
    </w:p>
    <w:p>
      <w:pPr>
        <w:spacing w:after="0" w:line="136" w:lineRule="exact"/>
        <w:rPr>
          <w:sz w:val="20"/>
          <w:szCs w:val="20"/>
          <w:color w:val="auto"/>
        </w:rPr>
      </w:pPr>
    </w:p>
    <w:p>
      <w:pPr>
        <w:jc w:val="both"/>
        <w:ind w:right="60" w:firstLine="456"/>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Prime Rate</w:t>
      </w:r>
      <w:r>
        <w:rPr>
          <w:rFonts w:ascii="Times New Roman" w:cs="Times New Roman" w:eastAsia="Times New Roman" w:hAnsi="Times New Roman"/>
          <w:sz w:val="18"/>
          <w:szCs w:val="18"/>
          <w:color w:val="auto"/>
        </w:rPr>
        <w:t>” means, at any time, the rate of interest per annum publicly announced from time to time by the Administrative Agent as its prime rate. Each change in the Prime Rate shall be effective as of the opening of business on the day such change in such prime rate occurs. The parties hereto acknowledge that the rate announced publicly by the Administrative Agent as its prime rate is an index or base rate and shall not necessarily be its lowest or best rate charged to its customers or other banks.</w:t>
      </w:r>
    </w:p>
    <w:p>
      <w:pPr>
        <w:spacing w:after="0" w:line="136" w:lineRule="exact"/>
        <w:rPr>
          <w:sz w:val="20"/>
          <w:szCs w:val="20"/>
          <w:color w:val="auto"/>
        </w:rPr>
      </w:pPr>
    </w:p>
    <w:p>
      <w:pPr>
        <w:ind w:right="540" w:firstLine="456"/>
        <w:spacing w:after="0" w:line="27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Property</w:t>
      </w:r>
      <w:r>
        <w:rPr>
          <w:rFonts w:ascii="Times New Roman" w:cs="Times New Roman" w:eastAsia="Times New Roman" w:hAnsi="Times New Roman"/>
          <w:sz w:val="18"/>
          <w:szCs w:val="18"/>
          <w:color w:val="auto"/>
        </w:rPr>
        <w:t>” means any right or interest in or to property of any kind whatsoever, whether real, personal or mixed and whether tangible or intangible, including, without limitation, Capital Stock.</w:t>
      </w:r>
    </w:p>
    <w:p>
      <w:pPr>
        <w:spacing w:after="0" w:line="12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Restricted Payment</w:t>
      </w:r>
      <w:r>
        <w:rPr>
          <w:rFonts w:ascii="Times New Roman" w:cs="Times New Roman" w:eastAsia="Times New Roman" w:hAnsi="Times New Roman"/>
          <w:sz w:val="18"/>
          <w:szCs w:val="18"/>
          <w:color w:val="auto"/>
        </w:rPr>
        <w:t xml:space="preserve">” has the meaning assigned thereto in </w:t>
      </w:r>
      <w:r>
        <w:rPr>
          <w:rFonts w:ascii="Times New Roman" w:cs="Times New Roman" w:eastAsia="Times New Roman" w:hAnsi="Times New Roman"/>
          <w:sz w:val="18"/>
          <w:szCs w:val="18"/>
          <w:u w:val="single" w:color="auto"/>
          <w:color w:val="auto"/>
        </w:rPr>
        <w:t>Section 9.6</w:t>
      </w:r>
      <w:r>
        <w:rPr>
          <w:rFonts w:ascii="Times New Roman" w:cs="Times New Roman" w:eastAsia="Times New Roman" w:hAnsi="Times New Roman"/>
          <w:sz w:val="18"/>
          <w:szCs w:val="18"/>
          <w:color w:val="auto"/>
        </w:rPr>
        <w:t xml:space="preserve"> (or comparable provision) of the Domestic Credit Agreement.</w:t>
      </w:r>
    </w:p>
    <w:p>
      <w:pPr>
        <w:spacing w:after="0" w:line="171"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means as to any Person, any corporation, partnership, limited liability company or other entity of which more than fifty percent (50%) of the outstanding Capital Stock having ordinary voting power to elect a majority of the board of directors (or equivalent governing body) or other managers of such corporation, partnership, limited liability company or other entity is at the time owned by (directly or indirectly) or the management is otherwise controlled by (directly or indirectly) such Person (irrespective of whether, at the time, Capital Stock of any other class or classes of such corporation, partnership, limited liability company or other entity shall have or might have voting power by reason of the happening of any contingency). Unless otherwise qualified, references to “Subsidiary” or “Subsidiaries” herein shall refer to those of the Borrower.</w:t>
      </w:r>
    </w:p>
    <w:p>
      <w:pPr>
        <w:spacing w:after="0" w:line="139" w:lineRule="exact"/>
        <w:rPr>
          <w:sz w:val="20"/>
          <w:szCs w:val="20"/>
          <w:color w:val="auto"/>
        </w:rPr>
      </w:pPr>
    </w:p>
    <w:p>
      <w:pPr>
        <w:ind w:firstLine="456"/>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Voting Stock</w:t>
      </w:r>
      <w:r>
        <w:rPr>
          <w:rFonts w:ascii="Times New Roman" w:cs="Times New Roman" w:eastAsia="Times New Roman" w:hAnsi="Times New Roman"/>
          <w:sz w:val="18"/>
          <w:szCs w:val="18"/>
          <w:color w:val="auto"/>
        </w:rPr>
        <w:t>” means securities or other equity interests of any class or classes of a corporation, partnership, limited liability company or other association or entity the holders of which are ordinarily, in the absence of contingencies, entitled to elect a majority of the board of directors, managers, general partners, managing members or Persons performing similar functions.</w:t>
      </w:r>
    </w:p>
    <w:p>
      <w:pPr>
        <w:spacing w:after="0" w:line="11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ANNEX II – Page 3</w:t>
      </w:r>
    </w:p>
    <w:p>
      <w:pPr>
        <w:sectPr>
          <w:pgSz w:w="11900" w:h="16838" w:orient="portrait"/>
          <w:cols w:equalWidth="0" w:num="1">
            <w:col w:w="11360"/>
          </w:cols>
          <w:pgMar w:left="240" w:top="274" w:right="299" w:bottom="1440" w:gutter="0" w:footer="0" w:header="0"/>
        </w:sectPr>
      </w:pPr>
    </w:p>
    <w:bookmarkStart w:id="132" w:name="page133"/>
    <w:bookmarkEnd w:id="132"/>
    <w:p>
      <w:pPr>
        <w:jc w:val="right"/>
        <w:spacing w:after="0"/>
        <w:rPr>
          <w:sz w:val="20"/>
          <w:szCs w:val="20"/>
          <w:color w:val="auto"/>
        </w:rPr>
      </w:pPr>
      <w:r>
        <w:rPr>
          <w:rFonts w:ascii="Times New Roman" w:cs="Times New Roman" w:eastAsia="Times New Roman" w:hAnsi="Times New Roman"/>
          <w:sz w:val="18"/>
          <w:szCs w:val="18"/>
          <w:b w:val="1"/>
          <w:bCs w:val="1"/>
          <w:color w:val="auto"/>
        </w:rPr>
        <w:t>Exhibit 10.41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840740" cy="61722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840740" cy="617220"/>
                    </a:xfrm>
                    <a:prstGeom prst="rect">
                      <a:avLst/>
                    </a:prstGeom>
                    <a:noFill/>
                  </pic:spPr>
                </pic:pic>
              </a:graphicData>
            </a:graphic>
          </wp:anchor>
        </w:drawing>
      </w:r>
    </w:p>
    <w:p>
      <w:pPr>
        <w:spacing w:after="0" w:line="200" w:lineRule="exact"/>
        <w:rPr>
          <w:sz w:val="20"/>
          <w:szCs w:val="20"/>
          <w:color w:val="auto"/>
        </w:rPr>
      </w:pPr>
    </w:p>
    <w:p>
      <w:pPr>
        <w:spacing w:after="0" w:line="370"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8"/>
          <w:szCs w:val="18"/>
          <w:b w:val="1"/>
          <w:bCs w:val="1"/>
          <w:color w:val="auto"/>
        </w:rPr>
        <w:t>LENDER-SURETY PRIORITY AGREEMENT</w:t>
      </w: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LENDER-SURETY PRIORITY AGREEMENT (“Agreement”), dated June 4, 2012, is entered into by:</w:t>
      </w:r>
    </w:p>
    <w:p>
      <w:pPr>
        <w:spacing w:after="0" w:line="90" w:lineRule="exact"/>
        <w:rPr>
          <w:sz w:val="20"/>
          <w:szCs w:val="20"/>
          <w:color w:val="auto"/>
        </w:rPr>
      </w:pPr>
    </w:p>
    <w:p>
      <w:pPr>
        <w:ind w:left="900" w:right="540" w:hanging="446"/>
        <w:spacing w:after="0" w:line="275" w:lineRule="auto"/>
        <w:tabs>
          <w:tab w:leader="none" w:pos="90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WELLS FARGO BANK, N.A., a national banking association, as Administrative Agent (the “Agent”) for the lenders under the Lender Credit Agreement (as defined below), and</w:t>
      </w:r>
    </w:p>
    <w:p>
      <w:pPr>
        <w:spacing w:after="0" w:line="38" w:lineRule="exact"/>
        <w:rPr>
          <w:rFonts w:ascii="Times New Roman" w:cs="Times New Roman" w:eastAsia="Times New Roman" w:hAnsi="Times New Roman"/>
          <w:sz w:val="18"/>
          <w:szCs w:val="18"/>
          <w:color w:val="auto"/>
        </w:rPr>
      </w:pPr>
    </w:p>
    <w:p>
      <w:pPr>
        <w:jc w:val="both"/>
        <w:ind w:left="900" w:right="480" w:hanging="446"/>
        <w:spacing w:after="0" w:line="262" w:lineRule="auto"/>
        <w:tabs>
          <w:tab w:leader="none" w:pos="90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ZURICH AMERICAN INSURANCE COMPANY and its Subsidiaries and Affiliates including, but not limited to FIDELITY AND DEPOSIT COMPANY OF MARYLAND, COLONIAL AMERICAN CASUALTY AND SURETY COMPANY, and AMERICAN GUARANTEE AND LIABILITY INSURANCE COMPANY, its successors and assigns (“Surety”).</w:t>
      </w:r>
    </w:p>
    <w:p>
      <w:pPr>
        <w:spacing w:after="0" w:line="132" w:lineRule="exact"/>
        <w:rPr>
          <w:sz w:val="20"/>
          <w:szCs w:val="20"/>
          <w:color w:val="auto"/>
        </w:rPr>
      </w:pPr>
    </w:p>
    <w:p>
      <w:pPr>
        <w:ind w:right="600"/>
        <w:spacing w:after="0" w:line="275" w:lineRule="auto"/>
        <w:rPr>
          <w:sz w:val="20"/>
          <w:szCs w:val="20"/>
          <w:color w:val="auto"/>
        </w:rPr>
      </w:pPr>
      <w:r>
        <w:rPr>
          <w:rFonts w:ascii="Times New Roman" w:cs="Times New Roman" w:eastAsia="Times New Roman" w:hAnsi="Times New Roman"/>
          <w:sz w:val="18"/>
          <w:szCs w:val="18"/>
          <w:color w:val="auto"/>
        </w:rPr>
        <w:t>Agent and Surety agree that all capitalized terms used in this Agreement but not defined herein shall have the meaning given such terms in the Equipment Utilization Agreement, dated June 4, 2012 (the “EUA”), which has been executed by Indemnitors and Agent.</w:t>
      </w:r>
    </w:p>
    <w:p>
      <w:pPr>
        <w:spacing w:after="0" w:line="120"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WHEREAS Great Lakes Dredge &amp; Dock Corporation (“Great Lakes”), Great Lakes Dredge &amp; Dock Company, LLC, Lydon Dredging &amp; Construction Company, Ltd., Fifty-Three Dredging Corporation, Dawson Marine Services Company, Great Lakes Dredge &amp; Dock Environmental, Inc. (f/k/a Great Lakes Caribbean Dredging, Inc.), NASDI, LLC, NASDI Holdings Corporation, Yankee Environmental Services, LLC and Great Lakes Dredge &amp; Dock (Bahamas) Ltd. (collectively, the “</w:t>
      </w:r>
      <w:r>
        <w:rPr>
          <w:rFonts w:ascii="Times New Roman" w:cs="Times New Roman" w:eastAsia="Times New Roman" w:hAnsi="Times New Roman"/>
          <w:sz w:val="18"/>
          <w:szCs w:val="18"/>
          <w:u w:val="single" w:color="auto"/>
          <w:color w:val="auto"/>
        </w:rPr>
        <w:t>Indemnitors</w:t>
      </w:r>
      <w:r>
        <w:rPr>
          <w:rFonts w:ascii="Times New Roman" w:cs="Times New Roman" w:eastAsia="Times New Roman" w:hAnsi="Times New Roman"/>
          <w:sz w:val="18"/>
          <w:szCs w:val="18"/>
          <w:color w:val="auto"/>
        </w:rPr>
        <w:t>”) may provide Agent a mortgage on certain equipment of Indemnitors (the “Collateral Equipment”) and a right to attach and perfect a security interest in the Collateral Equipment, in connection with that certain Credit Agreement, dated as of June 4, 2012, among Great Lakes, certain subsidiaries of Great Lakes party thereto, as Credit Parties, Agent and the other lenders party thereto from time to time (as amended, restated, supplemented, refinanced or replaced from time to time, the “Lender Credit Agreement”); and</w:t>
      </w:r>
    </w:p>
    <w:p>
      <w:pPr>
        <w:spacing w:after="0" w:line="141" w:lineRule="exact"/>
        <w:rPr>
          <w:sz w:val="20"/>
          <w:szCs w:val="20"/>
          <w:color w:val="auto"/>
        </w:rPr>
      </w:pPr>
    </w:p>
    <w:p>
      <w:pPr>
        <w:ind w:right="280"/>
        <w:spacing w:after="0" w:line="275" w:lineRule="auto"/>
        <w:rPr>
          <w:sz w:val="20"/>
          <w:szCs w:val="20"/>
          <w:color w:val="auto"/>
        </w:rPr>
      </w:pPr>
      <w:r>
        <w:rPr>
          <w:rFonts w:ascii="Times New Roman" w:cs="Times New Roman" w:eastAsia="Times New Roman" w:hAnsi="Times New Roman"/>
          <w:sz w:val="18"/>
          <w:szCs w:val="18"/>
          <w:color w:val="auto"/>
        </w:rPr>
        <w:t>WHEREAS Indemnitors have provided Surety with a security interest in the Collateral Equipment (among other interests, rights and remedies) pursuant to the terms of, and as defined in, the General Agreement of Indemnity, dated September 7, 2011 (the “GIA”); and</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WHEREAS Agent and Indemnitors have provided Surety a priority right to access and use the Collateral Equipment pursuant to the terms of the EUA; and</w:t>
      </w:r>
    </w:p>
    <w:p>
      <w:pPr>
        <w:spacing w:after="0" w:line="171" w:lineRule="exact"/>
        <w:rPr>
          <w:sz w:val="20"/>
          <w:szCs w:val="20"/>
          <w:color w:val="auto"/>
        </w:rPr>
      </w:pPr>
    </w:p>
    <w:p>
      <w:pPr>
        <w:ind w:right="160"/>
        <w:spacing w:after="0" w:line="275" w:lineRule="auto"/>
        <w:rPr>
          <w:sz w:val="20"/>
          <w:szCs w:val="20"/>
          <w:color w:val="auto"/>
        </w:rPr>
      </w:pPr>
      <w:r>
        <w:rPr>
          <w:rFonts w:ascii="Times New Roman" w:cs="Times New Roman" w:eastAsia="Times New Roman" w:hAnsi="Times New Roman"/>
          <w:sz w:val="18"/>
          <w:szCs w:val="18"/>
          <w:color w:val="auto"/>
        </w:rPr>
        <w:t>WHEREAS Agent desires for Surety to agree with Agent in advance on the priority of their respective mortgages, security interests and liens with respect to the Collateral Equipment in the event such mortgages security interests and liens are created or perfected; and</w:t>
      </w:r>
    </w:p>
    <w:p>
      <w:pPr>
        <w:spacing w:after="0" w:line="120" w:lineRule="exact"/>
        <w:rPr>
          <w:sz w:val="20"/>
          <w:szCs w:val="20"/>
          <w:color w:val="auto"/>
        </w:rPr>
      </w:pPr>
    </w:p>
    <w:p>
      <w:pPr>
        <w:ind w:right="500"/>
        <w:spacing w:after="0" w:line="275" w:lineRule="auto"/>
        <w:rPr>
          <w:sz w:val="20"/>
          <w:szCs w:val="20"/>
          <w:color w:val="auto"/>
        </w:rPr>
      </w:pPr>
      <w:r>
        <w:rPr>
          <w:rFonts w:ascii="Times New Roman" w:cs="Times New Roman" w:eastAsia="Times New Roman" w:hAnsi="Times New Roman"/>
          <w:sz w:val="18"/>
          <w:szCs w:val="18"/>
          <w:color w:val="auto"/>
        </w:rPr>
        <w:t>WHEREAS Surety is willing to agree to the priority of Surety’s and Agent’s respective mortgages, security interests and liens with respect to the Collateral Equipment, in exchange for Surety’s being granted a second mortgage on the Collateral Equipment.</w:t>
      </w:r>
    </w:p>
    <w:p>
      <w:pPr>
        <w:spacing w:after="0" w:line="106" w:lineRule="exact"/>
        <w:rPr>
          <w:sz w:val="20"/>
          <w:szCs w:val="20"/>
          <w:color w:val="auto"/>
        </w:rPr>
      </w:pPr>
    </w:p>
    <w:p>
      <w:pPr>
        <w:spacing w:after="0"/>
        <w:tabs>
          <w:tab w:leader="none" w:pos="10620" w:val="left"/>
        </w:tabs>
        <w:rPr>
          <w:sz w:val="20"/>
          <w:szCs w:val="20"/>
          <w:color w:val="auto"/>
        </w:rPr>
      </w:pPr>
      <w:r>
        <w:rPr>
          <w:rFonts w:ascii="Times New Roman" w:cs="Times New Roman" w:eastAsia="Times New Roman" w:hAnsi="Times New Roman"/>
          <w:sz w:val="18"/>
          <w:szCs w:val="18"/>
          <w:color w:val="auto"/>
        </w:rPr>
        <w:t>Great Lakes Lender-Surety Priority Agreement</w:t>
      </w:r>
      <w:r>
        <w:rPr>
          <w:sz w:val="20"/>
          <w:szCs w:val="20"/>
          <w:color w:val="auto"/>
        </w:rPr>
        <w:tab/>
      </w:r>
      <w:r>
        <w:rPr>
          <w:rFonts w:ascii="Times New Roman" w:cs="Times New Roman" w:eastAsia="Times New Roman" w:hAnsi="Times New Roman"/>
          <w:sz w:val="16"/>
          <w:szCs w:val="16"/>
          <w:color w:val="auto"/>
        </w:rPr>
        <w:t>page 1 of 9</w:t>
      </w:r>
    </w:p>
    <w:p>
      <w:pPr>
        <w:sectPr>
          <w:pgSz w:w="11900" w:h="16838" w:orient="portrait"/>
          <w:cols w:equalWidth="0" w:num="1">
            <w:col w:w="11420"/>
          </w:cols>
          <w:pgMar w:left="240" w:top="123" w:right="239" w:bottom="1440" w:gutter="0" w:footer="0" w:header="0"/>
        </w:sectPr>
      </w:pPr>
    </w:p>
    <w:bookmarkStart w:id="133" w:name="page134"/>
    <w:bookmarkEnd w:id="133"/>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NOW THEREFORE, for good and valuable consideration, the sufficiency of which is hereby acknowledged, Agent and Surety agree as follows:</w:t>
      </w:r>
    </w:p>
    <w:p>
      <w:pPr>
        <w:spacing w:after="0" w:line="169" w:lineRule="exact"/>
        <w:rPr>
          <w:sz w:val="20"/>
          <w:szCs w:val="20"/>
          <w:color w:val="auto"/>
        </w:rPr>
      </w:pPr>
    </w:p>
    <w:p>
      <w:pPr>
        <w:ind w:right="660" w:firstLine="8"/>
        <w:spacing w:after="0" w:line="264" w:lineRule="auto"/>
        <w:tabs>
          <w:tab w:leader="none" w:pos="176"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Collateral Equipment</w:t>
      </w:r>
      <w:r>
        <w:rPr>
          <w:rFonts w:ascii="Times New Roman" w:cs="Times New Roman" w:eastAsia="Times New Roman" w:hAnsi="Times New Roman"/>
          <w:sz w:val="18"/>
          <w:szCs w:val="18"/>
          <w:color w:val="auto"/>
        </w:rPr>
        <w:t xml:space="preserve">: The Collateral Equipment to which this Agreement applies is defined as the equipment listed on </w:t>
      </w:r>
      <w:r>
        <w:rPr>
          <w:rFonts w:ascii="Times New Roman" w:cs="Times New Roman" w:eastAsia="Times New Roman" w:hAnsi="Times New Roman"/>
          <w:sz w:val="18"/>
          <w:szCs w:val="18"/>
          <w:b w:val="1"/>
          <w:bCs w:val="1"/>
          <w:color w:val="auto"/>
        </w:rPr>
        <w:t>Exhibit A SCHEDULE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COLLATERAL EQUIPMENT </w:t>
      </w:r>
      <w:r>
        <w:rPr>
          <w:rFonts w:ascii="Times New Roman" w:cs="Times New Roman" w:eastAsia="Times New Roman" w:hAnsi="Times New Roman"/>
          <w:sz w:val="18"/>
          <w:szCs w:val="18"/>
          <w:color w:val="auto"/>
        </w:rPr>
        <w:t>which is attached to this Agreement and incorporated herein by reference, as may be modified as provided herein.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does not apply to any other machinery, plant, equipment or other property of Indemnitors.</w:t>
      </w:r>
    </w:p>
    <w:p>
      <w:pPr>
        <w:spacing w:after="0" w:line="129" w:lineRule="exact"/>
        <w:rPr>
          <w:rFonts w:ascii="Times New Roman" w:cs="Times New Roman" w:eastAsia="Times New Roman" w:hAnsi="Times New Roman"/>
          <w:sz w:val="18"/>
          <w:szCs w:val="18"/>
          <w:color w:val="auto"/>
        </w:rPr>
      </w:pPr>
    </w:p>
    <w:p>
      <w:pPr>
        <w:ind w:right="420" w:firstLine="8"/>
        <w:spacing w:after="0" w:line="275" w:lineRule="auto"/>
        <w:tabs>
          <w:tab w:leader="none" w:pos="176"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Surety Mortgage</w:t>
      </w:r>
      <w:r>
        <w:rPr>
          <w:rFonts w:ascii="Times New Roman" w:cs="Times New Roman" w:eastAsia="Times New Roman" w:hAnsi="Times New Roman"/>
          <w:sz w:val="18"/>
          <w:szCs w:val="18"/>
          <w:color w:val="auto"/>
        </w:rPr>
        <w:t>: Surety agrees that it will not perfect or file mortgages with respect to any of the Collateral Equipment, unless and until it shall have first provided Agent with 60 days written notice.</w:t>
      </w:r>
    </w:p>
    <w:p>
      <w:pPr>
        <w:spacing w:after="0" w:line="119" w:lineRule="exact"/>
        <w:rPr>
          <w:rFonts w:ascii="Times New Roman" w:cs="Times New Roman" w:eastAsia="Times New Roman" w:hAnsi="Times New Roman"/>
          <w:sz w:val="18"/>
          <w:szCs w:val="18"/>
          <w:color w:val="auto"/>
        </w:rPr>
      </w:pPr>
    </w:p>
    <w:p>
      <w:pPr>
        <w:ind w:right="20" w:firstLine="8"/>
        <w:spacing w:after="0" w:line="255" w:lineRule="auto"/>
        <w:tabs>
          <w:tab w:leader="none" w:pos="176"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Priorities</w:t>
      </w:r>
      <w:r>
        <w:rPr>
          <w:rFonts w:ascii="Times New Roman" w:cs="Times New Roman" w:eastAsia="Times New Roman" w:hAnsi="Times New Roman"/>
          <w:sz w:val="18"/>
          <w:szCs w:val="18"/>
          <w:color w:val="auto"/>
        </w:rPr>
        <w:t>: Agent and Surety acknowledge and agree that the other may perfect a security interest in the Collateral Equipment. With respect to Agent’s and Surety’s mortgages, security interests and liens in the Collateral Equipment, Agent and Surety agree that as between Agent and Surety, Agent’s mortgage, security interests and liens in the Collateral Equipment shall be senior and prior in right to Surety’s mortgages, security interests and liens in the Collateral Equipment, and Surety’s mortgages, security interests and liens shall be junior to Agent’s mortgages, security interests and liens, notwithstanding the order, manner or timing of attachment or perfection of any such mortgages, security interests or liens or the validity, enforceability, perfection or unavoidability thereof or any failure by Agent or the Surety to take any action to attach or perfect such security interests or liens.</w:t>
      </w:r>
    </w:p>
    <w:p>
      <w:pPr>
        <w:spacing w:after="0" w:line="139" w:lineRule="exact"/>
        <w:rPr>
          <w:rFonts w:ascii="Times New Roman" w:cs="Times New Roman" w:eastAsia="Times New Roman" w:hAnsi="Times New Roman"/>
          <w:sz w:val="18"/>
          <w:szCs w:val="18"/>
          <w:color w:val="auto"/>
        </w:rPr>
      </w:pPr>
    </w:p>
    <w:p>
      <w:pPr>
        <w:ind w:right="280" w:firstLine="8"/>
        <w:spacing w:after="0" w:line="275" w:lineRule="auto"/>
        <w:tabs>
          <w:tab w:leader="none" w:pos="176"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Challenge</w:t>
      </w:r>
      <w:r>
        <w:rPr>
          <w:rFonts w:ascii="Times New Roman" w:cs="Times New Roman" w:eastAsia="Times New Roman" w:hAnsi="Times New Roman"/>
          <w:sz w:val="18"/>
          <w:szCs w:val="18"/>
          <w:color w:val="auto"/>
        </w:rPr>
        <w:t>: Agent and Surety agree not to institute or join in any legal action challenging the validity, enforceability, perfection or unavoidability of their respective mortgages, security interests or liens with respect to the Collateral Equipment.</w:t>
      </w:r>
    </w:p>
    <w:p>
      <w:pPr>
        <w:spacing w:after="0" w:line="119" w:lineRule="exact"/>
        <w:rPr>
          <w:rFonts w:ascii="Times New Roman" w:cs="Times New Roman" w:eastAsia="Times New Roman" w:hAnsi="Times New Roman"/>
          <w:sz w:val="18"/>
          <w:szCs w:val="18"/>
          <w:color w:val="auto"/>
        </w:rPr>
      </w:pPr>
    </w:p>
    <w:p>
      <w:pPr>
        <w:ind w:right="80" w:firstLine="8"/>
        <w:spacing w:after="0" w:line="288" w:lineRule="auto"/>
        <w:tabs>
          <w:tab w:leader="none" w:pos="176" w:val="left"/>
        </w:tabs>
        <w:numPr>
          <w:ilvl w:val="0"/>
          <w:numId w:val="7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Right to Enforce and Transfer; Release</w:t>
      </w:r>
      <w:r>
        <w:rPr>
          <w:rFonts w:ascii="Times New Roman" w:cs="Times New Roman" w:eastAsia="Times New Roman" w:hAnsi="Times New Roman"/>
          <w:sz w:val="16"/>
          <w:szCs w:val="16"/>
          <w:color w:val="auto"/>
        </w:rPr>
        <w:t>: Agent and Surety agree that the other party may take action to enforce that party’s rights and interest in the Collateral Equipment, including any rights which may result in the transfer of such Collateral Equipment to third parties, provided that a) the enforcing party provides prior written notice to the other party of the enforcing party’s foreclosure or similar disposition of any such Collateral Equipment; b) any such exercise and enforcement or other disposition by Agent of any Collateral Equipment shall be subject to and shall not interfere with Surety’s continuing rights and interests and priority access and use under and pursuant to the terms of the EUA. In the event of any transfer of such Collateral Equipment to third parties by the Agent in connection with an enforcement by the Agent or in connection with a consensual disposition and, in any such event pursuant to which the Agent shall release its mortgages, security interests or liens with respect to such Collateral Equipment, Surety shall promptly release its mortgages, security interests and liens on such Collateral Equipment, provided that Surety’s mortgages, security interests and liens shall remain on the proceeds of such Collateral Equipment, subject to the relative priorities set forth in section 3 above. Surety hereby authorizes Agent to effect such lien releases on behalf of Surety and to execute and deliver all instruments to effect such release of Surety’s mortgages, security interests and liens (which authorization being coupled with an interest, is irrevocable).</w:t>
      </w:r>
    </w:p>
    <w:p>
      <w:pPr>
        <w:spacing w:after="0" w:line="115" w:lineRule="exact"/>
        <w:rPr>
          <w:rFonts w:ascii="Times New Roman" w:cs="Times New Roman" w:eastAsia="Times New Roman" w:hAnsi="Times New Roman"/>
          <w:sz w:val="16"/>
          <w:szCs w:val="16"/>
          <w:color w:val="auto"/>
        </w:rPr>
      </w:pPr>
    </w:p>
    <w:p>
      <w:pPr>
        <w:ind w:left="180" w:hanging="172"/>
        <w:spacing w:after="0"/>
        <w:tabs>
          <w:tab w:leader="none" w:pos="1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Modification of Exhibit A</w:t>
      </w:r>
      <w:r>
        <w:rPr>
          <w:rFonts w:ascii="Times New Roman" w:cs="Times New Roman" w:eastAsia="Times New Roman" w:hAnsi="Times New Roman"/>
          <w:sz w:val="18"/>
          <w:szCs w:val="18"/>
          <w:color w:val="auto"/>
        </w:rPr>
        <w:t>. Exhibit A may be modified by a Rider to this Agreement upon written notice by Agent to Surety at any time.</w:t>
      </w:r>
    </w:p>
    <w:p>
      <w:pPr>
        <w:spacing w:after="0" w:line="158" w:lineRule="exact"/>
        <w:rPr>
          <w:sz w:val="20"/>
          <w:szCs w:val="20"/>
          <w:color w:val="auto"/>
        </w:rPr>
      </w:pPr>
    </w:p>
    <w:p>
      <w:pPr>
        <w:spacing w:after="0"/>
        <w:tabs>
          <w:tab w:leader="none" w:pos="10620" w:val="left"/>
        </w:tabs>
        <w:rPr>
          <w:sz w:val="20"/>
          <w:szCs w:val="20"/>
          <w:color w:val="auto"/>
        </w:rPr>
      </w:pPr>
      <w:r>
        <w:rPr>
          <w:rFonts w:ascii="Times New Roman" w:cs="Times New Roman" w:eastAsia="Times New Roman" w:hAnsi="Times New Roman"/>
          <w:sz w:val="18"/>
          <w:szCs w:val="18"/>
          <w:color w:val="auto"/>
        </w:rPr>
        <w:t>Great Lakes Lender-Surety Priority Agreement</w:t>
      </w:r>
      <w:r>
        <w:rPr>
          <w:sz w:val="20"/>
          <w:szCs w:val="20"/>
          <w:color w:val="auto"/>
        </w:rPr>
        <w:tab/>
      </w:r>
      <w:r>
        <w:rPr>
          <w:rFonts w:ascii="Times New Roman" w:cs="Times New Roman" w:eastAsia="Times New Roman" w:hAnsi="Times New Roman"/>
          <w:sz w:val="16"/>
          <w:szCs w:val="16"/>
          <w:color w:val="auto"/>
        </w:rPr>
        <w:t>page 2 of 9</w:t>
      </w:r>
    </w:p>
    <w:p>
      <w:pPr>
        <w:sectPr>
          <w:pgSz w:w="11900" w:h="16838" w:orient="portrait"/>
          <w:cols w:equalWidth="0" w:num="1">
            <w:col w:w="11420"/>
          </w:cols>
          <w:pgMar w:left="240" w:top="274" w:right="239" w:bottom="1440" w:gutter="0" w:footer="0" w:header="0"/>
        </w:sectPr>
      </w:pPr>
    </w:p>
    <w:bookmarkStart w:id="134" w:name="page135"/>
    <w:bookmarkEnd w:id="134"/>
    <w:p>
      <w:pPr>
        <w:ind w:right="160" w:firstLine="8"/>
        <w:spacing w:after="0" w:line="255" w:lineRule="auto"/>
        <w:tabs>
          <w:tab w:leader="none" w:pos="176"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Collateral Proceeds</w:t>
      </w:r>
      <w:r>
        <w:rPr>
          <w:rFonts w:ascii="Times New Roman" w:cs="Times New Roman" w:eastAsia="Times New Roman" w:hAnsi="Times New Roman"/>
          <w:sz w:val="18"/>
          <w:szCs w:val="18"/>
          <w:color w:val="auto"/>
        </w:rPr>
        <w:t>: If any Collateral proceeds (including, without limitation, insurance proceeds or distributions pursuant to any plan of reorganization or other insolvency proceeding with respect to any Indemnitor) are received by Surety with respect to the Collateral Equipment, Surety shall receive and hold such proceeds on behalf of the other party and shall promptly pay or transfer such proceeds to the other party, with any necessary endorsements. To the extent that there are any excess proceeds from the Collateral Equipment which may be held by Agent following satisfaction in full of the Indemnitor’s obligations to Agent and the lenders party to the Lender Credit Agreement and the termination of the commitments under the Lender Credit Agreement, Agent shall promptly pay or transfer such proceeds to Surety, with any necessary endorsements.</w:t>
      </w:r>
    </w:p>
    <w:p>
      <w:pPr>
        <w:spacing w:after="0" w:line="139" w:lineRule="exact"/>
        <w:rPr>
          <w:rFonts w:ascii="Times New Roman" w:cs="Times New Roman" w:eastAsia="Times New Roman" w:hAnsi="Times New Roman"/>
          <w:sz w:val="18"/>
          <w:szCs w:val="18"/>
          <w:color w:val="auto"/>
        </w:rPr>
      </w:pPr>
    </w:p>
    <w:p>
      <w:pPr>
        <w:ind w:right="20" w:firstLine="8"/>
        <w:spacing w:after="0" w:line="262" w:lineRule="auto"/>
        <w:tabs>
          <w:tab w:leader="none" w:pos="176"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Prohibition</w:t>
      </w:r>
      <w:r>
        <w:rPr>
          <w:rFonts w:ascii="Times New Roman" w:cs="Times New Roman" w:eastAsia="Times New Roman" w:hAnsi="Times New Roman"/>
          <w:sz w:val="18"/>
          <w:szCs w:val="18"/>
          <w:color w:val="auto"/>
        </w:rPr>
        <w:t>: Neither Agent nor Surety shall enter into any agreement with any Indemnitor prohibiting such Indemnitor from granting mortgages on, security interests in, or liens on, any Collateral Equipment to secure the obligations of such Indemnitor either to Agent and the lenders in connection with the Lender Credit Agreement or to Surety in connection with the GIA or the EUA.</w:t>
      </w:r>
    </w:p>
    <w:p>
      <w:pPr>
        <w:spacing w:after="0" w:line="132" w:lineRule="exact"/>
        <w:rPr>
          <w:rFonts w:ascii="Times New Roman" w:cs="Times New Roman" w:eastAsia="Times New Roman" w:hAnsi="Times New Roman"/>
          <w:sz w:val="18"/>
          <w:szCs w:val="18"/>
          <w:color w:val="auto"/>
        </w:rPr>
      </w:pPr>
    </w:p>
    <w:p>
      <w:pPr>
        <w:ind w:right="40" w:firstLine="8"/>
        <w:spacing w:after="0" w:line="258" w:lineRule="auto"/>
        <w:tabs>
          <w:tab w:leader="none" w:pos="176"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Impact on Rights and Remedies other than to the Collateral Equipment</w:t>
      </w:r>
      <w:r>
        <w:rPr>
          <w:rFonts w:ascii="Times New Roman" w:cs="Times New Roman" w:eastAsia="Times New Roman" w:hAnsi="Times New Roman"/>
          <w:sz w:val="18"/>
          <w:szCs w:val="18"/>
          <w:color w:val="auto"/>
        </w:rPr>
        <w:t>: Notwithstanding the respective priorities of security interests and liens above, nothing in this Agreement is intended to or does waive, release, limit, condition or otherwise affect the Surety’s rights and remedies under the EUA and/or the GIA, at law or in equity, other than as stated in this Agreement with respect to the Collateral Equipment, or Agent’s or any lender’s rights and remedies under and with respect to the Lender Credit Agreement with respect to the Collateral Equipment.</w:t>
      </w:r>
    </w:p>
    <w:p>
      <w:pPr>
        <w:spacing w:after="0" w:line="136" w:lineRule="exact"/>
        <w:rPr>
          <w:rFonts w:ascii="Times New Roman" w:cs="Times New Roman" w:eastAsia="Times New Roman" w:hAnsi="Times New Roman"/>
          <w:sz w:val="18"/>
          <w:szCs w:val="18"/>
          <w:color w:val="auto"/>
        </w:rPr>
      </w:pPr>
    </w:p>
    <w:p>
      <w:pPr>
        <w:jc w:val="both"/>
        <w:ind w:right="120" w:firstLine="8"/>
        <w:spacing w:after="0" w:line="262" w:lineRule="auto"/>
        <w:tabs>
          <w:tab w:leader="none" w:pos="263"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impact on Surety’s priority use of the Collateral Equipment</w:t>
      </w:r>
      <w:r>
        <w:rPr>
          <w:rFonts w:ascii="Times New Roman" w:cs="Times New Roman" w:eastAsia="Times New Roman" w:hAnsi="Times New Roman"/>
          <w:sz w:val="18"/>
          <w:szCs w:val="18"/>
          <w:color w:val="auto"/>
        </w:rPr>
        <w:t>: Notwithstanding the respective priorities of security interests and liens above, nothing in this Agreement is intended to waive, release, limit, condition or otherwise affect the Surety’s priority access and use of the Collateral Equipment to perform Surety’s Bonded Obligations, in accordance with the EUA.</w:t>
      </w:r>
    </w:p>
    <w:p>
      <w:pPr>
        <w:spacing w:after="0" w:line="172"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w:t>
      </w:r>
      <w:r>
        <w:rPr>
          <w:rFonts w:ascii="Times New Roman" w:cs="Times New Roman" w:eastAsia="Times New Roman" w:hAnsi="Times New Roman"/>
          <w:sz w:val="18"/>
          <w:szCs w:val="18"/>
          <w:color w:val="auto"/>
        </w:rPr>
        <w:t>: All Notices or requests under this Agreement shall be sent as follows:</w:t>
      </w:r>
    </w:p>
    <w:p>
      <w:pPr>
        <w:spacing w:after="0" w:line="17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Zurich American Insurance Company</w:t>
      </w:r>
    </w:p>
    <w:p>
      <w:pPr>
        <w:spacing w:after="0" w:line="2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Attn: Vice President, Surety Underwriting</w:t>
      </w:r>
    </w:p>
    <w:p>
      <w:pPr>
        <w:spacing w:after="0" w:line="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600 Red Brook Blvd., 4</w:t>
      </w:r>
      <w:r>
        <w:rPr>
          <w:rFonts w:ascii="Times New Roman" w:cs="Times New Roman" w:eastAsia="Times New Roman" w:hAnsi="Times New Roman"/>
          <w:sz w:val="11"/>
          <w:szCs w:val="11"/>
          <w:color w:val="auto"/>
        </w:rPr>
        <w:t>th</w:t>
      </w:r>
      <w:r>
        <w:rPr>
          <w:rFonts w:ascii="Times New Roman" w:cs="Times New Roman" w:eastAsia="Times New Roman" w:hAnsi="Times New Roman"/>
          <w:sz w:val="18"/>
          <w:szCs w:val="18"/>
          <w:color w:val="auto"/>
        </w:rPr>
        <w:t xml:space="preserve"> Floor</w:t>
      </w:r>
    </w:p>
    <w:p>
      <w:pPr>
        <w:spacing w:after="0" w:line="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Owings Mills, MD 21117</w:t>
      </w:r>
    </w:p>
    <w:p>
      <w:pPr>
        <w:spacing w:after="0" w:line="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 xml:space="preserve">with a copy to </w:t>
      </w:r>
      <w:r>
        <w:rPr>
          <w:rFonts w:ascii="Times New Roman" w:cs="Times New Roman" w:eastAsia="Times New Roman" w:hAnsi="Times New Roman"/>
          <w:sz w:val="18"/>
          <w:szCs w:val="18"/>
          <w:u w:val="single" w:color="auto"/>
          <w:color w:val="auto"/>
        </w:rPr>
        <w:t>thomas.littlefield@zurichna.com</w:t>
      </w:r>
    </w:p>
    <w:p>
      <w:pPr>
        <w:spacing w:after="0" w:line="15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Wells Fargo Bank, National Association</w:t>
      </w:r>
    </w:p>
    <w:p>
      <w:pPr>
        <w:spacing w:after="0" w:line="2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Attn: Sushim Shah, Vice President – Global Banking</w:t>
      </w:r>
    </w:p>
    <w:p>
      <w:pPr>
        <w:spacing w:after="0" w:line="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1000 Louisiana Street, Suite 400</w:t>
      </w:r>
    </w:p>
    <w:p>
      <w:pPr>
        <w:spacing w:after="0" w:line="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Houston, TX 77002-5027</w:t>
      </w:r>
    </w:p>
    <w:p>
      <w:pPr>
        <w:spacing w:after="0" w:line="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Email: Sushim.Shah@wellsfargo.com</w:t>
      </w:r>
    </w:p>
    <w:p>
      <w:pPr>
        <w:spacing w:after="0" w:line="159" w:lineRule="exact"/>
        <w:rPr>
          <w:sz w:val="20"/>
          <w:szCs w:val="20"/>
          <w:color w:val="auto"/>
        </w:rPr>
      </w:pPr>
    </w:p>
    <w:p>
      <w:pPr>
        <w:ind w:right="380" w:firstLine="8"/>
        <w:spacing w:after="0" w:line="262" w:lineRule="auto"/>
        <w:tabs>
          <w:tab w:leader="none" w:pos="263"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shall inure to the benefit of and be binding on the parties executing this Agreement, the parties acknowledging this Agreement, and their successors and assigns, including, without limitation, following the commencement of any bankruptcy or other insolvency proceeding with respect to any Indemnitor or any Collateral Equipment</w:t>
      </w:r>
    </w:p>
    <w:p>
      <w:pPr>
        <w:spacing w:after="0" w:line="119" w:lineRule="exact"/>
        <w:rPr>
          <w:sz w:val="20"/>
          <w:szCs w:val="20"/>
          <w:color w:val="auto"/>
        </w:rPr>
      </w:pPr>
    </w:p>
    <w:p>
      <w:pPr>
        <w:spacing w:after="0"/>
        <w:tabs>
          <w:tab w:leader="none" w:pos="10620" w:val="left"/>
        </w:tabs>
        <w:rPr>
          <w:sz w:val="20"/>
          <w:szCs w:val="20"/>
          <w:color w:val="auto"/>
        </w:rPr>
      </w:pPr>
      <w:r>
        <w:rPr>
          <w:rFonts w:ascii="Times New Roman" w:cs="Times New Roman" w:eastAsia="Times New Roman" w:hAnsi="Times New Roman"/>
          <w:sz w:val="18"/>
          <w:szCs w:val="18"/>
          <w:color w:val="auto"/>
        </w:rPr>
        <w:t>Great Lakes Lender-Surety Priority Agreement</w:t>
      </w:r>
      <w:r>
        <w:rPr>
          <w:sz w:val="20"/>
          <w:szCs w:val="20"/>
          <w:color w:val="auto"/>
        </w:rPr>
        <w:tab/>
      </w:r>
      <w:r>
        <w:rPr>
          <w:rFonts w:ascii="Times New Roman" w:cs="Times New Roman" w:eastAsia="Times New Roman" w:hAnsi="Times New Roman"/>
          <w:sz w:val="16"/>
          <w:szCs w:val="16"/>
          <w:color w:val="auto"/>
        </w:rPr>
        <w:t>page 3 of 9</w:t>
      </w:r>
    </w:p>
    <w:p>
      <w:pPr>
        <w:sectPr>
          <w:pgSz w:w="11900" w:h="16838" w:orient="portrait"/>
          <w:cols w:equalWidth="0" w:num="1">
            <w:col w:w="11420"/>
          </w:cols>
          <w:pgMar w:left="240" w:top="274" w:right="239" w:bottom="1440" w:gutter="0" w:footer="0" w:header="0"/>
        </w:sectPr>
      </w:pPr>
    </w:p>
    <w:bookmarkStart w:id="135" w:name="page136"/>
    <w:bookmarkEnd w:id="135"/>
    <w:p>
      <w:pPr>
        <w:ind w:left="280" w:hanging="272"/>
        <w:spacing w:after="0"/>
        <w:tabs>
          <w:tab w:leader="none" w:pos="28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This Agreement may not be amended or altered in any way except in writing executed by the parties to this Agreement.</w:t>
      </w:r>
    </w:p>
    <w:p>
      <w:pPr>
        <w:spacing w:after="0" w:line="171" w:lineRule="exact"/>
        <w:rPr>
          <w:rFonts w:ascii="Times New Roman" w:cs="Times New Roman" w:eastAsia="Times New Roman" w:hAnsi="Times New Roman"/>
          <w:sz w:val="18"/>
          <w:szCs w:val="18"/>
          <w:color w:val="auto"/>
        </w:rPr>
      </w:pPr>
    </w:p>
    <w:p>
      <w:pPr>
        <w:jc w:val="both"/>
        <w:ind w:right="20" w:firstLine="8"/>
        <w:spacing w:after="0" w:line="262" w:lineRule="auto"/>
        <w:tabs>
          <w:tab w:leader="none" w:pos="263"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may be executed in any number of counterparts with separate signature pages, all of which taken together shall constitute the Agreement, and any of the parties hereto may execute this Agreement by signing any such counterpart. Delivery of any executed signature page to this Agreement by telecopier or pdf attachment to an email shall be equally effective as delivery of a manually executed original.</w:t>
      </w:r>
    </w:p>
    <w:p>
      <w:pPr>
        <w:spacing w:after="0" w:line="132" w:lineRule="exact"/>
        <w:rPr>
          <w:rFonts w:ascii="Times New Roman" w:cs="Times New Roman" w:eastAsia="Times New Roman" w:hAnsi="Times New Roman"/>
          <w:sz w:val="18"/>
          <w:szCs w:val="18"/>
          <w:color w:val="auto"/>
        </w:rPr>
      </w:pPr>
    </w:p>
    <w:p>
      <w:pPr>
        <w:ind w:left="280" w:hanging="272"/>
        <w:spacing w:after="0"/>
        <w:tabs>
          <w:tab w:leader="none" w:pos="280" w:val="left"/>
        </w:tabs>
        <w:numPr>
          <w:ilvl w:val="0"/>
          <w:numId w:val="7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Agreement shall be governed by and construed in accordance with the laws of the State of New York without regard to its conflicts of laws principles.</w:t>
      </w: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 PAGES TO FOLLOW</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remainder of this page is intentionally left blank)</w:t>
      </w:r>
    </w:p>
    <w:p>
      <w:pPr>
        <w:spacing w:after="0" w:line="160" w:lineRule="exact"/>
        <w:rPr>
          <w:sz w:val="20"/>
          <w:szCs w:val="20"/>
          <w:color w:val="auto"/>
        </w:rPr>
      </w:pPr>
    </w:p>
    <w:p>
      <w:pPr>
        <w:spacing w:after="0"/>
        <w:tabs>
          <w:tab w:leader="none" w:pos="10620" w:val="left"/>
        </w:tabs>
        <w:rPr>
          <w:sz w:val="20"/>
          <w:szCs w:val="20"/>
          <w:color w:val="auto"/>
        </w:rPr>
      </w:pPr>
      <w:r>
        <w:rPr>
          <w:rFonts w:ascii="Times New Roman" w:cs="Times New Roman" w:eastAsia="Times New Roman" w:hAnsi="Times New Roman"/>
          <w:sz w:val="18"/>
          <w:szCs w:val="18"/>
          <w:color w:val="auto"/>
        </w:rPr>
        <w:t>Great Lakes Lender-Surety Priority Agreement</w:t>
      </w:r>
      <w:r>
        <w:rPr>
          <w:sz w:val="20"/>
          <w:szCs w:val="20"/>
          <w:color w:val="auto"/>
        </w:rPr>
        <w:tab/>
      </w:r>
      <w:r>
        <w:rPr>
          <w:rFonts w:ascii="Times New Roman" w:cs="Times New Roman" w:eastAsia="Times New Roman" w:hAnsi="Times New Roman"/>
          <w:sz w:val="16"/>
          <w:szCs w:val="16"/>
          <w:color w:val="auto"/>
        </w:rPr>
        <w:t>page 4 of 9</w:t>
      </w:r>
    </w:p>
    <w:p>
      <w:pPr>
        <w:sectPr>
          <w:pgSz w:w="11900" w:h="16838" w:orient="portrait"/>
          <w:cols w:equalWidth="0" w:num="1">
            <w:col w:w="11420"/>
          </w:cols>
          <w:pgMar w:left="240" w:top="274" w:right="239" w:bottom="1440" w:gutter="0" w:footer="0" w:header="0"/>
        </w:sectPr>
      </w:pPr>
    </w:p>
    <w:bookmarkStart w:id="136" w:name="page137"/>
    <w:bookmarkEnd w:id="136"/>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Signed and sealed this 4th day of June, </w:t>
      </w:r>
      <w:r>
        <w:rPr>
          <w:rFonts w:ascii="Times New Roman" w:cs="Times New Roman" w:eastAsia="Times New Roman" w:hAnsi="Times New Roman"/>
          <w:sz w:val="18"/>
          <w:szCs w:val="18"/>
          <w:b w:val="1"/>
          <w:bCs w:val="1"/>
          <w:color w:val="auto"/>
        </w:rPr>
        <w:t>2012</w:t>
      </w:r>
    </w:p>
    <w:p>
      <w:pPr>
        <w:spacing w:after="0" w:line="171" w:lineRule="exact"/>
        <w:rPr>
          <w:sz w:val="20"/>
          <w:szCs w:val="20"/>
          <w:color w:val="auto"/>
        </w:rPr>
      </w:pPr>
    </w:p>
    <w:p>
      <w:pPr>
        <w:ind w:right="20"/>
        <w:spacing w:after="0" w:line="288" w:lineRule="auto"/>
        <w:rPr>
          <w:sz w:val="20"/>
          <w:szCs w:val="20"/>
          <w:color w:val="auto"/>
        </w:rPr>
      </w:pPr>
      <w:r>
        <w:rPr>
          <w:rFonts w:ascii="Times New Roman" w:cs="Times New Roman" w:eastAsia="Times New Roman" w:hAnsi="Times New Roman"/>
          <w:sz w:val="16"/>
          <w:szCs w:val="16"/>
          <w:b w:val="1"/>
          <w:bCs w:val="1"/>
          <w:color w:val="auto"/>
        </w:rPr>
        <w:t>Each of the undersigned hereby affirms to the Surety that he or she is a secretary or a duly authorized officer, manager, trustee or official of the business entity for which he or she executes the foregoing Agreement. In such capacity the undersigned is familiar with all of the documents which establish the rights which govern the affairs, power and authority of such entity including, to the extent applicable, the (1) certificate or articles of incorporation,</w:t>
      </w:r>
    </w:p>
    <w:p>
      <w:pPr>
        <w:ind w:right="120" w:firstLine="8"/>
        <w:spacing w:after="0" w:line="255" w:lineRule="auto"/>
        <w:tabs>
          <w:tab w:leader="none" w:pos="249" w:val="left"/>
        </w:tabs>
        <w:numPr>
          <w:ilvl w:val="0"/>
          <w:numId w:val="7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bylaws, (3) corporate resolutions, (4) trust agreements and (5) partnership, and operating or limited liability agreements of such business entity. Having reviewed all such applicable documents and instruments and such other facts as deemed appropriate, the undersigned hereby affirms that such entity has the power and authority to enter into such Agreement and that he or she is duly authorized to do so.</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5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AGENT</w:t>
            </w:r>
          </w:p>
        </w:tc>
      </w:tr>
      <w:tr>
        <w:trPr>
          <w:trHeight w:val="228"/>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ATTEST OR WITNESS:</w:t>
            </w:r>
          </w:p>
        </w:tc>
        <w:tc>
          <w:tcPr>
            <w:tcW w:w="240" w:type="dxa"/>
            <w:vAlign w:val="bottom"/>
          </w:tcPr>
          <w:p>
            <w:pPr>
              <w:spacing w:after="0"/>
              <w:rPr>
                <w:sz w:val="19"/>
                <w:szCs w:val="19"/>
                <w:color w:val="auto"/>
              </w:rPr>
            </w:pP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WELLS FARGO BANK, N.A.</w:t>
            </w:r>
          </w:p>
        </w:tc>
      </w:tr>
      <w:tr>
        <w:trPr>
          <w:trHeight w:val="366"/>
        </w:trPr>
        <w:tc>
          <w:tcPr>
            <w:tcW w:w="5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Alice Libis</w:t>
            </w:r>
          </w:p>
        </w:tc>
        <w:tc>
          <w:tcPr>
            <w:tcW w:w="240" w:type="dxa"/>
            <w:vAlign w:val="bottom"/>
          </w:tcPr>
          <w:p>
            <w:pPr>
              <w:spacing w:after="0"/>
              <w:rPr>
                <w:sz w:val="24"/>
                <w:szCs w:val="24"/>
                <w:color w:val="auto"/>
              </w:rPr>
            </w:pPr>
          </w:p>
        </w:tc>
        <w:tc>
          <w:tcPr>
            <w:tcW w:w="5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Sushim Shah</w:t>
            </w:r>
          </w:p>
        </w:tc>
      </w:tr>
      <w:tr>
        <w:trPr>
          <w:trHeight w:val="210"/>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Name and Title</w:t>
            </w:r>
          </w:p>
        </w:tc>
        <w:tc>
          <w:tcPr>
            <w:tcW w:w="24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Sushim Shah, Vice President</w:t>
            </w:r>
          </w:p>
        </w:tc>
      </w:tr>
      <w:tr>
        <w:trPr>
          <w:trHeight w:val="228"/>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Alice Libis, AVP</w:t>
            </w:r>
          </w:p>
        </w:tc>
        <w:tc>
          <w:tcPr>
            <w:tcW w:w="240" w:type="dxa"/>
            <w:vAlign w:val="bottom"/>
          </w:tcPr>
          <w:p>
            <w:pPr>
              <w:spacing w:after="0"/>
              <w:rPr>
                <w:sz w:val="19"/>
                <w:szCs w:val="19"/>
                <w:color w:val="auto"/>
              </w:rPr>
            </w:pPr>
          </w:p>
        </w:tc>
        <w:tc>
          <w:tcPr>
            <w:tcW w:w="5360" w:type="dxa"/>
            <w:vAlign w:val="bottom"/>
          </w:tcPr>
          <w:p>
            <w:pPr>
              <w:spacing w:after="0"/>
              <w:rPr>
                <w:sz w:val="19"/>
                <w:szCs w:val="19"/>
                <w:color w:val="auto"/>
              </w:rPr>
            </w:pPr>
          </w:p>
        </w:tc>
      </w:tr>
    </w:tbl>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5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SURETY</w:t>
            </w:r>
          </w:p>
        </w:tc>
      </w:tr>
      <w:tr>
        <w:trPr>
          <w:trHeight w:val="228"/>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ATTEST OR WITNESS:</w:t>
            </w:r>
          </w:p>
        </w:tc>
        <w:tc>
          <w:tcPr>
            <w:tcW w:w="240" w:type="dxa"/>
            <w:vAlign w:val="bottom"/>
          </w:tcPr>
          <w:p>
            <w:pPr>
              <w:spacing w:after="0"/>
              <w:rPr>
                <w:sz w:val="19"/>
                <w:szCs w:val="19"/>
                <w:color w:val="auto"/>
              </w:rPr>
            </w:pP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Zurich American Insurance Company</w:t>
            </w:r>
          </w:p>
        </w:tc>
      </w:tr>
      <w:tr>
        <w:trPr>
          <w:trHeight w:val="433"/>
        </w:trPr>
        <w:tc>
          <w:tcPr>
            <w:tcW w:w="5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Mary Cacioppo</w:t>
            </w:r>
          </w:p>
        </w:tc>
        <w:tc>
          <w:tcPr>
            <w:tcW w:w="240" w:type="dxa"/>
            <w:vAlign w:val="bottom"/>
          </w:tcPr>
          <w:p>
            <w:pPr>
              <w:spacing w:after="0"/>
              <w:rPr>
                <w:sz w:val="24"/>
                <w:szCs w:val="24"/>
                <w:color w:val="auto"/>
              </w:rPr>
            </w:pPr>
          </w:p>
        </w:tc>
        <w:tc>
          <w:tcPr>
            <w:tcW w:w="5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Patrick A. Hannigan</w:t>
            </w:r>
          </w:p>
        </w:tc>
      </w:tr>
      <w:tr>
        <w:trPr>
          <w:trHeight w:val="210"/>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Name and Title</w:t>
            </w:r>
          </w:p>
        </w:tc>
        <w:tc>
          <w:tcPr>
            <w:tcW w:w="24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Patrick A. Hannigan, Senior Regional Vice President</w:t>
            </w:r>
          </w:p>
        </w:tc>
      </w:tr>
      <w:tr>
        <w:trPr>
          <w:trHeight w:val="228"/>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Senior Underwriter Assistant</w:t>
            </w:r>
          </w:p>
        </w:tc>
        <w:tc>
          <w:tcPr>
            <w:tcW w:w="240" w:type="dxa"/>
            <w:vAlign w:val="bottom"/>
          </w:tcPr>
          <w:p>
            <w:pPr>
              <w:spacing w:after="0"/>
              <w:rPr>
                <w:sz w:val="19"/>
                <w:szCs w:val="19"/>
                <w:color w:val="auto"/>
              </w:rPr>
            </w:pPr>
          </w:p>
        </w:tc>
        <w:tc>
          <w:tcPr>
            <w:tcW w:w="5360" w:type="dxa"/>
            <w:vAlign w:val="bottom"/>
          </w:tcPr>
          <w:p>
            <w:pPr>
              <w:spacing w:after="0"/>
              <w:rPr>
                <w:sz w:val="19"/>
                <w:szCs w:val="19"/>
                <w:color w:val="auto"/>
              </w:rPr>
            </w:pPr>
          </w:p>
        </w:tc>
      </w:tr>
      <w:tr>
        <w:trPr>
          <w:trHeight w:val="378"/>
        </w:trPr>
        <w:tc>
          <w:tcPr>
            <w:tcW w:w="5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Lender-Surety Agreement acknowledged by:</w:t>
            </w:r>
          </w:p>
        </w:tc>
        <w:tc>
          <w:tcPr>
            <w:tcW w:w="240" w:type="dxa"/>
            <w:vAlign w:val="bottom"/>
          </w:tcPr>
          <w:p>
            <w:pPr>
              <w:spacing w:after="0"/>
              <w:rPr>
                <w:sz w:val="24"/>
                <w:szCs w:val="24"/>
                <w:color w:val="auto"/>
              </w:rPr>
            </w:pPr>
          </w:p>
        </w:tc>
        <w:tc>
          <w:tcPr>
            <w:tcW w:w="5360" w:type="dxa"/>
            <w:vAlign w:val="bottom"/>
          </w:tcPr>
          <w:p>
            <w:pPr>
              <w:spacing w:after="0"/>
              <w:rPr>
                <w:sz w:val="24"/>
                <w:szCs w:val="24"/>
                <w:color w:val="auto"/>
              </w:rPr>
            </w:pPr>
          </w:p>
        </w:tc>
      </w:tr>
      <w:tr>
        <w:trPr>
          <w:trHeight w:val="406"/>
        </w:trPr>
        <w:tc>
          <w:tcPr>
            <w:tcW w:w="5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INDEMNITOR</w:t>
            </w:r>
          </w:p>
        </w:tc>
      </w:tr>
      <w:tr>
        <w:trPr>
          <w:trHeight w:val="228"/>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ATTEST OR WITNESS:</w:t>
            </w:r>
          </w:p>
        </w:tc>
        <w:tc>
          <w:tcPr>
            <w:tcW w:w="240" w:type="dxa"/>
            <w:vAlign w:val="bottom"/>
          </w:tcPr>
          <w:p>
            <w:pPr>
              <w:spacing w:after="0"/>
              <w:rPr>
                <w:sz w:val="19"/>
                <w:szCs w:val="19"/>
                <w:color w:val="auto"/>
              </w:rPr>
            </w:pP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GREAT LAKES DREDGE &amp; DOCK CORPORATION</w:t>
            </w:r>
          </w:p>
        </w:tc>
      </w:tr>
      <w:tr>
        <w:trPr>
          <w:trHeight w:val="433"/>
        </w:trPr>
        <w:tc>
          <w:tcPr>
            <w:tcW w:w="5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Kathleen M. LaVoy</w:t>
            </w:r>
          </w:p>
        </w:tc>
        <w:tc>
          <w:tcPr>
            <w:tcW w:w="240" w:type="dxa"/>
            <w:vAlign w:val="bottom"/>
          </w:tcPr>
          <w:p>
            <w:pPr>
              <w:spacing w:after="0"/>
              <w:rPr>
                <w:sz w:val="24"/>
                <w:szCs w:val="24"/>
                <w:color w:val="auto"/>
              </w:rPr>
            </w:pPr>
          </w:p>
        </w:tc>
        <w:tc>
          <w:tcPr>
            <w:tcW w:w="5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Bruce J. Biemeck(SEAL)</w:t>
            </w:r>
          </w:p>
        </w:tc>
      </w:tr>
      <w:tr>
        <w:trPr>
          <w:trHeight w:val="223"/>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Name and Title</w:t>
            </w:r>
          </w:p>
        </w:tc>
        <w:tc>
          <w:tcPr>
            <w:tcW w:w="240" w:type="dxa"/>
            <w:vAlign w:val="bottom"/>
          </w:tcPr>
          <w:p>
            <w:pPr>
              <w:spacing w:after="0"/>
              <w:rPr>
                <w:sz w:val="19"/>
                <w:szCs w:val="19"/>
                <w:color w:val="auto"/>
              </w:rPr>
            </w:pP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Bruce J. Biemeck, President and Chief Financial Officer</w:t>
            </w:r>
          </w:p>
        </w:tc>
      </w:tr>
    </w:tbl>
    <w:p>
      <w:pPr>
        <w:spacing w:after="0" w:line="1" w:lineRule="exact"/>
        <w:rPr>
          <w:sz w:val="20"/>
          <w:szCs w:val="20"/>
          <w:color w:val="auto"/>
        </w:rPr>
      </w:pPr>
    </w:p>
    <w:p>
      <w:pPr>
        <w:sectPr>
          <w:pgSz w:w="11900" w:h="16838" w:orient="portrait"/>
          <w:cols w:equalWidth="0" w:num="1">
            <w:col w:w="11420"/>
          </w:cols>
          <w:pgMar w:left="240" w:top="272" w:right="239" w:bottom="1440" w:gutter="0" w:footer="0" w:header="0"/>
        </w:sectPr>
      </w:pPr>
    </w:p>
    <w:p>
      <w:pPr>
        <w:spacing w:after="0"/>
        <w:rPr>
          <w:sz w:val="20"/>
          <w:szCs w:val="20"/>
          <w:color w:val="auto"/>
        </w:rPr>
      </w:pPr>
      <w:r>
        <w:rPr>
          <w:rFonts w:ascii="Times New Roman" w:cs="Times New Roman" w:eastAsia="Times New Roman" w:hAnsi="Times New Roman"/>
          <w:sz w:val="16"/>
          <w:szCs w:val="16"/>
          <w:color w:val="auto"/>
        </w:rPr>
        <w:t>Chief Legal Officer</w:t>
      </w:r>
    </w:p>
    <w:p>
      <w:pPr>
        <w:sectPr>
          <w:pgSz w:w="11900" w:h="16838" w:orient="portrait"/>
          <w:cols w:equalWidth="0" w:num="1">
            <w:col w:w="11420"/>
          </w:cols>
          <w:pgMar w:left="240" w:top="272" w:right="239" w:bottom="1440" w:gutter="0" w:footer="0" w:header="0"/>
          <w:type w:val="continuous"/>
        </w:sectPr>
      </w:pP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(Signatures continued next page)</w:t>
      </w:r>
    </w:p>
    <w:p>
      <w:pPr>
        <w:sectPr>
          <w:pgSz w:w="11900" w:h="16838" w:orient="portrait"/>
          <w:cols w:equalWidth="0" w:num="1">
            <w:col w:w="11420"/>
          </w:cols>
          <w:pgMar w:left="240" w:top="272" w:right="239" w:bottom="1440" w:gutter="0" w:footer="0" w:header="0"/>
          <w:type w:val="continuous"/>
        </w:sectPr>
      </w:pP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Great Lakes Lender-Surety Priority Agreement</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page 5 of 9</w:t>
      </w:r>
    </w:p>
    <w:p>
      <w:pPr>
        <w:sectPr>
          <w:pgSz w:w="11900" w:h="16838" w:orient="portrait"/>
          <w:cols w:equalWidth="0" w:num="2">
            <w:col w:w="9920" w:space="720"/>
            <w:col w:w="780"/>
          </w:cols>
          <w:pgMar w:left="240" w:top="272" w:right="239" w:bottom="1440" w:gutter="0" w:footer="0" w:header="0"/>
          <w:type w:val="continuous"/>
        </w:sectPr>
      </w:pPr>
    </w:p>
    <w:bookmarkStart w:id="137" w:name="page138"/>
    <w:bookmarkEnd w:id="137"/>
    <w:tbl>
      <w:tblPr>
        <w:tblLayout w:type="fixed"/>
        <w:tblInd w:w="0" w:type="dxa"/>
        <w:tblCellMar>
          <w:top w:w="0" w:type="dxa"/>
          <w:left w:w="0" w:type="dxa"/>
          <w:bottom w:w="0" w:type="dxa"/>
          <w:right w:w="0" w:type="dxa"/>
        </w:tblCellMar>
      </w:tblPr>
      <w:tr>
        <w:trPr>
          <w:trHeight w:val="218"/>
        </w:trPr>
        <w:tc>
          <w:tcPr>
            <w:tcW w:w="5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INDEMNITOR</w:t>
            </w:r>
          </w:p>
        </w:tc>
      </w:tr>
      <w:tr>
        <w:trPr>
          <w:trHeight w:val="228"/>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ATTEST OR WITNESS:</w:t>
            </w:r>
          </w:p>
        </w:tc>
        <w:tc>
          <w:tcPr>
            <w:tcW w:w="240" w:type="dxa"/>
            <w:vAlign w:val="bottom"/>
          </w:tcPr>
          <w:p>
            <w:pPr>
              <w:spacing w:after="0"/>
              <w:rPr>
                <w:sz w:val="19"/>
                <w:szCs w:val="19"/>
                <w:color w:val="auto"/>
              </w:rPr>
            </w:pP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GREAT LAKES DREDGE &amp; DOCK COMPANY, LLC</w:t>
            </w:r>
          </w:p>
        </w:tc>
      </w:tr>
      <w:tr>
        <w:trPr>
          <w:trHeight w:val="366"/>
        </w:trPr>
        <w:tc>
          <w:tcPr>
            <w:tcW w:w="5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Kathleen M. LaVoy</w:t>
            </w:r>
          </w:p>
        </w:tc>
        <w:tc>
          <w:tcPr>
            <w:tcW w:w="240" w:type="dxa"/>
            <w:vAlign w:val="bottom"/>
          </w:tcPr>
          <w:p>
            <w:pPr>
              <w:spacing w:after="0"/>
              <w:rPr>
                <w:sz w:val="24"/>
                <w:szCs w:val="24"/>
                <w:color w:val="auto"/>
              </w:rPr>
            </w:pPr>
          </w:p>
        </w:tc>
        <w:tc>
          <w:tcPr>
            <w:tcW w:w="5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Bruce J. Biemeck(SEAL)</w:t>
            </w:r>
          </w:p>
        </w:tc>
      </w:tr>
      <w:tr>
        <w:trPr>
          <w:trHeight w:val="210"/>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Name and Title</w:t>
            </w:r>
          </w:p>
        </w:tc>
        <w:tc>
          <w:tcPr>
            <w:tcW w:w="24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Bruce J. Biemeck, President and Chief Financial Officer</w:t>
            </w:r>
          </w:p>
        </w:tc>
      </w:tr>
      <w:tr>
        <w:trPr>
          <w:trHeight w:val="228"/>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Chief Legal Officer</w:t>
            </w:r>
          </w:p>
        </w:tc>
        <w:tc>
          <w:tcPr>
            <w:tcW w:w="240" w:type="dxa"/>
            <w:vAlign w:val="bottom"/>
          </w:tcPr>
          <w:p>
            <w:pPr>
              <w:spacing w:after="0"/>
              <w:rPr>
                <w:sz w:val="19"/>
                <w:szCs w:val="19"/>
                <w:color w:val="auto"/>
              </w:rPr>
            </w:pPr>
          </w:p>
        </w:tc>
        <w:tc>
          <w:tcPr>
            <w:tcW w:w="5360" w:type="dxa"/>
            <w:vAlign w:val="bottom"/>
          </w:tcPr>
          <w:p>
            <w:pPr>
              <w:spacing w:after="0"/>
              <w:rPr>
                <w:sz w:val="19"/>
                <w:szCs w:val="19"/>
                <w:color w:val="auto"/>
              </w:rPr>
            </w:pPr>
          </w:p>
        </w:tc>
      </w:tr>
    </w:tbl>
    <w:p>
      <w:pPr>
        <w:spacing w:after="0" w:line="18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8"/>
        </w:trPr>
        <w:tc>
          <w:tcPr>
            <w:tcW w:w="5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INDEMNITOR</w:t>
            </w:r>
          </w:p>
        </w:tc>
      </w:tr>
      <w:tr>
        <w:trPr>
          <w:trHeight w:val="228"/>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ATTEST OR WITNESS:</w:t>
            </w:r>
          </w:p>
        </w:tc>
        <w:tc>
          <w:tcPr>
            <w:tcW w:w="240" w:type="dxa"/>
            <w:vAlign w:val="bottom"/>
          </w:tcPr>
          <w:p>
            <w:pPr>
              <w:spacing w:after="0"/>
              <w:rPr>
                <w:sz w:val="19"/>
                <w:szCs w:val="19"/>
                <w:color w:val="auto"/>
              </w:rPr>
            </w:pP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LYDON DREDGING &amp; CONSTRUCTION COMPANY, LTD.</w:t>
            </w:r>
          </w:p>
        </w:tc>
      </w:tr>
      <w:tr>
        <w:trPr>
          <w:trHeight w:val="366"/>
        </w:trPr>
        <w:tc>
          <w:tcPr>
            <w:tcW w:w="5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Kathleen M. LaVoy</w:t>
            </w:r>
          </w:p>
        </w:tc>
        <w:tc>
          <w:tcPr>
            <w:tcW w:w="240" w:type="dxa"/>
            <w:vAlign w:val="bottom"/>
          </w:tcPr>
          <w:p>
            <w:pPr>
              <w:spacing w:after="0"/>
              <w:rPr>
                <w:sz w:val="24"/>
                <w:szCs w:val="24"/>
                <w:color w:val="auto"/>
              </w:rPr>
            </w:pPr>
          </w:p>
        </w:tc>
        <w:tc>
          <w:tcPr>
            <w:tcW w:w="5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Bruce J. Biemeck(SEAL)</w:t>
            </w:r>
          </w:p>
        </w:tc>
      </w:tr>
      <w:tr>
        <w:trPr>
          <w:trHeight w:val="210"/>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Name and Title</w:t>
            </w:r>
          </w:p>
        </w:tc>
        <w:tc>
          <w:tcPr>
            <w:tcW w:w="24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Bruce J. Biemeck, Executive Vice President and Chief Operating Officer</w:t>
            </w:r>
          </w:p>
        </w:tc>
      </w:tr>
      <w:tr>
        <w:trPr>
          <w:trHeight w:val="228"/>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Chief Legal Officer</w:t>
            </w:r>
          </w:p>
        </w:tc>
        <w:tc>
          <w:tcPr>
            <w:tcW w:w="240" w:type="dxa"/>
            <w:vAlign w:val="bottom"/>
          </w:tcPr>
          <w:p>
            <w:pPr>
              <w:spacing w:after="0"/>
              <w:rPr>
                <w:sz w:val="19"/>
                <w:szCs w:val="19"/>
                <w:color w:val="auto"/>
              </w:rPr>
            </w:pPr>
          </w:p>
        </w:tc>
        <w:tc>
          <w:tcPr>
            <w:tcW w:w="5360" w:type="dxa"/>
            <w:vAlign w:val="bottom"/>
          </w:tcPr>
          <w:p>
            <w:pPr>
              <w:spacing w:after="0"/>
              <w:rPr>
                <w:sz w:val="19"/>
                <w:szCs w:val="19"/>
                <w:color w:val="auto"/>
              </w:rPr>
            </w:pPr>
          </w:p>
        </w:tc>
      </w:tr>
    </w:tbl>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5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INDEMNITOR</w:t>
            </w:r>
          </w:p>
        </w:tc>
      </w:tr>
      <w:tr>
        <w:trPr>
          <w:trHeight w:val="228"/>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ATTEST OR WITNESS:</w:t>
            </w:r>
          </w:p>
        </w:tc>
        <w:tc>
          <w:tcPr>
            <w:tcW w:w="240" w:type="dxa"/>
            <w:vAlign w:val="bottom"/>
          </w:tcPr>
          <w:p>
            <w:pPr>
              <w:spacing w:after="0"/>
              <w:rPr>
                <w:sz w:val="19"/>
                <w:szCs w:val="19"/>
                <w:color w:val="auto"/>
              </w:rPr>
            </w:pP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FIFTY-THREE DREDGING CORPORATION</w:t>
            </w:r>
          </w:p>
        </w:tc>
      </w:tr>
      <w:tr>
        <w:trPr>
          <w:trHeight w:val="366"/>
        </w:trPr>
        <w:tc>
          <w:tcPr>
            <w:tcW w:w="5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Kathleen M. LaVoy</w:t>
            </w:r>
          </w:p>
        </w:tc>
        <w:tc>
          <w:tcPr>
            <w:tcW w:w="240" w:type="dxa"/>
            <w:vAlign w:val="bottom"/>
          </w:tcPr>
          <w:p>
            <w:pPr>
              <w:spacing w:after="0"/>
              <w:rPr>
                <w:sz w:val="24"/>
                <w:szCs w:val="24"/>
                <w:color w:val="auto"/>
              </w:rPr>
            </w:pPr>
          </w:p>
        </w:tc>
        <w:tc>
          <w:tcPr>
            <w:tcW w:w="5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Paul E. Dinquel(SEAL)</w:t>
            </w:r>
          </w:p>
        </w:tc>
      </w:tr>
      <w:tr>
        <w:trPr>
          <w:trHeight w:val="210"/>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Name and Title</w:t>
            </w:r>
          </w:p>
        </w:tc>
        <w:tc>
          <w:tcPr>
            <w:tcW w:w="24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Paul E. Dinquel, Vice President</w:t>
            </w:r>
          </w:p>
        </w:tc>
      </w:tr>
      <w:tr>
        <w:trPr>
          <w:trHeight w:val="228"/>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Chief Legal Officer</w:t>
            </w:r>
          </w:p>
        </w:tc>
        <w:tc>
          <w:tcPr>
            <w:tcW w:w="240" w:type="dxa"/>
            <w:vAlign w:val="bottom"/>
          </w:tcPr>
          <w:p>
            <w:pPr>
              <w:spacing w:after="0"/>
              <w:rPr>
                <w:sz w:val="19"/>
                <w:szCs w:val="19"/>
                <w:color w:val="auto"/>
              </w:rPr>
            </w:pPr>
          </w:p>
        </w:tc>
        <w:tc>
          <w:tcPr>
            <w:tcW w:w="5360" w:type="dxa"/>
            <w:vAlign w:val="bottom"/>
          </w:tcPr>
          <w:p>
            <w:pPr>
              <w:spacing w:after="0"/>
              <w:rPr>
                <w:sz w:val="19"/>
                <w:szCs w:val="19"/>
                <w:color w:val="auto"/>
              </w:rPr>
            </w:pPr>
          </w:p>
        </w:tc>
      </w:tr>
    </w:tbl>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5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INDEMNITOR</w:t>
            </w:r>
          </w:p>
        </w:tc>
      </w:tr>
      <w:tr>
        <w:trPr>
          <w:trHeight w:val="228"/>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ATTEST OR WITNESS:</w:t>
            </w:r>
          </w:p>
        </w:tc>
        <w:tc>
          <w:tcPr>
            <w:tcW w:w="240" w:type="dxa"/>
            <w:vAlign w:val="bottom"/>
          </w:tcPr>
          <w:p>
            <w:pPr>
              <w:spacing w:after="0"/>
              <w:rPr>
                <w:sz w:val="19"/>
                <w:szCs w:val="19"/>
                <w:color w:val="auto"/>
              </w:rPr>
            </w:pP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DAWSON MARINE SERVICES COMPANY</w:t>
            </w:r>
          </w:p>
        </w:tc>
      </w:tr>
      <w:tr>
        <w:trPr>
          <w:trHeight w:val="366"/>
        </w:trPr>
        <w:tc>
          <w:tcPr>
            <w:tcW w:w="5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Kathleen M. LaVoy</w:t>
            </w:r>
          </w:p>
        </w:tc>
        <w:tc>
          <w:tcPr>
            <w:tcW w:w="240" w:type="dxa"/>
            <w:vAlign w:val="bottom"/>
          </w:tcPr>
          <w:p>
            <w:pPr>
              <w:spacing w:after="0"/>
              <w:rPr>
                <w:sz w:val="24"/>
                <w:szCs w:val="24"/>
                <w:color w:val="auto"/>
              </w:rPr>
            </w:pPr>
          </w:p>
        </w:tc>
        <w:tc>
          <w:tcPr>
            <w:tcW w:w="5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Catherine Hoffman(SEAL)</w:t>
            </w:r>
          </w:p>
        </w:tc>
      </w:tr>
      <w:tr>
        <w:trPr>
          <w:trHeight w:val="223"/>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Name and Title</w:t>
            </w:r>
          </w:p>
        </w:tc>
        <w:tc>
          <w:tcPr>
            <w:tcW w:w="240" w:type="dxa"/>
            <w:vAlign w:val="bottom"/>
          </w:tcPr>
          <w:p>
            <w:pPr>
              <w:spacing w:after="0"/>
              <w:rPr>
                <w:sz w:val="19"/>
                <w:szCs w:val="19"/>
                <w:color w:val="auto"/>
              </w:rPr>
            </w:pP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Catherine Hoffman, President</w:t>
            </w:r>
          </w:p>
        </w:tc>
      </w:tr>
    </w:tbl>
    <w:p>
      <w:pPr>
        <w:spacing w:after="0" w:line="1" w:lineRule="exact"/>
        <w:rPr>
          <w:sz w:val="20"/>
          <w:szCs w:val="20"/>
          <w:color w:val="auto"/>
        </w:rPr>
      </w:pPr>
    </w:p>
    <w:p>
      <w:pPr>
        <w:sectPr>
          <w:pgSz w:w="11900" w:h="16838" w:orient="portrait"/>
          <w:cols w:equalWidth="0" w:num="1">
            <w:col w:w="11420"/>
          </w:cols>
          <w:pgMar w:left="240" w:top="272" w:right="239" w:bottom="1440" w:gutter="0" w:footer="0" w:header="0"/>
        </w:sectPr>
      </w:pPr>
    </w:p>
    <w:p>
      <w:pPr>
        <w:spacing w:after="0"/>
        <w:rPr>
          <w:sz w:val="20"/>
          <w:szCs w:val="20"/>
          <w:color w:val="auto"/>
        </w:rPr>
      </w:pPr>
      <w:r>
        <w:rPr>
          <w:rFonts w:ascii="Times New Roman" w:cs="Times New Roman" w:eastAsia="Times New Roman" w:hAnsi="Times New Roman"/>
          <w:sz w:val="16"/>
          <w:szCs w:val="16"/>
          <w:color w:val="auto"/>
        </w:rPr>
        <w:t>Chief Legal Officer</w:t>
      </w:r>
    </w:p>
    <w:p>
      <w:pPr>
        <w:sectPr>
          <w:pgSz w:w="11900" w:h="16838" w:orient="portrait"/>
          <w:cols w:equalWidth="0" w:num="1">
            <w:col w:w="11420"/>
          </w:cols>
          <w:pgMar w:left="240" w:top="272" w:right="239" w:bottom="1440" w:gutter="0" w:footer="0" w:header="0"/>
          <w:type w:val="continuous"/>
        </w:sectPr>
      </w:pP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(Signatures continued next page)</w:t>
      </w:r>
    </w:p>
    <w:p>
      <w:pPr>
        <w:sectPr>
          <w:pgSz w:w="11900" w:h="16838" w:orient="portrait"/>
          <w:cols w:equalWidth="0" w:num="1">
            <w:col w:w="11420"/>
          </w:cols>
          <w:pgMar w:left="240" w:top="272" w:right="239" w:bottom="1440" w:gutter="0" w:footer="0" w:header="0"/>
          <w:type w:val="continuous"/>
        </w:sectPr>
      </w:pP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Great Lakes Lender-Surety Priority Agreement</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page 6 of 9</w:t>
      </w:r>
    </w:p>
    <w:p>
      <w:pPr>
        <w:sectPr>
          <w:pgSz w:w="11900" w:h="16838" w:orient="portrait"/>
          <w:cols w:equalWidth="0" w:num="2">
            <w:col w:w="9920" w:space="720"/>
            <w:col w:w="780"/>
          </w:cols>
          <w:pgMar w:left="240" w:top="272" w:right="239" w:bottom="1440" w:gutter="0" w:footer="0" w:header="0"/>
          <w:type w:val="continuous"/>
        </w:sectPr>
      </w:pPr>
    </w:p>
    <w:bookmarkStart w:id="138" w:name="page139"/>
    <w:bookmarkEnd w:id="138"/>
    <w:tbl>
      <w:tblPr>
        <w:tblLayout w:type="fixed"/>
        <w:tblInd w:w="0" w:type="dxa"/>
        <w:tblCellMar>
          <w:top w:w="0" w:type="dxa"/>
          <w:left w:w="0" w:type="dxa"/>
          <w:bottom w:w="0" w:type="dxa"/>
          <w:right w:w="0" w:type="dxa"/>
        </w:tblCellMar>
      </w:tblPr>
      <w:tr>
        <w:trPr>
          <w:trHeight w:val="218"/>
        </w:trPr>
        <w:tc>
          <w:tcPr>
            <w:tcW w:w="5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INDEMNITOR</w:t>
            </w:r>
          </w:p>
        </w:tc>
      </w:tr>
      <w:tr>
        <w:trPr>
          <w:trHeight w:val="216"/>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ATTEST OR WITNESS:</w:t>
            </w:r>
          </w:p>
        </w:tc>
        <w:tc>
          <w:tcPr>
            <w:tcW w:w="24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GREAT LAKES DREDGE &amp; DOCK ENVIRONMENTAL, INC. (f/k/a</w:t>
            </w:r>
          </w:p>
        </w:tc>
      </w:tr>
      <w:tr>
        <w:trPr>
          <w:trHeight w:val="228"/>
        </w:trPr>
        <w:tc>
          <w:tcPr>
            <w:tcW w:w="5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Great Lakes Caribbean Dredging, Inc.)</w:t>
            </w:r>
          </w:p>
        </w:tc>
      </w:tr>
      <w:tr>
        <w:trPr>
          <w:trHeight w:val="366"/>
        </w:trPr>
        <w:tc>
          <w:tcPr>
            <w:tcW w:w="5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Kathleen M. LaVoy</w:t>
            </w:r>
          </w:p>
        </w:tc>
        <w:tc>
          <w:tcPr>
            <w:tcW w:w="240" w:type="dxa"/>
            <w:vAlign w:val="bottom"/>
          </w:tcPr>
          <w:p>
            <w:pPr>
              <w:spacing w:after="0"/>
              <w:rPr>
                <w:sz w:val="24"/>
                <w:szCs w:val="24"/>
                <w:color w:val="auto"/>
              </w:rPr>
            </w:pPr>
          </w:p>
        </w:tc>
        <w:tc>
          <w:tcPr>
            <w:tcW w:w="5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Bruce J. Biemeck(SEAL)</w:t>
            </w:r>
          </w:p>
        </w:tc>
      </w:tr>
      <w:tr>
        <w:trPr>
          <w:trHeight w:val="210"/>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Name and Title</w:t>
            </w:r>
          </w:p>
        </w:tc>
        <w:tc>
          <w:tcPr>
            <w:tcW w:w="24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Bruce J. Biemeck, Senior Vice President and Chief Financial Officer</w:t>
            </w:r>
          </w:p>
        </w:tc>
      </w:tr>
      <w:tr>
        <w:trPr>
          <w:trHeight w:val="228"/>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Chief Legal Officer</w:t>
            </w:r>
          </w:p>
        </w:tc>
        <w:tc>
          <w:tcPr>
            <w:tcW w:w="240" w:type="dxa"/>
            <w:vAlign w:val="bottom"/>
          </w:tcPr>
          <w:p>
            <w:pPr>
              <w:spacing w:after="0"/>
              <w:rPr>
                <w:sz w:val="19"/>
                <w:szCs w:val="19"/>
                <w:color w:val="auto"/>
              </w:rPr>
            </w:pPr>
          </w:p>
        </w:tc>
        <w:tc>
          <w:tcPr>
            <w:tcW w:w="5360" w:type="dxa"/>
            <w:vAlign w:val="bottom"/>
          </w:tcPr>
          <w:p>
            <w:pPr>
              <w:spacing w:after="0"/>
              <w:rPr>
                <w:sz w:val="19"/>
                <w:szCs w:val="19"/>
                <w:color w:val="auto"/>
              </w:rPr>
            </w:pPr>
          </w:p>
        </w:tc>
      </w:tr>
    </w:tbl>
    <w:p>
      <w:pPr>
        <w:spacing w:after="0" w:line="20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8"/>
        </w:trPr>
        <w:tc>
          <w:tcPr>
            <w:tcW w:w="5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INDEMNITOR</w:t>
            </w:r>
          </w:p>
        </w:tc>
      </w:tr>
      <w:tr>
        <w:trPr>
          <w:trHeight w:val="228"/>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ATTEST OR WITNESS:</w:t>
            </w:r>
          </w:p>
        </w:tc>
        <w:tc>
          <w:tcPr>
            <w:tcW w:w="240" w:type="dxa"/>
            <w:vAlign w:val="bottom"/>
          </w:tcPr>
          <w:p>
            <w:pPr>
              <w:spacing w:after="0"/>
              <w:rPr>
                <w:sz w:val="19"/>
                <w:szCs w:val="19"/>
                <w:color w:val="auto"/>
              </w:rPr>
            </w:pP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NASDI, LLC</w:t>
            </w:r>
          </w:p>
        </w:tc>
      </w:tr>
      <w:tr>
        <w:trPr>
          <w:trHeight w:val="366"/>
        </w:trPr>
        <w:tc>
          <w:tcPr>
            <w:tcW w:w="5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Kathleen M. LaVoy</w:t>
            </w:r>
          </w:p>
        </w:tc>
        <w:tc>
          <w:tcPr>
            <w:tcW w:w="240" w:type="dxa"/>
            <w:vAlign w:val="bottom"/>
          </w:tcPr>
          <w:p>
            <w:pPr>
              <w:spacing w:after="0"/>
              <w:rPr>
                <w:sz w:val="24"/>
                <w:szCs w:val="24"/>
                <w:color w:val="auto"/>
              </w:rPr>
            </w:pPr>
          </w:p>
        </w:tc>
        <w:tc>
          <w:tcPr>
            <w:tcW w:w="5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Bruce J. Biemeck(SEAL)</w:t>
            </w:r>
          </w:p>
        </w:tc>
      </w:tr>
      <w:tr>
        <w:trPr>
          <w:trHeight w:val="210"/>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Name and Title</w:t>
            </w:r>
          </w:p>
        </w:tc>
        <w:tc>
          <w:tcPr>
            <w:tcW w:w="24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Bruce J. Biemeck, Vice President</w:t>
            </w:r>
          </w:p>
        </w:tc>
      </w:tr>
      <w:tr>
        <w:trPr>
          <w:trHeight w:val="228"/>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Chief Legal Officer</w:t>
            </w:r>
          </w:p>
        </w:tc>
        <w:tc>
          <w:tcPr>
            <w:tcW w:w="240" w:type="dxa"/>
            <w:vAlign w:val="bottom"/>
          </w:tcPr>
          <w:p>
            <w:pPr>
              <w:spacing w:after="0"/>
              <w:rPr>
                <w:sz w:val="19"/>
                <w:szCs w:val="19"/>
                <w:color w:val="auto"/>
              </w:rPr>
            </w:pPr>
          </w:p>
        </w:tc>
        <w:tc>
          <w:tcPr>
            <w:tcW w:w="5360" w:type="dxa"/>
            <w:vAlign w:val="bottom"/>
          </w:tcPr>
          <w:p>
            <w:pPr>
              <w:spacing w:after="0"/>
              <w:rPr>
                <w:sz w:val="19"/>
                <w:szCs w:val="19"/>
                <w:color w:val="auto"/>
              </w:rPr>
            </w:pPr>
          </w:p>
        </w:tc>
      </w:tr>
    </w:tbl>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5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INDEMNITOR</w:t>
            </w:r>
          </w:p>
        </w:tc>
      </w:tr>
      <w:tr>
        <w:trPr>
          <w:trHeight w:val="228"/>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ATTEST OR WITNESS:</w:t>
            </w:r>
          </w:p>
        </w:tc>
        <w:tc>
          <w:tcPr>
            <w:tcW w:w="240" w:type="dxa"/>
            <w:vAlign w:val="bottom"/>
          </w:tcPr>
          <w:p>
            <w:pPr>
              <w:spacing w:after="0"/>
              <w:rPr>
                <w:sz w:val="19"/>
                <w:szCs w:val="19"/>
                <w:color w:val="auto"/>
              </w:rPr>
            </w:pP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NASDI HOLDINGS CORPORATION</w:t>
            </w:r>
          </w:p>
        </w:tc>
      </w:tr>
      <w:tr>
        <w:trPr>
          <w:trHeight w:val="366"/>
        </w:trPr>
        <w:tc>
          <w:tcPr>
            <w:tcW w:w="5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Kathleen M. LaVoy</w:t>
            </w:r>
          </w:p>
        </w:tc>
        <w:tc>
          <w:tcPr>
            <w:tcW w:w="240" w:type="dxa"/>
            <w:vAlign w:val="bottom"/>
          </w:tcPr>
          <w:p>
            <w:pPr>
              <w:spacing w:after="0"/>
              <w:rPr>
                <w:sz w:val="24"/>
                <w:szCs w:val="24"/>
                <w:color w:val="auto"/>
              </w:rPr>
            </w:pPr>
          </w:p>
        </w:tc>
        <w:tc>
          <w:tcPr>
            <w:tcW w:w="5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Bruce J. Biemeck(SEAL)</w:t>
            </w:r>
          </w:p>
        </w:tc>
      </w:tr>
      <w:tr>
        <w:trPr>
          <w:trHeight w:val="210"/>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Name and Title</w:t>
            </w:r>
          </w:p>
        </w:tc>
        <w:tc>
          <w:tcPr>
            <w:tcW w:w="24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Bruce J. Biemeck, Vice President and Chief Financial Officer</w:t>
            </w:r>
          </w:p>
        </w:tc>
      </w:tr>
      <w:tr>
        <w:trPr>
          <w:trHeight w:val="228"/>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Chief Legal Officer</w:t>
            </w:r>
          </w:p>
        </w:tc>
        <w:tc>
          <w:tcPr>
            <w:tcW w:w="240" w:type="dxa"/>
            <w:vAlign w:val="bottom"/>
          </w:tcPr>
          <w:p>
            <w:pPr>
              <w:spacing w:after="0"/>
              <w:rPr>
                <w:sz w:val="19"/>
                <w:szCs w:val="19"/>
                <w:color w:val="auto"/>
              </w:rPr>
            </w:pPr>
          </w:p>
        </w:tc>
        <w:tc>
          <w:tcPr>
            <w:tcW w:w="5360" w:type="dxa"/>
            <w:vAlign w:val="bottom"/>
          </w:tcPr>
          <w:p>
            <w:pPr>
              <w:spacing w:after="0"/>
              <w:rPr>
                <w:sz w:val="19"/>
                <w:szCs w:val="19"/>
                <w:color w:val="auto"/>
              </w:rPr>
            </w:pPr>
          </w:p>
        </w:tc>
      </w:tr>
    </w:tbl>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5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INDEMNITOR</w:t>
            </w:r>
          </w:p>
        </w:tc>
      </w:tr>
      <w:tr>
        <w:trPr>
          <w:trHeight w:val="228"/>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ATTEST OR WITNESS:</w:t>
            </w:r>
          </w:p>
        </w:tc>
        <w:tc>
          <w:tcPr>
            <w:tcW w:w="240" w:type="dxa"/>
            <w:vAlign w:val="bottom"/>
          </w:tcPr>
          <w:p>
            <w:pPr>
              <w:spacing w:after="0"/>
              <w:rPr>
                <w:sz w:val="19"/>
                <w:szCs w:val="19"/>
                <w:color w:val="auto"/>
              </w:rPr>
            </w:pP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YANKEE ENVIRONMENTAL SERVICES, LLC</w:t>
            </w:r>
          </w:p>
        </w:tc>
      </w:tr>
      <w:tr>
        <w:trPr>
          <w:trHeight w:val="366"/>
        </w:trPr>
        <w:tc>
          <w:tcPr>
            <w:tcW w:w="5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Kathleen M. LaVoy</w:t>
            </w:r>
          </w:p>
        </w:tc>
        <w:tc>
          <w:tcPr>
            <w:tcW w:w="240" w:type="dxa"/>
            <w:vAlign w:val="bottom"/>
          </w:tcPr>
          <w:p>
            <w:pPr>
              <w:spacing w:after="0"/>
              <w:rPr>
                <w:sz w:val="24"/>
                <w:szCs w:val="24"/>
                <w:color w:val="auto"/>
              </w:rPr>
            </w:pPr>
          </w:p>
        </w:tc>
        <w:tc>
          <w:tcPr>
            <w:tcW w:w="5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Bruce J. Biemeck(SEAL)</w:t>
            </w:r>
          </w:p>
        </w:tc>
      </w:tr>
      <w:tr>
        <w:trPr>
          <w:trHeight w:val="223"/>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Name and Title</w:t>
            </w:r>
          </w:p>
        </w:tc>
        <w:tc>
          <w:tcPr>
            <w:tcW w:w="240" w:type="dxa"/>
            <w:vAlign w:val="bottom"/>
          </w:tcPr>
          <w:p>
            <w:pPr>
              <w:spacing w:after="0"/>
              <w:rPr>
                <w:sz w:val="19"/>
                <w:szCs w:val="19"/>
                <w:color w:val="auto"/>
              </w:rPr>
            </w:pP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Bruce J. Biemeck, Vice President and Chief Financial Officer</w:t>
            </w:r>
          </w:p>
        </w:tc>
      </w:tr>
    </w:tbl>
    <w:p>
      <w:pPr>
        <w:spacing w:after="0" w:line="1" w:lineRule="exact"/>
        <w:rPr>
          <w:sz w:val="20"/>
          <w:szCs w:val="20"/>
          <w:color w:val="auto"/>
        </w:rPr>
      </w:pPr>
    </w:p>
    <w:p>
      <w:pPr>
        <w:sectPr>
          <w:pgSz w:w="11900" w:h="16838" w:orient="portrait"/>
          <w:cols w:equalWidth="0" w:num="1">
            <w:col w:w="11420"/>
          </w:cols>
          <w:pgMar w:left="240" w:top="272" w:right="239" w:bottom="1440" w:gutter="0" w:footer="0" w:header="0"/>
        </w:sectPr>
      </w:pPr>
    </w:p>
    <w:p>
      <w:pPr>
        <w:spacing w:after="0"/>
        <w:rPr>
          <w:sz w:val="20"/>
          <w:szCs w:val="20"/>
          <w:color w:val="auto"/>
        </w:rPr>
      </w:pPr>
      <w:r>
        <w:rPr>
          <w:rFonts w:ascii="Times New Roman" w:cs="Times New Roman" w:eastAsia="Times New Roman" w:hAnsi="Times New Roman"/>
          <w:sz w:val="16"/>
          <w:szCs w:val="16"/>
          <w:color w:val="auto"/>
        </w:rPr>
        <w:t>Chief Legal Officer</w:t>
      </w:r>
    </w:p>
    <w:p>
      <w:pPr>
        <w:sectPr>
          <w:pgSz w:w="11900" w:h="16838" w:orient="portrait"/>
          <w:cols w:equalWidth="0" w:num="1">
            <w:col w:w="11420"/>
          </w:cols>
          <w:pgMar w:left="240" w:top="272" w:right="239" w:bottom="1440" w:gutter="0" w:footer="0" w:header="0"/>
          <w:type w:val="continuous"/>
        </w:sectPr>
      </w:pP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(Signatures continued next page)</w:t>
      </w:r>
    </w:p>
    <w:p>
      <w:pPr>
        <w:sectPr>
          <w:pgSz w:w="11900" w:h="16838" w:orient="portrait"/>
          <w:cols w:equalWidth="0" w:num="1">
            <w:col w:w="11420"/>
          </w:cols>
          <w:pgMar w:left="240" w:top="272" w:right="239" w:bottom="1440" w:gutter="0" w:footer="0" w:header="0"/>
          <w:type w:val="continuous"/>
        </w:sectPr>
      </w:pP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Great Lakes Lender-Surety Priority Agreement</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page 7 of 9</w:t>
      </w:r>
    </w:p>
    <w:p>
      <w:pPr>
        <w:sectPr>
          <w:pgSz w:w="11900" w:h="16838" w:orient="portrait"/>
          <w:cols w:equalWidth="0" w:num="2">
            <w:col w:w="9920" w:space="720"/>
            <w:col w:w="780"/>
          </w:cols>
          <w:pgMar w:left="240" w:top="272" w:right="239" w:bottom="1440" w:gutter="0" w:footer="0" w:header="0"/>
          <w:type w:val="continuous"/>
        </w:sectPr>
      </w:pPr>
    </w:p>
    <w:bookmarkStart w:id="139" w:name="page140"/>
    <w:bookmarkEnd w:id="139"/>
    <w:tbl>
      <w:tblPr>
        <w:tblLayout w:type="fixed"/>
        <w:tblInd w:w="0" w:type="dxa"/>
        <w:tblCellMar>
          <w:top w:w="0" w:type="dxa"/>
          <w:left w:w="0" w:type="dxa"/>
          <w:bottom w:w="0" w:type="dxa"/>
          <w:right w:w="0" w:type="dxa"/>
        </w:tblCellMar>
      </w:tblPr>
      <w:tr>
        <w:trPr>
          <w:trHeight w:val="218"/>
        </w:trPr>
        <w:tc>
          <w:tcPr>
            <w:tcW w:w="20" w:type="dxa"/>
            <w:vAlign w:val="bottom"/>
          </w:tcPr>
          <w:p>
            <w:pPr>
              <w:spacing w:after="0"/>
              <w:rPr>
                <w:sz w:val="18"/>
                <w:szCs w:val="18"/>
                <w:color w:val="auto"/>
              </w:rPr>
            </w:pPr>
          </w:p>
        </w:tc>
        <w:tc>
          <w:tcPr>
            <w:tcW w:w="53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46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INDEMNITOR</w:t>
            </w:r>
          </w:p>
        </w:tc>
      </w:tr>
      <w:tr>
        <w:trPr>
          <w:trHeight w:val="228"/>
        </w:trPr>
        <w:tc>
          <w:tcPr>
            <w:tcW w:w="59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ATTEST OR WITNESS:</w:t>
            </w:r>
          </w:p>
        </w:tc>
        <w:tc>
          <w:tcPr>
            <w:tcW w:w="54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GREAT LAKES DREDGE &amp; DOCK (BAHAMAS) LTD.</w:t>
            </w:r>
          </w:p>
        </w:tc>
      </w:tr>
      <w:tr>
        <w:trPr>
          <w:trHeight w:val="365"/>
        </w:trPr>
        <w:tc>
          <w:tcPr>
            <w:tcW w:w="59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 Kathleen M. LaVoy</w:t>
            </w:r>
          </w:p>
        </w:tc>
        <w:tc>
          <w:tcPr>
            <w:tcW w:w="54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 Bruce J. Biemeck(SEAL)</w:t>
            </w:r>
          </w:p>
        </w:tc>
      </w:tr>
      <w:tr>
        <w:trPr>
          <w:trHeight w:val="224"/>
        </w:trPr>
        <w:tc>
          <w:tcPr>
            <w:tcW w:w="20" w:type="dxa"/>
            <w:vAlign w:val="bottom"/>
          </w:tcPr>
          <w:p>
            <w:pPr>
              <w:spacing w:after="0"/>
              <w:rPr>
                <w:sz w:val="19"/>
                <w:szCs w:val="19"/>
                <w:color w:val="auto"/>
              </w:rPr>
            </w:pPr>
          </w:p>
        </w:tc>
        <w:tc>
          <w:tcPr>
            <w:tcW w:w="53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Name and Title</w:t>
            </w:r>
          </w:p>
        </w:tc>
        <w:tc>
          <w:tcPr>
            <w:tcW w:w="580" w:type="dxa"/>
            <w:vAlign w:val="bottom"/>
          </w:tcPr>
          <w:p>
            <w:pPr>
              <w:spacing w:after="0"/>
              <w:rPr>
                <w:sz w:val="19"/>
                <w:szCs w:val="19"/>
                <w:color w:val="auto"/>
              </w:rPr>
            </w:pPr>
          </w:p>
        </w:tc>
        <w:tc>
          <w:tcPr>
            <w:tcW w:w="546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Bruce J. Biemeck, Vice President</w:t>
            </w:r>
          </w:p>
        </w:tc>
      </w:tr>
    </w:tbl>
    <w:p>
      <w:pPr>
        <w:ind w:left="100"/>
        <w:spacing w:after="0"/>
        <w:rPr>
          <w:sz w:val="20"/>
          <w:szCs w:val="20"/>
          <w:color w:val="auto"/>
        </w:rPr>
        <w:sectPr>
          <w:pgSz w:w="11900" w:h="16838" w:orient="portrait"/>
          <w:cols w:equalWidth="0" w:num="1">
            <w:col w:w="11420"/>
          </w:cols>
          <w:pgMar w:left="240" w:top="272" w:right="2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6"/>
          <w:szCs w:val="16"/>
          <w:color w:val="auto"/>
        </w:rPr>
        <w:t>Chief Legal Officer</w:t>
      </w:r>
    </w:p>
    <w:p>
      <w:pPr>
        <w:sectPr>
          <w:pgSz w:w="11900" w:h="16838" w:orient="portrait"/>
          <w:cols w:equalWidth="0" w:num="1">
            <w:col w:w="11420"/>
          </w:cols>
          <w:pgMar w:left="240" w:top="272" w:right="239" w:bottom="1440" w:gutter="0" w:footer="0" w:header="0"/>
          <w:type w:val="continuous"/>
        </w:sectPr>
      </w:pPr>
    </w:p>
    <w:p>
      <w:pPr>
        <w:spacing w:after="0" w:line="1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(Exhibit follows)</w:t>
      </w:r>
    </w:p>
    <w:p>
      <w:pPr>
        <w:sectPr>
          <w:pgSz w:w="11900" w:h="16838" w:orient="portrait"/>
          <w:cols w:equalWidth="0" w:num="1">
            <w:col w:w="11420"/>
          </w:cols>
          <w:pgMar w:left="240" w:top="272" w:right="239" w:bottom="1440" w:gutter="0" w:footer="0" w:header="0"/>
          <w:type w:val="continuous"/>
        </w:sectPr>
      </w:pP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Great Lakes Lender-Surety Priority Agreement</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page 8 of 9</w:t>
      </w:r>
    </w:p>
    <w:p>
      <w:pPr>
        <w:sectPr>
          <w:pgSz w:w="11900" w:h="16838" w:orient="portrait"/>
          <w:cols w:equalWidth="0" w:num="2">
            <w:col w:w="9920" w:space="720"/>
            <w:col w:w="780"/>
          </w:cols>
          <w:pgMar w:left="240" w:top="272" w:right="239" w:bottom="1440" w:gutter="0" w:footer="0" w:header="0"/>
          <w:type w:val="continuous"/>
        </w:sectPr>
      </w:pPr>
    </w:p>
    <w:bookmarkStart w:id="140" w:name="page141"/>
    <w:bookmarkEnd w:id="140"/>
    <w:tbl>
      <w:tblPr>
        <w:tblLayout w:type="fixed"/>
        <w:tblInd w:w="0" w:type="dxa"/>
        <w:tblCellMar>
          <w:top w:w="0" w:type="dxa"/>
          <w:left w:w="0" w:type="dxa"/>
          <w:bottom w:w="0" w:type="dxa"/>
          <w:right w:w="0" w:type="dxa"/>
        </w:tblCellMar>
      </w:tblPr>
      <w:tr>
        <w:trPr>
          <w:trHeight w:val="230"/>
        </w:trPr>
        <w:tc>
          <w:tcPr>
            <w:tcW w:w="114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7820" w:type="dxa"/>
            <w:vAlign w:val="bottom"/>
            <w:gridSpan w:val="2"/>
          </w:tcPr>
          <w:p>
            <w:pPr>
              <w:ind w:left="1660"/>
              <w:spacing w:after="0"/>
              <w:rPr>
                <w:sz w:val="20"/>
                <w:szCs w:val="20"/>
                <w:color w:val="auto"/>
              </w:rPr>
            </w:pPr>
            <w:r>
              <w:rPr>
                <w:rFonts w:ascii="Times New Roman" w:cs="Times New Roman" w:eastAsia="Times New Roman" w:hAnsi="Times New Roman"/>
                <w:sz w:val="18"/>
                <w:szCs w:val="18"/>
                <w:b w:val="1"/>
                <w:bCs w:val="1"/>
                <w:color w:val="auto"/>
              </w:rPr>
              <w:t>EXHIBIT A</w:t>
            </w:r>
          </w:p>
        </w:tc>
      </w:tr>
      <w:tr>
        <w:trPr>
          <w:trHeight w:val="378"/>
        </w:trPr>
        <w:tc>
          <w:tcPr>
            <w:tcW w:w="114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7820" w:type="dxa"/>
            <w:vAlign w:val="bottom"/>
            <w:gridSpan w:val="2"/>
          </w:tcPr>
          <w:p>
            <w:pPr>
              <w:ind w:left="300"/>
              <w:spacing w:after="0"/>
              <w:rPr>
                <w:sz w:val="20"/>
                <w:szCs w:val="20"/>
                <w:color w:val="auto"/>
              </w:rPr>
            </w:pPr>
            <w:r>
              <w:rPr>
                <w:rFonts w:ascii="Times New Roman" w:cs="Times New Roman" w:eastAsia="Times New Roman" w:hAnsi="Times New Roman"/>
                <w:sz w:val="18"/>
                <w:szCs w:val="18"/>
                <w:b w:val="1"/>
                <w:bCs w:val="1"/>
                <w:color w:val="auto"/>
              </w:rPr>
              <w:t>SCHEDULE OF COLLATERAL EQUIPMENT</w:t>
            </w:r>
          </w:p>
        </w:tc>
      </w:tr>
      <w:tr>
        <w:trPr>
          <w:trHeight w:val="373"/>
        </w:trPr>
        <w:tc>
          <w:tcPr>
            <w:tcW w:w="1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i w:val="1"/>
                <w:iCs w:val="1"/>
                <w:color w:val="auto"/>
              </w:rPr>
              <w:t>NAME OF VESSEL</w:t>
            </w:r>
          </w:p>
        </w:tc>
        <w:tc>
          <w:tcPr>
            <w:tcW w:w="2460" w:type="dxa"/>
            <w:vAlign w:val="bottom"/>
          </w:tcPr>
          <w:p>
            <w:pPr>
              <w:spacing w:after="0"/>
              <w:rPr>
                <w:sz w:val="24"/>
                <w:szCs w:val="24"/>
                <w:color w:val="auto"/>
              </w:rPr>
            </w:pPr>
          </w:p>
        </w:tc>
        <w:tc>
          <w:tcPr>
            <w:tcW w:w="6460" w:type="dxa"/>
            <w:vAlign w:val="bottom"/>
          </w:tcPr>
          <w:p>
            <w:pPr>
              <w:spacing w:after="0"/>
              <w:rPr>
                <w:sz w:val="24"/>
                <w:szCs w:val="24"/>
                <w:color w:val="auto"/>
              </w:rPr>
            </w:pPr>
          </w:p>
        </w:tc>
        <w:tc>
          <w:tcPr>
            <w:tcW w:w="1360" w:type="dxa"/>
            <w:vAlign w:val="bottom"/>
          </w:tcPr>
          <w:p>
            <w:pPr>
              <w:ind w:left="80"/>
              <w:spacing w:after="0"/>
              <w:rPr>
                <w:sz w:val="20"/>
                <w:szCs w:val="20"/>
                <w:color w:val="auto"/>
              </w:rPr>
            </w:pPr>
            <w:r>
              <w:rPr>
                <w:rFonts w:ascii="Times New Roman" w:cs="Times New Roman" w:eastAsia="Times New Roman" w:hAnsi="Times New Roman"/>
                <w:sz w:val="14"/>
                <w:szCs w:val="14"/>
                <w:i w:val="1"/>
                <w:iCs w:val="1"/>
                <w:color w:val="auto"/>
              </w:rPr>
              <w:t>OFFICIAL NUMBER</w:t>
            </w:r>
          </w:p>
        </w:tc>
      </w:tr>
      <w:tr>
        <w:trPr>
          <w:trHeight w:val="203"/>
        </w:trPr>
        <w:tc>
          <w:tcPr>
            <w:tcW w:w="360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JESSIE</w:t>
            </w:r>
          </w:p>
        </w:tc>
        <w:tc>
          <w:tcPr>
            <w:tcW w:w="6460" w:type="dxa"/>
            <w:vAlign w:val="bottom"/>
            <w:tcBorders>
              <w:top w:val="single" w:sz="8" w:color="CCEEFF"/>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273722</w:t>
            </w:r>
          </w:p>
        </w:tc>
      </w:tr>
      <w:tr>
        <w:trPr>
          <w:trHeight w:val="216"/>
        </w:trPr>
        <w:tc>
          <w:tcPr>
            <w:tcW w:w="3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ALASKA</w:t>
            </w:r>
          </w:p>
        </w:tc>
        <w:tc>
          <w:tcPr>
            <w:tcW w:w="7820" w:type="dxa"/>
            <w:vAlign w:val="bottom"/>
            <w:gridSpan w:val="2"/>
          </w:tcPr>
          <w:p>
            <w:pPr>
              <w:ind w:left="6460"/>
              <w:spacing w:after="0"/>
              <w:rPr>
                <w:sz w:val="20"/>
                <w:szCs w:val="20"/>
                <w:color w:val="auto"/>
              </w:rPr>
            </w:pPr>
            <w:r>
              <w:rPr>
                <w:rFonts w:ascii="Times New Roman" w:cs="Times New Roman" w:eastAsia="Times New Roman" w:hAnsi="Times New Roman"/>
                <w:sz w:val="18"/>
                <w:szCs w:val="18"/>
                <w:color w:val="auto"/>
              </w:rPr>
              <w:t>283416</w:t>
            </w:r>
          </w:p>
        </w:tc>
      </w:tr>
      <w:tr>
        <w:trPr>
          <w:trHeight w:val="216"/>
        </w:trPr>
        <w:tc>
          <w:tcPr>
            <w:tcW w:w="3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G.L. 51</w:t>
            </w:r>
          </w:p>
        </w:tc>
        <w:tc>
          <w:tcPr>
            <w:tcW w:w="7820" w:type="dxa"/>
            <w:vAlign w:val="bottom"/>
            <w:gridSpan w:val="2"/>
            <w:shd w:val="clear" w:color="auto" w:fill="CCEEFF"/>
          </w:tcPr>
          <w:p>
            <w:pPr>
              <w:ind w:left="6460"/>
              <w:spacing w:after="0"/>
              <w:rPr>
                <w:sz w:val="20"/>
                <w:szCs w:val="20"/>
                <w:color w:val="auto"/>
              </w:rPr>
            </w:pPr>
            <w:r>
              <w:rPr>
                <w:rFonts w:ascii="Times New Roman" w:cs="Times New Roman" w:eastAsia="Times New Roman" w:hAnsi="Times New Roman"/>
                <w:sz w:val="18"/>
                <w:szCs w:val="18"/>
                <w:color w:val="auto"/>
              </w:rPr>
              <w:t>288765</w:t>
            </w:r>
          </w:p>
        </w:tc>
      </w:tr>
      <w:tr>
        <w:trPr>
          <w:trHeight w:val="216"/>
        </w:trPr>
        <w:tc>
          <w:tcPr>
            <w:tcW w:w="3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PONTCHARTRAIN</w:t>
            </w:r>
          </w:p>
        </w:tc>
        <w:tc>
          <w:tcPr>
            <w:tcW w:w="7820" w:type="dxa"/>
            <w:vAlign w:val="bottom"/>
            <w:gridSpan w:val="2"/>
          </w:tcPr>
          <w:p>
            <w:pPr>
              <w:ind w:left="6460"/>
              <w:spacing w:after="0"/>
              <w:rPr>
                <w:sz w:val="20"/>
                <w:szCs w:val="20"/>
                <w:color w:val="auto"/>
              </w:rPr>
            </w:pPr>
            <w:r>
              <w:rPr>
                <w:rFonts w:ascii="Times New Roman" w:cs="Times New Roman" w:eastAsia="Times New Roman" w:hAnsi="Times New Roman"/>
                <w:sz w:val="18"/>
                <w:szCs w:val="18"/>
                <w:color w:val="auto"/>
              </w:rPr>
              <w:t>290028</w:t>
            </w:r>
          </w:p>
        </w:tc>
      </w:tr>
      <w:tr>
        <w:trPr>
          <w:trHeight w:val="216"/>
        </w:trPr>
        <w:tc>
          <w:tcPr>
            <w:tcW w:w="3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CALIFORNIA</w:t>
            </w:r>
          </w:p>
        </w:tc>
        <w:tc>
          <w:tcPr>
            <w:tcW w:w="7820" w:type="dxa"/>
            <w:vAlign w:val="bottom"/>
            <w:gridSpan w:val="2"/>
            <w:shd w:val="clear" w:color="auto" w:fill="CCEEFF"/>
          </w:tcPr>
          <w:p>
            <w:pPr>
              <w:ind w:left="6460"/>
              <w:spacing w:after="0"/>
              <w:rPr>
                <w:sz w:val="20"/>
                <w:szCs w:val="20"/>
                <w:color w:val="auto"/>
              </w:rPr>
            </w:pPr>
            <w:r>
              <w:rPr>
                <w:rFonts w:ascii="Times New Roman" w:cs="Times New Roman" w:eastAsia="Times New Roman" w:hAnsi="Times New Roman"/>
                <w:sz w:val="18"/>
                <w:szCs w:val="18"/>
                <w:color w:val="auto"/>
              </w:rPr>
              <w:t>292779</w:t>
            </w:r>
          </w:p>
        </w:tc>
      </w:tr>
      <w:tr>
        <w:trPr>
          <w:trHeight w:val="216"/>
        </w:trPr>
        <w:tc>
          <w:tcPr>
            <w:tcW w:w="3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BUSTER</w:t>
            </w:r>
          </w:p>
        </w:tc>
        <w:tc>
          <w:tcPr>
            <w:tcW w:w="7820" w:type="dxa"/>
            <w:vAlign w:val="bottom"/>
            <w:gridSpan w:val="2"/>
          </w:tcPr>
          <w:p>
            <w:pPr>
              <w:ind w:left="6460"/>
              <w:spacing w:after="0"/>
              <w:rPr>
                <w:sz w:val="20"/>
                <w:szCs w:val="20"/>
                <w:color w:val="auto"/>
              </w:rPr>
            </w:pPr>
            <w:r>
              <w:rPr>
                <w:rFonts w:ascii="Times New Roman" w:cs="Times New Roman" w:eastAsia="Times New Roman" w:hAnsi="Times New Roman"/>
                <w:sz w:val="18"/>
                <w:szCs w:val="18"/>
                <w:color w:val="auto"/>
              </w:rPr>
              <w:t>504442</w:t>
            </w:r>
          </w:p>
        </w:tc>
      </w:tr>
      <w:tr>
        <w:trPr>
          <w:trHeight w:val="216"/>
        </w:trPr>
        <w:tc>
          <w:tcPr>
            <w:tcW w:w="3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FLORIDA</w:t>
            </w:r>
          </w:p>
        </w:tc>
        <w:tc>
          <w:tcPr>
            <w:tcW w:w="7820" w:type="dxa"/>
            <w:vAlign w:val="bottom"/>
            <w:gridSpan w:val="2"/>
            <w:shd w:val="clear" w:color="auto" w:fill="CCEEFF"/>
          </w:tcPr>
          <w:p>
            <w:pPr>
              <w:ind w:left="6460"/>
              <w:spacing w:after="0"/>
              <w:rPr>
                <w:sz w:val="20"/>
                <w:szCs w:val="20"/>
                <w:color w:val="auto"/>
              </w:rPr>
            </w:pPr>
            <w:r>
              <w:rPr>
                <w:rFonts w:ascii="Times New Roman" w:cs="Times New Roman" w:eastAsia="Times New Roman" w:hAnsi="Times New Roman"/>
                <w:sz w:val="18"/>
                <w:szCs w:val="18"/>
                <w:color w:val="auto"/>
              </w:rPr>
              <w:t>506446</w:t>
            </w:r>
          </w:p>
        </w:tc>
      </w:tr>
      <w:tr>
        <w:trPr>
          <w:trHeight w:val="216"/>
        </w:trPr>
        <w:tc>
          <w:tcPr>
            <w:tcW w:w="3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G.L. 141</w:t>
            </w:r>
          </w:p>
        </w:tc>
        <w:tc>
          <w:tcPr>
            <w:tcW w:w="7820" w:type="dxa"/>
            <w:vAlign w:val="bottom"/>
            <w:gridSpan w:val="2"/>
          </w:tcPr>
          <w:p>
            <w:pPr>
              <w:ind w:left="6460"/>
              <w:spacing w:after="0"/>
              <w:rPr>
                <w:sz w:val="20"/>
                <w:szCs w:val="20"/>
                <w:color w:val="auto"/>
              </w:rPr>
            </w:pPr>
            <w:r>
              <w:rPr>
                <w:rFonts w:ascii="Times New Roman" w:cs="Times New Roman" w:eastAsia="Times New Roman" w:hAnsi="Times New Roman"/>
                <w:sz w:val="18"/>
                <w:szCs w:val="18"/>
                <w:color w:val="auto"/>
              </w:rPr>
              <w:t>538934</w:t>
            </w:r>
          </w:p>
        </w:tc>
      </w:tr>
      <w:tr>
        <w:trPr>
          <w:trHeight w:val="216"/>
        </w:trPr>
        <w:tc>
          <w:tcPr>
            <w:tcW w:w="3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CAROLINA</w:t>
            </w:r>
          </w:p>
        </w:tc>
        <w:tc>
          <w:tcPr>
            <w:tcW w:w="7820" w:type="dxa"/>
            <w:vAlign w:val="bottom"/>
            <w:gridSpan w:val="2"/>
            <w:shd w:val="clear" w:color="auto" w:fill="CCEEFF"/>
          </w:tcPr>
          <w:p>
            <w:pPr>
              <w:ind w:left="6460"/>
              <w:spacing w:after="0"/>
              <w:rPr>
                <w:sz w:val="20"/>
                <w:szCs w:val="20"/>
                <w:color w:val="auto"/>
              </w:rPr>
            </w:pPr>
            <w:r>
              <w:rPr>
                <w:rFonts w:ascii="Times New Roman" w:cs="Times New Roman" w:eastAsia="Times New Roman" w:hAnsi="Times New Roman"/>
                <w:sz w:val="18"/>
                <w:szCs w:val="18"/>
                <w:color w:val="auto"/>
              </w:rPr>
              <w:t>552707</w:t>
            </w:r>
          </w:p>
        </w:tc>
      </w:tr>
      <w:tr>
        <w:trPr>
          <w:trHeight w:val="216"/>
        </w:trPr>
        <w:tc>
          <w:tcPr>
            <w:tcW w:w="3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GL-54</w:t>
            </w:r>
          </w:p>
        </w:tc>
        <w:tc>
          <w:tcPr>
            <w:tcW w:w="7820" w:type="dxa"/>
            <w:vAlign w:val="bottom"/>
            <w:gridSpan w:val="2"/>
          </w:tcPr>
          <w:p>
            <w:pPr>
              <w:ind w:left="6460"/>
              <w:spacing w:after="0"/>
              <w:rPr>
                <w:sz w:val="20"/>
                <w:szCs w:val="20"/>
                <w:color w:val="auto"/>
              </w:rPr>
            </w:pPr>
            <w:r>
              <w:rPr>
                <w:rFonts w:ascii="Times New Roman" w:cs="Times New Roman" w:eastAsia="Times New Roman" w:hAnsi="Times New Roman"/>
                <w:sz w:val="18"/>
                <w:szCs w:val="18"/>
                <w:color w:val="auto"/>
              </w:rPr>
              <w:t>560225</w:t>
            </w:r>
          </w:p>
        </w:tc>
      </w:tr>
      <w:tr>
        <w:trPr>
          <w:trHeight w:val="216"/>
        </w:trPr>
        <w:tc>
          <w:tcPr>
            <w:tcW w:w="3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 53</w:t>
            </w:r>
          </w:p>
        </w:tc>
        <w:tc>
          <w:tcPr>
            <w:tcW w:w="7820" w:type="dxa"/>
            <w:vAlign w:val="bottom"/>
            <w:gridSpan w:val="2"/>
            <w:shd w:val="clear" w:color="auto" w:fill="CCEEFF"/>
          </w:tcPr>
          <w:p>
            <w:pPr>
              <w:ind w:left="6460"/>
              <w:spacing w:after="0"/>
              <w:rPr>
                <w:sz w:val="20"/>
                <w:szCs w:val="20"/>
                <w:color w:val="auto"/>
              </w:rPr>
            </w:pPr>
            <w:r>
              <w:rPr>
                <w:rFonts w:ascii="Times New Roman" w:cs="Times New Roman" w:eastAsia="Times New Roman" w:hAnsi="Times New Roman"/>
                <w:sz w:val="18"/>
                <w:szCs w:val="18"/>
                <w:color w:val="auto"/>
              </w:rPr>
              <w:t>566581</w:t>
            </w:r>
          </w:p>
        </w:tc>
      </w:tr>
      <w:tr>
        <w:trPr>
          <w:trHeight w:val="216"/>
        </w:trPr>
        <w:tc>
          <w:tcPr>
            <w:tcW w:w="3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ILLINOIS</w:t>
            </w:r>
          </w:p>
        </w:tc>
        <w:tc>
          <w:tcPr>
            <w:tcW w:w="7820" w:type="dxa"/>
            <w:vAlign w:val="bottom"/>
            <w:gridSpan w:val="2"/>
          </w:tcPr>
          <w:p>
            <w:pPr>
              <w:ind w:left="6460"/>
              <w:spacing w:after="0"/>
              <w:rPr>
                <w:sz w:val="20"/>
                <w:szCs w:val="20"/>
                <w:color w:val="auto"/>
              </w:rPr>
            </w:pPr>
            <w:r>
              <w:rPr>
                <w:rFonts w:ascii="Times New Roman" w:cs="Times New Roman" w:eastAsia="Times New Roman" w:hAnsi="Times New Roman"/>
                <w:sz w:val="18"/>
                <w:szCs w:val="18"/>
                <w:color w:val="auto"/>
              </w:rPr>
              <w:t>580274</w:t>
            </w:r>
          </w:p>
        </w:tc>
      </w:tr>
      <w:tr>
        <w:trPr>
          <w:trHeight w:val="216"/>
        </w:trPr>
        <w:tc>
          <w:tcPr>
            <w:tcW w:w="3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JACK</w:t>
            </w:r>
          </w:p>
        </w:tc>
        <w:tc>
          <w:tcPr>
            <w:tcW w:w="7820" w:type="dxa"/>
            <w:vAlign w:val="bottom"/>
            <w:gridSpan w:val="2"/>
            <w:shd w:val="clear" w:color="auto" w:fill="CCEEFF"/>
          </w:tcPr>
          <w:p>
            <w:pPr>
              <w:ind w:left="6460"/>
              <w:spacing w:after="0"/>
              <w:rPr>
                <w:sz w:val="20"/>
                <w:szCs w:val="20"/>
                <w:color w:val="auto"/>
              </w:rPr>
            </w:pPr>
            <w:r>
              <w:rPr>
                <w:rFonts w:ascii="Times New Roman" w:cs="Times New Roman" w:eastAsia="Times New Roman" w:hAnsi="Times New Roman"/>
                <w:sz w:val="18"/>
                <w:szCs w:val="18"/>
                <w:color w:val="auto"/>
              </w:rPr>
              <w:t>605280</w:t>
            </w:r>
          </w:p>
        </w:tc>
      </w:tr>
      <w:tr>
        <w:trPr>
          <w:trHeight w:val="216"/>
        </w:trPr>
        <w:tc>
          <w:tcPr>
            <w:tcW w:w="3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DODGE ISLAND</w:t>
            </w:r>
          </w:p>
        </w:tc>
        <w:tc>
          <w:tcPr>
            <w:tcW w:w="7820" w:type="dxa"/>
            <w:vAlign w:val="bottom"/>
            <w:gridSpan w:val="2"/>
          </w:tcPr>
          <w:p>
            <w:pPr>
              <w:ind w:left="6460"/>
              <w:spacing w:after="0"/>
              <w:rPr>
                <w:sz w:val="20"/>
                <w:szCs w:val="20"/>
                <w:color w:val="auto"/>
              </w:rPr>
            </w:pPr>
            <w:r>
              <w:rPr>
                <w:rFonts w:ascii="Times New Roman" w:cs="Times New Roman" w:eastAsia="Times New Roman" w:hAnsi="Times New Roman"/>
                <w:sz w:val="18"/>
                <w:szCs w:val="18"/>
                <w:color w:val="auto"/>
              </w:rPr>
              <w:t>625348</w:t>
            </w:r>
          </w:p>
        </w:tc>
      </w:tr>
      <w:tr>
        <w:trPr>
          <w:trHeight w:val="216"/>
        </w:trPr>
        <w:tc>
          <w:tcPr>
            <w:tcW w:w="3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TEXAS</w:t>
            </w:r>
          </w:p>
        </w:tc>
        <w:tc>
          <w:tcPr>
            <w:tcW w:w="7820" w:type="dxa"/>
            <w:vAlign w:val="bottom"/>
            <w:gridSpan w:val="2"/>
            <w:shd w:val="clear" w:color="auto" w:fill="CCEEFF"/>
          </w:tcPr>
          <w:p>
            <w:pPr>
              <w:ind w:left="6460"/>
              <w:spacing w:after="0"/>
              <w:rPr>
                <w:sz w:val="20"/>
                <w:szCs w:val="20"/>
                <w:color w:val="auto"/>
              </w:rPr>
            </w:pPr>
            <w:r>
              <w:rPr>
                <w:rFonts w:ascii="Times New Roman" w:cs="Times New Roman" w:eastAsia="Times New Roman" w:hAnsi="Times New Roman"/>
                <w:sz w:val="18"/>
                <w:szCs w:val="18"/>
                <w:color w:val="auto"/>
              </w:rPr>
              <w:t>627368</w:t>
            </w:r>
          </w:p>
        </w:tc>
      </w:tr>
      <w:tr>
        <w:trPr>
          <w:trHeight w:val="216"/>
        </w:trPr>
        <w:tc>
          <w:tcPr>
            <w:tcW w:w="3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PADRE ISLAND</w:t>
            </w:r>
          </w:p>
        </w:tc>
        <w:tc>
          <w:tcPr>
            <w:tcW w:w="7820" w:type="dxa"/>
            <w:vAlign w:val="bottom"/>
            <w:gridSpan w:val="2"/>
          </w:tcPr>
          <w:p>
            <w:pPr>
              <w:ind w:left="6460"/>
              <w:spacing w:after="0"/>
              <w:rPr>
                <w:sz w:val="20"/>
                <w:szCs w:val="20"/>
                <w:color w:val="auto"/>
              </w:rPr>
            </w:pPr>
            <w:r>
              <w:rPr>
                <w:rFonts w:ascii="Times New Roman" w:cs="Times New Roman" w:eastAsia="Times New Roman" w:hAnsi="Times New Roman"/>
                <w:sz w:val="18"/>
                <w:szCs w:val="18"/>
                <w:color w:val="auto"/>
              </w:rPr>
              <w:t>639291</w:t>
            </w:r>
          </w:p>
        </w:tc>
      </w:tr>
      <w:tr>
        <w:trPr>
          <w:trHeight w:val="216"/>
        </w:trPr>
        <w:tc>
          <w:tcPr>
            <w:tcW w:w="3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OHIO</w:t>
            </w:r>
          </w:p>
        </w:tc>
        <w:tc>
          <w:tcPr>
            <w:tcW w:w="7820" w:type="dxa"/>
            <w:vAlign w:val="bottom"/>
            <w:gridSpan w:val="2"/>
            <w:shd w:val="clear" w:color="auto" w:fill="CCEEFF"/>
          </w:tcPr>
          <w:p>
            <w:pPr>
              <w:ind w:left="6460"/>
              <w:spacing w:after="0"/>
              <w:rPr>
                <w:sz w:val="20"/>
                <w:szCs w:val="20"/>
                <w:color w:val="auto"/>
              </w:rPr>
            </w:pPr>
            <w:r>
              <w:rPr>
                <w:rFonts w:ascii="Times New Roman" w:cs="Times New Roman" w:eastAsia="Times New Roman" w:hAnsi="Times New Roman"/>
                <w:sz w:val="18"/>
                <w:szCs w:val="18"/>
                <w:color w:val="auto"/>
              </w:rPr>
              <w:t>644880</w:t>
            </w:r>
          </w:p>
        </w:tc>
      </w:tr>
      <w:tr>
        <w:trPr>
          <w:trHeight w:val="216"/>
        </w:trPr>
        <w:tc>
          <w:tcPr>
            <w:tcW w:w="3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G.L. 184</w:t>
            </w:r>
          </w:p>
        </w:tc>
        <w:tc>
          <w:tcPr>
            <w:tcW w:w="7820" w:type="dxa"/>
            <w:vAlign w:val="bottom"/>
            <w:gridSpan w:val="2"/>
          </w:tcPr>
          <w:p>
            <w:pPr>
              <w:ind w:left="6460"/>
              <w:spacing w:after="0"/>
              <w:rPr>
                <w:sz w:val="20"/>
                <w:szCs w:val="20"/>
                <w:color w:val="auto"/>
              </w:rPr>
            </w:pPr>
            <w:r>
              <w:rPr>
                <w:rFonts w:ascii="Times New Roman" w:cs="Times New Roman" w:eastAsia="Times New Roman" w:hAnsi="Times New Roman"/>
                <w:sz w:val="18"/>
                <w:szCs w:val="18"/>
                <w:color w:val="auto"/>
              </w:rPr>
              <w:t>652202</w:t>
            </w:r>
          </w:p>
        </w:tc>
      </w:tr>
      <w:tr>
        <w:trPr>
          <w:trHeight w:val="216"/>
        </w:trPr>
        <w:tc>
          <w:tcPr>
            <w:tcW w:w="3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UNLOADER NO. 2</w:t>
            </w:r>
          </w:p>
        </w:tc>
        <w:tc>
          <w:tcPr>
            <w:tcW w:w="7820" w:type="dxa"/>
            <w:vAlign w:val="bottom"/>
            <w:gridSpan w:val="2"/>
            <w:shd w:val="clear" w:color="auto" w:fill="CCEEFF"/>
          </w:tcPr>
          <w:p>
            <w:pPr>
              <w:ind w:left="6460"/>
              <w:spacing w:after="0"/>
              <w:rPr>
                <w:sz w:val="20"/>
                <w:szCs w:val="20"/>
                <w:color w:val="auto"/>
              </w:rPr>
            </w:pPr>
            <w:r>
              <w:rPr>
                <w:rFonts w:ascii="Times New Roman" w:cs="Times New Roman" w:eastAsia="Times New Roman" w:hAnsi="Times New Roman"/>
                <w:sz w:val="18"/>
                <w:szCs w:val="18"/>
                <w:color w:val="auto"/>
              </w:rPr>
              <w:t>667652</w:t>
            </w:r>
          </w:p>
        </w:tc>
      </w:tr>
      <w:tr>
        <w:trPr>
          <w:trHeight w:val="216"/>
        </w:trPr>
        <w:tc>
          <w:tcPr>
            <w:tcW w:w="3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APACHE</w:t>
            </w:r>
          </w:p>
        </w:tc>
        <w:tc>
          <w:tcPr>
            <w:tcW w:w="7820" w:type="dxa"/>
            <w:vAlign w:val="bottom"/>
            <w:gridSpan w:val="2"/>
          </w:tcPr>
          <w:p>
            <w:pPr>
              <w:ind w:left="6460"/>
              <w:spacing w:after="0"/>
              <w:rPr>
                <w:sz w:val="20"/>
                <w:szCs w:val="20"/>
                <w:color w:val="auto"/>
              </w:rPr>
            </w:pPr>
            <w:r>
              <w:rPr>
                <w:rFonts w:ascii="Times New Roman" w:cs="Times New Roman" w:eastAsia="Times New Roman" w:hAnsi="Times New Roman"/>
                <w:sz w:val="18"/>
                <w:szCs w:val="18"/>
                <w:color w:val="auto"/>
              </w:rPr>
              <w:t>668642</w:t>
            </w:r>
          </w:p>
        </w:tc>
      </w:tr>
      <w:tr>
        <w:trPr>
          <w:trHeight w:val="216"/>
        </w:trPr>
        <w:tc>
          <w:tcPr>
            <w:tcW w:w="3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KEY WEST</w:t>
            </w:r>
          </w:p>
        </w:tc>
        <w:tc>
          <w:tcPr>
            <w:tcW w:w="7820" w:type="dxa"/>
            <w:vAlign w:val="bottom"/>
            <w:gridSpan w:val="2"/>
            <w:shd w:val="clear" w:color="auto" w:fill="CCEEFF"/>
          </w:tcPr>
          <w:p>
            <w:pPr>
              <w:ind w:left="6460"/>
              <w:spacing w:after="0"/>
              <w:rPr>
                <w:sz w:val="20"/>
                <w:szCs w:val="20"/>
                <w:color w:val="auto"/>
              </w:rPr>
            </w:pPr>
            <w:r>
              <w:rPr>
                <w:rFonts w:ascii="Times New Roman" w:cs="Times New Roman" w:eastAsia="Times New Roman" w:hAnsi="Times New Roman"/>
                <w:sz w:val="18"/>
                <w:szCs w:val="18"/>
                <w:color w:val="auto"/>
              </w:rPr>
              <w:t>684596</w:t>
            </w:r>
          </w:p>
        </w:tc>
      </w:tr>
      <w:tr>
        <w:trPr>
          <w:trHeight w:val="216"/>
        </w:trPr>
        <w:tc>
          <w:tcPr>
            <w:tcW w:w="3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G.L. 55</w:t>
            </w:r>
          </w:p>
        </w:tc>
        <w:tc>
          <w:tcPr>
            <w:tcW w:w="7820" w:type="dxa"/>
            <w:vAlign w:val="bottom"/>
            <w:gridSpan w:val="2"/>
          </w:tcPr>
          <w:p>
            <w:pPr>
              <w:ind w:left="6460"/>
              <w:spacing w:after="0"/>
              <w:rPr>
                <w:sz w:val="20"/>
                <w:szCs w:val="20"/>
                <w:color w:val="auto"/>
              </w:rPr>
            </w:pPr>
            <w:r>
              <w:rPr>
                <w:rFonts w:ascii="Times New Roman" w:cs="Times New Roman" w:eastAsia="Times New Roman" w:hAnsi="Times New Roman"/>
                <w:sz w:val="18"/>
                <w:szCs w:val="18"/>
                <w:color w:val="auto"/>
              </w:rPr>
              <w:t>1101368</w:t>
            </w:r>
          </w:p>
        </w:tc>
      </w:tr>
      <w:tr>
        <w:trPr>
          <w:trHeight w:val="216"/>
        </w:trPr>
        <w:tc>
          <w:tcPr>
            <w:tcW w:w="3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G.L. 142</w:t>
            </w:r>
          </w:p>
        </w:tc>
        <w:tc>
          <w:tcPr>
            <w:tcW w:w="7820" w:type="dxa"/>
            <w:vAlign w:val="bottom"/>
            <w:gridSpan w:val="2"/>
            <w:shd w:val="clear" w:color="auto" w:fill="CCEEFF"/>
          </w:tcPr>
          <w:p>
            <w:pPr>
              <w:ind w:left="6460"/>
              <w:spacing w:after="0"/>
              <w:rPr>
                <w:sz w:val="20"/>
                <w:szCs w:val="20"/>
                <w:color w:val="auto"/>
              </w:rPr>
            </w:pPr>
            <w:r>
              <w:rPr>
                <w:rFonts w:ascii="Times New Roman" w:cs="Times New Roman" w:eastAsia="Times New Roman" w:hAnsi="Times New Roman"/>
                <w:sz w:val="18"/>
                <w:szCs w:val="18"/>
                <w:color w:val="auto"/>
              </w:rPr>
              <w:t>1139322</w:t>
            </w:r>
          </w:p>
        </w:tc>
      </w:tr>
      <w:tr>
        <w:trPr>
          <w:trHeight w:val="216"/>
        </w:trPr>
        <w:tc>
          <w:tcPr>
            <w:tcW w:w="3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GL-66</w:t>
            </w:r>
          </w:p>
        </w:tc>
        <w:tc>
          <w:tcPr>
            <w:tcW w:w="7820" w:type="dxa"/>
            <w:vAlign w:val="bottom"/>
            <w:gridSpan w:val="2"/>
          </w:tcPr>
          <w:p>
            <w:pPr>
              <w:ind w:left="6460"/>
              <w:spacing w:after="0"/>
              <w:rPr>
                <w:sz w:val="20"/>
                <w:szCs w:val="20"/>
                <w:color w:val="auto"/>
              </w:rPr>
            </w:pPr>
            <w:r>
              <w:rPr>
                <w:rFonts w:ascii="Times New Roman" w:cs="Times New Roman" w:eastAsia="Times New Roman" w:hAnsi="Times New Roman"/>
                <w:sz w:val="18"/>
                <w:szCs w:val="18"/>
                <w:color w:val="auto"/>
              </w:rPr>
              <w:t>1151814</w:t>
            </w:r>
          </w:p>
        </w:tc>
      </w:tr>
      <w:tr>
        <w:trPr>
          <w:trHeight w:val="216"/>
        </w:trPr>
        <w:tc>
          <w:tcPr>
            <w:tcW w:w="3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MANHATTAN ISLAND</w:t>
            </w:r>
          </w:p>
        </w:tc>
        <w:tc>
          <w:tcPr>
            <w:tcW w:w="64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2694 (RMI Flag)</w:t>
            </w:r>
          </w:p>
        </w:tc>
      </w:tr>
      <w:tr>
        <w:trPr>
          <w:trHeight w:val="216"/>
        </w:trPr>
        <w:tc>
          <w:tcPr>
            <w:tcW w:w="3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SUGAR ISLAND</w:t>
            </w:r>
          </w:p>
        </w:tc>
        <w:tc>
          <w:tcPr>
            <w:tcW w:w="6460" w:type="dxa"/>
            <w:vAlign w:val="bottom"/>
          </w:tcPr>
          <w:p>
            <w:pPr>
              <w:spacing w:after="0"/>
              <w:rPr>
                <w:sz w:val="18"/>
                <w:szCs w:val="18"/>
                <w:color w:val="auto"/>
              </w:rPr>
            </w:pPr>
          </w:p>
        </w:tc>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2695 (RMI Flag)</w:t>
            </w:r>
          </w:p>
        </w:tc>
      </w:tr>
      <w:tr>
        <w:trPr>
          <w:trHeight w:val="216"/>
        </w:trPr>
        <w:tc>
          <w:tcPr>
            <w:tcW w:w="3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NOON ISLAND</w:t>
            </w:r>
          </w:p>
        </w:tc>
        <w:tc>
          <w:tcPr>
            <w:tcW w:w="64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3097 (RMI Flag)</w:t>
            </w:r>
          </w:p>
        </w:tc>
      </w:tr>
      <w:tr>
        <w:trPr>
          <w:trHeight w:val="228"/>
        </w:trPr>
        <w:tc>
          <w:tcPr>
            <w:tcW w:w="3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REEM ISLAND</w:t>
            </w:r>
          </w:p>
        </w:tc>
        <w:tc>
          <w:tcPr>
            <w:tcW w:w="6460" w:type="dxa"/>
            <w:vAlign w:val="bottom"/>
          </w:tcPr>
          <w:p>
            <w:pPr>
              <w:spacing w:after="0"/>
              <w:rPr>
                <w:sz w:val="19"/>
                <w:szCs w:val="19"/>
                <w:color w:val="auto"/>
              </w:rPr>
            </w:pPr>
          </w:p>
        </w:tc>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3098 (RMI Flag)</w:t>
            </w:r>
          </w:p>
        </w:tc>
      </w:tr>
      <w:tr>
        <w:trPr>
          <w:trHeight w:val="350"/>
        </w:trPr>
        <w:tc>
          <w:tcPr>
            <w:tcW w:w="3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Great Lakes Lender-Surety Priority Agreement</w:t>
            </w:r>
          </w:p>
        </w:tc>
        <w:tc>
          <w:tcPr>
            <w:tcW w:w="6460" w:type="dxa"/>
            <w:vAlign w:val="bottom"/>
          </w:tcPr>
          <w:p>
            <w:pPr>
              <w:spacing w:after="0"/>
              <w:rPr>
                <w:sz w:val="24"/>
                <w:szCs w:val="24"/>
                <w:color w:val="auto"/>
              </w:rPr>
            </w:pPr>
          </w:p>
        </w:tc>
        <w:tc>
          <w:tcPr>
            <w:tcW w:w="1360" w:type="dxa"/>
            <w:vAlign w:val="bottom"/>
          </w:tcPr>
          <w:p>
            <w:pPr>
              <w:ind w:left="580"/>
              <w:spacing w:after="0"/>
              <w:rPr>
                <w:sz w:val="20"/>
                <w:szCs w:val="20"/>
                <w:color w:val="auto"/>
              </w:rPr>
            </w:pPr>
            <w:r>
              <w:rPr>
                <w:rFonts w:ascii="Times New Roman" w:cs="Times New Roman" w:eastAsia="Times New Roman" w:hAnsi="Times New Roman"/>
                <w:sz w:val="18"/>
                <w:szCs w:val="18"/>
                <w:color w:val="auto"/>
                <w:w w:val="94"/>
              </w:rPr>
              <w:t>page 9 of 9</w:t>
            </w:r>
          </w:p>
        </w:tc>
      </w:tr>
    </w:tbl>
    <w:p>
      <w:pPr>
        <w:ind w:left="580"/>
        <w:spacing w:after="0"/>
        <w:rPr>
          <w:sz w:val="20"/>
          <w:szCs w:val="20"/>
          <w:color w:val="auto"/>
        </w:rPr>
        <w:sectPr>
          <w:pgSz w:w="11900" w:h="16838" w:orient="portrait"/>
          <w:cols w:equalWidth="0" w:num="1">
            <w:col w:w="11420"/>
          </w:cols>
          <w:pgMar w:left="240" w:top="272" w:right="2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bookmarkStart w:id="141" w:name="page142"/>
    <w:bookmarkEnd w:id="141"/>
    <w:p>
      <w:pPr>
        <w:jc w:val="right"/>
        <w:spacing w:after="0"/>
        <w:rPr>
          <w:sz w:val="20"/>
          <w:szCs w:val="20"/>
          <w:color w:val="auto"/>
        </w:rPr>
      </w:pPr>
      <w:r>
        <w:rPr>
          <w:rFonts w:ascii="Times New Roman" w:cs="Times New Roman" w:eastAsia="Times New Roman" w:hAnsi="Times New Roman"/>
          <w:sz w:val="18"/>
          <w:szCs w:val="18"/>
          <w:b w:val="1"/>
          <w:bCs w:val="1"/>
          <w:color w:val="auto"/>
        </w:rPr>
        <w:t>Exhibit 10.42</w:t>
      </w:r>
    </w:p>
    <w:p>
      <w:pPr>
        <w:spacing w:after="0" w:line="212"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b w:val="1"/>
          <w:bCs w:val="1"/>
          <w:color w:val="auto"/>
        </w:rPr>
        <w:t>Agreement of Indemnity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-120650</wp:posOffset>
            </wp:positionV>
            <wp:extent cx="660400" cy="48006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60400" cy="480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right="40"/>
        <w:spacing w:after="0" w:line="288" w:lineRule="auto"/>
        <w:rPr>
          <w:sz w:val="20"/>
          <w:szCs w:val="20"/>
          <w:color w:val="auto"/>
        </w:rPr>
      </w:pPr>
      <w:r>
        <w:rPr>
          <w:rFonts w:ascii="Times New Roman" w:cs="Times New Roman" w:eastAsia="Times New Roman" w:hAnsi="Times New Roman"/>
          <w:sz w:val="16"/>
          <w:szCs w:val="16"/>
          <w:color w:val="auto"/>
        </w:rPr>
        <w:t xml:space="preserve">THIS AGREEMENT of Indemnity, made and entered into this </w:t>
      </w:r>
      <w:r>
        <w:rPr>
          <w:rFonts w:ascii="Times New Roman" w:cs="Times New Roman" w:eastAsia="Times New Roman" w:hAnsi="Times New Roman"/>
          <w:sz w:val="16"/>
          <w:szCs w:val="16"/>
          <w:b w:val="1"/>
          <w:bCs w:val="1"/>
          <w:color w:val="auto"/>
        </w:rPr>
        <w:t>Seventh</w:t>
      </w:r>
      <w:r>
        <w:rPr>
          <w:rFonts w:ascii="Times New Roman" w:cs="Times New Roman" w:eastAsia="Times New Roman" w:hAnsi="Times New Roman"/>
          <w:sz w:val="16"/>
          <w:szCs w:val="16"/>
          <w:color w:val="auto"/>
        </w:rPr>
        <w:t xml:space="preserve"> day of </w:t>
      </w:r>
      <w:r>
        <w:rPr>
          <w:rFonts w:ascii="Times New Roman" w:cs="Times New Roman" w:eastAsia="Times New Roman" w:hAnsi="Times New Roman"/>
          <w:sz w:val="16"/>
          <w:szCs w:val="16"/>
          <w:b w:val="1"/>
          <w:bCs w:val="1"/>
          <w:color w:val="auto"/>
        </w:rPr>
        <w:t>September</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2011</w:t>
      </w:r>
      <w:r>
        <w:rPr>
          <w:rFonts w:ascii="Times New Roman" w:cs="Times New Roman" w:eastAsia="Times New Roman" w:hAnsi="Times New Roman"/>
          <w:sz w:val="16"/>
          <w:szCs w:val="16"/>
          <w:color w:val="auto"/>
        </w:rPr>
        <w:t xml:space="preserve"> by GREAT LAKES DREDGE &amp; DOCK CORPORATION, GREAT LAKES DREDGE &amp; DOCK COMPANY, LLC, LYDON DREDGING &amp; CONSTRUCTION COMPANY, LTD., FIFTY-THREE DREDGING CORPORATION, DAWSON MARINE SERVICES COMPANY, GREAT LAKES DREDGE &amp; DOCK ENVIRONMENTAL, INC. f/k/a GREAT LAKES CARIBBEAN DREDGING, INC., NASDI, LLC, NASDI HOLDINGS CORPORATION, YANKEE ENVIRONMENTAL SERVICES, LLC, GREAT LAKES DREDGE &amp; DOCK (BAHAMAS) LTD., each individually and collectively “Contractor,” and GREAT LAKES DREDGE &amp; DOCK CORPORATION, GREAT LAKES DREDGE &amp; DOCK COMPANY, LLC, LYDON DREDGING &amp; CONSTRUCTION COMPANY, LTD., FIFTY-THREE DREDGING CORPORATION, DAWSON MARINE SERVICES COMPANY, GREAT LAKES DREDGE &amp; DOCK ENVIRONMENTAL, INC. f/k/a GREAT LAKES CARIBBEAN DREDGING, INC., NASDI, LLC, NASDI HOLDINGS CORPORATION, YANKEE ENVIRONMENTAL SERVICES, LLC and GREAT LAKES DREDGE &amp; DOCK (BAHAMAS) LTD., each individually and collectively “Indemnitors,” and ZURICH AMERICAN INSURANCE COMPANY and its Subsidiaries and Affiliates including, but not limited to FIDELITY AND DEPOSIT COMPANY OF MARYLAND, COLONIAL AMERICAN CASUALTY AND SURETY COMPANY, and AMERICAN GUARANTEE AND LIABILITY INSURANCE COMPANY, its successors and assigns (”Surety”).</w:t>
      </w: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WITNESSETH:</w:t>
      </w:r>
    </w:p>
    <w:p>
      <w:pPr>
        <w:spacing w:after="0" w:line="173" w:lineRule="exact"/>
        <w:rPr>
          <w:sz w:val="20"/>
          <w:szCs w:val="20"/>
          <w:color w:val="auto"/>
        </w:rPr>
      </w:pPr>
    </w:p>
    <w:p>
      <w:pPr>
        <w:jc w:val="both"/>
        <w:ind w:right="40" w:firstLine="456"/>
        <w:spacing w:after="0" w:line="258" w:lineRule="auto"/>
        <w:rPr>
          <w:sz w:val="20"/>
          <w:szCs w:val="20"/>
          <w:color w:val="auto"/>
        </w:rPr>
      </w:pPr>
      <w:r>
        <w:rPr>
          <w:rFonts w:ascii="Times New Roman" w:cs="Times New Roman" w:eastAsia="Times New Roman" w:hAnsi="Times New Roman"/>
          <w:sz w:val="18"/>
          <w:szCs w:val="18"/>
          <w:color w:val="auto"/>
        </w:rPr>
        <w:t>WHEREAS, Contractors, in the performance of contracts and the fulfillment of obligations generally, whether in each Contractor’s own name solely or in joint venture with each other or with other Persons, may desire or be required to give or procure Bonds, and to renew, or continue or substitute from time to time the same or new Bonds with the same or different penalties and/or conditions; or the Contractors or Indemnitors may request the Surety to refrain from cancelling said Bonds; and</w:t>
      </w:r>
    </w:p>
    <w:p>
      <w:pPr>
        <w:spacing w:after="0" w:line="136" w:lineRule="exact"/>
        <w:rPr>
          <w:sz w:val="20"/>
          <w:szCs w:val="20"/>
          <w:color w:val="auto"/>
        </w:rPr>
      </w:pPr>
    </w:p>
    <w:p>
      <w:pPr>
        <w:jc w:val="both"/>
        <w:ind w:right="280" w:firstLine="456"/>
        <w:spacing w:after="0" w:line="262" w:lineRule="auto"/>
        <w:rPr>
          <w:sz w:val="20"/>
          <w:szCs w:val="20"/>
          <w:color w:val="auto"/>
        </w:rPr>
      </w:pPr>
      <w:r>
        <w:rPr>
          <w:rFonts w:ascii="Times New Roman" w:cs="Times New Roman" w:eastAsia="Times New Roman" w:hAnsi="Times New Roman"/>
          <w:sz w:val="18"/>
          <w:szCs w:val="18"/>
          <w:color w:val="auto"/>
        </w:rPr>
        <w:t>WHEREAS, at the request of Contractors and Indemnitors and on the express understanding that this Agreement of Indemnity be given, the Surety has executed or procured to be executed, and may from time to time hereafter execute or procure to be executed, said Bonds on behalf of one or more Contractors; and</w:t>
      </w:r>
    </w:p>
    <w:p>
      <w:pPr>
        <w:spacing w:after="0" w:line="132" w:lineRule="exact"/>
        <w:rPr>
          <w:sz w:val="20"/>
          <w:szCs w:val="20"/>
          <w:color w:val="auto"/>
        </w:rPr>
      </w:pPr>
    </w:p>
    <w:p>
      <w:pPr>
        <w:ind w:right="20" w:firstLine="456"/>
        <w:spacing w:after="0" w:line="275" w:lineRule="auto"/>
        <w:rPr>
          <w:sz w:val="20"/>
          <w:szCs w:val="20"/>
          <w:color w:val="auto"/>
        </w:rPr>
      </w:pPr>
      <w:r>
        <w:rPr>
          <w:rFonts w:ascii="Times New Roman" w:cs="Times New Roman" w:eastAsia="Times New Roman" w:hAnsi="Times New Roman"/>
          <w:sz w:val="18"/>
          <w:szCs w:val="18"/>
          <w:color w:val="auto"/>
        </w:rPr>
        <w:t>WHEREAS, Contractors and Indemnitors have a substantial, material and beneficial interest in the obtaining of the Bonds or in the Surety's refraining from cancelling said Bonds.</w:t>
      </w:r>
    </w:p>
    <w:p>
      <w:pPr>
        <w:spacing w:after="0" w:line="120" w:lineRule="exact"/>
        <w:rPr>
          <w:sz w:val="20"/>
          <w:szCs w:val="20"/>
          <w:color w:val="auto"/>
        </w:rPr>
      </w:pPr>
    </w:p>
    <w:p>
      <w:pPr>
        <w:ind w:right="160" w:firstLine="456"/>
        <w:spacing w:after="0" w:line="262" w:lineRule="auto"/>
        <w:rPr>
          <w:sz w:val="20"/>
          <w:szCs w:val="20"/>
          <w:color w:val="auto"/>
        </w:rPr>
      </w:pPr>
      <w:r>
        <w:rPr>
          <w:rFonts w:ascii="Times New Roman" w:cs="Times New Roman" w:eastAsia="Times New Roman" w:hAnsi="Times New Roman"/>
          <w:sz w:val="18"/>
          <w:szCs w:val="18"/>
          <w:color w:val="auto"/>
        </w:rPr>
        <w:t>Now, THEREFORE, in consideration of the premises and other good and valuable consideration, the receipt and sufficiency of which is hereby acknowledged, Contractors and Indemnitors for themselves, their heirs, executors, administrators, successors and assigns, jointly and severally, hereby covenant and agree with Surety, as follows:</w:t>
      </w: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PREMIUMS</w:t>
      </w:r>
    </w:p>
    <w:p>
      <w:pPr>
        <w:spacing w:after="0" w:line="173" w:lineRule="exact"/>
        <w:rPr>
          <w:sz w:val="20"/>
          <w:szCs w:val="20"/>
          <w:color w:val="auto"/>
        </w:rPr>
      </w:pPr>
    </w:p>
    <w:p>
      <w:pPr>
        <w:jc w:val="both"/>
        <w:ind w:right="240" w:firstLine="456"/>
        <w:spacing w:after="0" w:line="262" w:lineRule="auto"/>
        <w:rPr>
          <w:sz w:val="20"/>
          <w:szCs w:val="20"/>
          <w:color w:val="auto"/>
        </w:rPr>
      </w:pPr>
      <w:r>
        <w:rPr>
          <w:rFonts w:ascii="Times New Roman" w:cs="Times New Roman" w:eastAsia="Times New Roman" w:hAnsi="Times New Roman"/>
          <w:sz w:val="18"/>
          <w:szCs w:val="18"/>
          <w:color w:val="auto"/>
        </w:rPr>
        <w:t>FIRST: Contractors and Indemnitors will pay to the Surety, in such manner as may be agreed upon, all premiums and charges of Surety for the Bonds in accordance with Surety’s rate filings or as otherwise agreed upon, until Contractors or Indemnitors shall serve evidence reasonably satisfactory to the Surety of Surety’s discharge or release from the Bonds and all liability by reason of the Bonds.</w:t>
      </w: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INDEMNITY</w:t>
      </w:r>
    </w:p>
    <w:p>
      <w:pPr>
        <w:spacing w:after="0" w:line="173" w:lineRule="exact"/>
        <w:rPr>
          <w:sz w:val="20"/>
          <w:szCs w:val="20"/>
          <w:color w:val="auto"/>
        </w:rPr>
      </w:pPr>
    </w:p>
    <w:p>
      <w:pPr>
        <w:ind w:right="100" w:firstLine="456"/>
        <w:spacing w:after="0" w:line="254" w:lineRule="auto"/>
        <w:rPr>
          <w:sz w:val="20"/>
          <w:szCs w:val="20"/>
          <w:color w:val="auto"/>
        </w:rPr>
      </w:pPr>
      <w:r>
        <w:rPr>
          <w:rFonts w:ascii="Times New Roman" w:cs="Times New Roman" w:eastAsia="Times New Roman" w:hAnsi="Times New Roman"/>
          <w:sz w:val="18"/>
          <w:szCs w:val="18"/>
          <w:color w:val="auto"/>
        </w:rPr>
        <w:t>SECOND: Contractors and Indemnitors shall exonerate, indemnify, and keep indemnified the Surety from and against any and all liability and Loss which the Surety may sustain and incur: (a) by reason of having executed or procured the execution of the Bonds, (b) by reason of the failure of Contractors or Indemnitors to perform or comply with the covenants and conditions of this Agreement or the Equipment Utilization Agreement or (c) in enforcing any of the covenants and conditions of this Agreement or the Equipment Utilization Agreement. Payment by reason of the aforesaid causes shall be made to the Surety by the Contractors and Indemnitors as soon as liability exists or is asserted against the Surety, whether or not the Surety shall have made any payment therefor, provided, however, that in no event shall any Contractor or Indemnitor indemnify or hold and save harmless the Surety against any Loss arising out of the gross negligence, willful misconduct or illegal act of the Surety.</w:t>
      </w: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ASSIGNMENT</w:t>
      </w:r>
    </w:p>
    <w:p>
      <w:pPr>
        <w:spacing w:after="0" w:line="173" w:lineRule="exact"/>
        <w:rPr>
          <w:sz w:val="20"/>
          <w:szCs w:val="20"/>
          <w:color w:val="auto"/>
        </w:rPr>
      </w:pPr>
    </w:p>
    <w:p>
      <w:pPr>
        <w:ind w:right="20" w:firstLine="456"/>
        <w:spacing w:after="0" w:line="256" w:lineRule="auto"/>
        <w:rPr>
          <w:sz w:val="20"/>
          <w:szCs w:val="20"/>
          <w:color w:val="auto"/>
        </w:rPr>
      </w:pPr>
      <w:r>
        <w:rPr>
          <w:rFonts w:ascii="Times New Roman" w:cs="Times New Roman" w:eastAsia="Times New Roman" w:hAnsi="Times New Roman"/>
          <w:sz w:val="18"/>
          <w:szCs w:val="18"/>
          <w:color w:val="auto"/>
        </w:rPr>
        <w:t>THIRD: The Contractors and Indemnitors will assign, transfer and set over, and do hereby assign, transfer and set over to the Surety the following as collateral, to secure the obligations in any and all of the paragraphs of this Agreement and any other indebtedness and liabilities of Contractors and Indemnitors to the Surety, whether heretofore or hereafter incurred: (a) all the rights of Contractors and/or Indemnitors in, and growing in any manner out of, all contracts referred to in the Bonds, or in, or growing in any manner out of the Bonds; (b) all the rights, title and interest of Contractors and/or Indemnitors in and to all machinery, equipment, plant, tools and materials which are now, or may hereafter be, about or upon the site or sites of any and all</w:t>
      </w:r>
    </w:p>
    <w:p>
      <w:pPr>
        <w:spacing w:after="0" w:line="125" w:lineRule="exact"/>
        <w:rPr>
          <w:sz w:val="20"/>
          <w:szCs w:val="20"/>
          <w:color w:val="auto"/>
        </w:rPr>
      </w:pPr>
    </w:p>
    <w:p>
      <w:pPr>
        <w:spacing w:after="0"/>
        <w:tabs>
          <w:tab w:leader="none" w:pos="5500" w:val="left"/>
        </w:tabs>
        <w:rPr>
          <w:sz w:val="20"/>
          <w:szCs w:val="20"/>
          <w:color w:val="auto"/>
        </w:rPr>
      </w:pPr>
      <w:r>
        <w:rPr>
          <w:rFonts w:ascii="Times New Roman" w:cs="Times New Roman" w:eastAsia="Times New Roman" w:hAnsi="Times New Roman"/>
          <w:sz w:val="18"/>
          <w:szCs w:val="18"/>
          <w:color w:val="auto"/>
        </w:rPr>
        <w:t>C345 Ed 12 09 modified for GLCC</w:t>
      </w:r>
      <w:r>
        <w:rPr>
          <w:sz w:val="20"/>
          <w:szCs w:val="20"/>
          <w:color w:val="auto"/>
        </w:rPr>
        <w:tab/>
      </w:r>
      <w:r>
        <w:rPr>
          <w:rFonts w:ascii="Times New Roman" w:cs="Times New Roman" w:eastAsia="Times New Roman" w:hAnsi="Times New Roman"/>
          <w:sz w:val="16"/>
          <w:szCs w:val="16"/>
          <w:color w:val="auto"/>
        </w:rPr>
        <w:t>page 1 of 16</w:t>
      </w:r>
    </w:p>
    <w:p>
      <w:pPr>
        <w:sectPr>
          <w:pgSz w:w="11900" w:h="16838" w:orient="portrait"/>
          <w:cols w:equalWidth="0" w:num="1">
            <w:col w:w="11420"/>
          </w:cols>
          <w:pgMar w:left="240" w:top="123" w:right="239" w:bottom="1440" w:gutter="0" w:footer="0" w:header="0"/>
        </w:sectPr>
      </w:pPr>
    </w:p>
    <w:bookmarkStart w:id="142" w:name="page143"/>
    <w:bookmarkEnd w:id="142"/>
    <w:p>
      <w:pPr>
        <w:ind w:right="20"/>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of the contractual work referred to in the Bonds, or elsewhere, including materials purchased for or chargeable to any and all contracts referred to in the bonds, materials which may be in process of construction, in storage elsewhere, or in transportation to any and all of said sites, and equipment which may be necessary or proper to perform any contractual work referred to in the Bonds; (c) all rights, title and interest (including the right to use) of Contractors and/or Indemnitors in and to all general intangibles and intellectual property used in or related to any and all contractual work referred to in the Bonds, including, without limitation, any business records, inventions, designs, patents, patent applications, trademarks, trademark applications, trade names, trade secrets, copyrights, any intellectual property, licenses, franchises, customer lists, insurance proceeds, insurance refunds and equivalents, software, computer programs, computer hardware, computer systems, architectural drawings, plans and specifications (d) all the rights, title and interest of Contractors and/or Indemnitors in and to all subcontracts let or to be let in connection with any and all contracts referred to in the Bonds, and in and to all surety bonds supporting such subcontracts; (e) all actions, causes of actions, claims and demands whatsoever which the Contractors and/or Indemnitors may have or acquire against any obligee, any subcontractor, laborer or materialman, or any person furnishing or agreeing to furnish or supply labor, material, supplies, machinery, tools or other equipment in connection with or on account of any and all contracts referred to in the Bonds; and against any surety or sureties of any obligee, subcontractor, laborer, or materialman; (f) any and all percentages retained, receivables and any and all sums that may be due or hereafter become due on account of any and all contracts referred to in the Bonds; and (g) any real or personal property, the improvement of which is secured by any Bond. The assignment in the case of each contract to become effective as of the date of the Bond covering such contract, but only on Event of Default.</w:t>
      </w:r>
    </w:p>
    <w:p>
      <w:pPr>
        <w:spacing w:after="0" w:line="3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TRUST FUND</w:t>
      </w:r>
    </w:p>
    <w:p>
      <w:pPr>
        <w:spacing w:after="0" w:line="173" w:lineRule="exact"/>
        <w:rPr>
          <w:sz w:val="20"/>
          <w:szCs w:val="20"/>
          <w:color w:val="auto"/>
        </w:rPr>
      </w:pPr>
    </w:p>
    <w:p>
      <w:pPr>
        <w:ind w:right="140" w:firstLine="456"/>
        <w:spacing w:after="0" w:line="254" w:lineRule="auto"/>
        <w:rPr>
          <w:sz w:val="20"/>
          <w:szCs w:val="20"/>
          <w:color w:val="auto"/>
        </w:rPr>
      </w:pPr>
      <w:r>
        <w:rPr>
          <w:rFonts w:ascii="Times New Roman" w:cs="Times New Roman" w:eastAsia="Times New Roman" w:hAnsi="Times New Roman"/>
          <w:sz w:val="18"/>
          <w:szCs w:val="18"/>
          <w:color w:val="auto"/>
        </w:rPr>
        <w:t>FOURTH: The Contractors and Indemnitors covenant and agree that all payments received for or on account of contracts covered by the Bonds shall be held as trust funds in which the Surety has an interest, for the payment of obligations incurred in the performance of the contract and for labor, materials, and services furnished in the prosecution of the work provided in the contract or any authorized extension or modification thereof. Further, it is expressly understood and declared that all monies due and to become due under any contracts covered by the Bonds are trust funds, whether in the possession of any Contractor or Indemnitor or otherwise, for the benefit of and for payment of all such obligations in connection with any such contract or contracts for which the Surety would be liable under any Bonds, which trust also inures to the benefit of the Surety for any liability or Loss Surety may have or sustain under any Bonds, and this Agreement and declaration shall also constitute notice of such trust.</w:t>
      </w:r>
    </w:p>
    <w:p>
      <w:pPr>
        <w:spacing w:after="0" w:line="3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UNIFORM COMMERCIAL CODE</w:t>
      </w:r>
    </w:p>
    <w:p>
      <w:pPr>
        <w:spacing w:after="0" w:line="173" w:lineRule="exact"/>
        <w:rPr>
          <w:sz w:val="20"/>
          <w:szCs w:val="20"/>
          <w:color w:val="auto"/>
        </w:rPr>
      </w:pPr>
    </w:p>
    <w:p>
      <w:pPr>
        <w:jc w:val="both"/>
        <w:ind w:right="140" w:firstLine="456"/>
        <w:spacing w:after="0" w:line="262" w:lineRule="auto"/>
        <w:rPr>
          <w:sz w:val="20"/>
          <w:szCs w:val="20"/>
          <w:color w:val="auto"/>
        </w:rPr>
      </w:pPr>
      <w:r>
        <w:rPr>
          <w:rFonts w:ascii="Times New Roman" w:cs="Times New Roman" w:eastAsia="Times New Roman" w:hAnsi="Times New Roman"/>
          <w:sz w:val="18"/>
          <w:szCs w:val="18"/>
          <w:color w:val="auto"/>
        </w:rPr>
        <w:t>FIFTH: This Agreement shall constitute a Security Agreement to the Surety and also a Financing Statement, both in accordance with the provisions of the Uniform Commercial Code of every jurisdiction wherein such Code is in effect, and may be so used by the Surety, without in any way abrogating, restricting or limiting the rights of the Surety under this Agreement or under law or in equity.</w:t>
      </w:r>
    </w:p>
    <w:p>
      <w:pPr>
        <w:spacing w:after="0" w:line="2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TAKEOVER</w:t>
      </w:r>
    </w:p>
    <w:p>
      <w:pPr>
        <w:spacing w:after="0" w:line="173"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SIXTH: Should an Event of Default occur, Surety shall have the right, at its option and in its sole discretion, and is hereby authorized, with or without exercising any other right or option conferred upon it by law or in the terms of this Agreement and/or the Equipment Utilization Agreement, to take possession of any part or all of the work, materials and equipment under any contract or contracts covered by any Bonds and any other materials or equipment which the Surety deems necessary or proper to perform any contractual work referred to in the Bonds, and at the expense of the Contractors and Indemnitors to complete or arrange for the completion of the same. The Contractors and Indemnitors shall promptly on demand pay to the Surety all Loss so incurred; provided, however, that in no event shall any Contractor or Indemnitor indemnify or hold and save harmless the Surety against any Loss arising out of the gross negligence, willful misconduct or illegal act of the Surety.</w:t>
      </w:r>
    </w:p>
    <w:p>
      <w:pPr>
        <w:spacing w:after="0" w:line="3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CHANGES</w:t>
      </w:r>
    </w:p>
    <w:p>
      <w:pPr>
        <w:spacing w:after="0" w:line="173" w:lineRule="exact"/>
        <w:rPr>
          <w:sz w:val="20"/>
          <w:szCs w:val="20"/>
          <w:color w:val="auto"/>
        </w:rPr>
      </w:pPr>
    </w:p>
    <w:p>
      <w:pPr>
        <w:ind w:right="20" w:firstLine="456"/>
        <w:spacing w:after="0" w:line="254" w:lineRule="auto"/>
        <w:rPr>
          <w:sz w:val="20"/>
          <w:szCs w:val="20"/>
          <w:color w:val="auto"/>
        </w:rPr>
      </w:pPr>
      <w:r>
        <w:rPr>
          <w:rFonts w:ascii="Times New Roman" w:cs="Times New Roman" w:eastAsia="Times New Roman" w:hAnsi="Times New Roman"/>
          <w:sz w:val="18"/>
          <w:szCs w:val="18"/>
          <w:color w:val="auto"/>
        </w:rPr>
        <w:t>SEVENTH: The Surety is authorized and empowered, without notice to or knowledge of Contractors and/or Indemnitors to assent to any change whatsoever in the Bonds, and/or any contracts referred to in the Bonds, and/or in the general conditions, plans and/or specifications accompanying said contracts, including, but not limited to, any change in the time for the completion of said contracts and to payments or advances thereunder before the same may be due, and to assent to or take any assignment or assignments, to execute or consent to the execution of any continuations, extensions or renewals of the Bonds and to execute any substitute or substitutes therefor, with the same or different conditions, provisions and obligees and with the same or larger or smaller penalties, it being expressly understood and agreed that Contractors and Indemnitors shall remain bound under the terms of this Agreement even though any such assent by the Surety does or might substantially increase the liability of Contractors and Indemnitors.</w:t>
      </w:r>
    </w:p>
    <w:p>
      <w:pPr>
        <w:spacing w:after="0" w:line="3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ADVANCES</w:t>
      </w:r>
    </w:p>
    <w:p>
      <w:pPr>
        <w:spacing w:after="0" w:line="173" w:lineRule="exact"/>
        <w:rPr>
          <w:sz w:val="20"/>
          <w:szCs w:val="20"/>
          <w:color w:val="auto"/>
        </w:rPr>
      </w:pPr>
    </w:p>
    <w:p>
      <w:pPr>
        <w:ind w:right="160" w:firstLine="456"/>
        <w:spacing w:after="0" w:line="256" w:lineRule="auto"/>
        <w:rPr>
          <w:sz w:val="20"/>
          <w:szCs w:val="20"/>
          <w:color w:val="auto"/>
        </w:rPr>
      </w:pPr>
      <w:r>
        <w:rPr>
          <w:rFonts w:ascii="Times New Roman" w:cs="Times New Roman" w:eastAsia="Times New Roman" w:hAnsi="Times New Roman"/>
          <w:sz w:val="18"/>
          <w:szCs w:val="18"/>
          <w:color w:val="auto"/>
        </w:rPr>
        <w:t>EIGHTH: The Surety is authorized and empowered to guarantee loans, to advance or lend to any Contractor any money, which the Surety may see fit, for the purpose of any contracts referred to in, or guaranteed by the Bonds. Contractors and Indemnitors shall be responsible for indemnifying Surety for all money expended in the completion of any such contracts by the Surety, or lent or advanced from time to time to any Contractor, or guaranteed by the Surety for the purposes of any such contracts, and all Loss incurred by the Surety in relation to such guarantee, advance or lending, unless repaid with legal interest by that Contractor to the Surety when due, notwithstanding that said money or any part thereof should not be so used by that Contractor.</w:t>
      </w:r>
    </w:p>
    <w:p>
      <w:pPr>
        <w:spacing w:after="0" w:line="125" w:lineRule="exact"/>
        <w:rPr>
          <w:sz w:val="20"/>
          <w:szCs w:val="20"/>
          <w:color w:val="auto"/>
        </w:rPr>
      </w:pPr>
    </w:p>
    <w:p>
      <w:pPr>
        <w:spacing w:after="0"/>
        <w:tabs>
          <w:tab w:leader="none" w:pos="5500" w:val="left"/>
        </w:tabs>
        <w:rPr>
          <w:sz w:val="20"/>
          <w:szCs w:val="20"/>
          <w:color w:val="auto"/>
        </w:rPr>
      </w:pPr>
      <w:r>
        <w:rPr>
          <w:rFonts w:ascii="Times New Roman" w:cs="Times New Roman" w:eastAsia="Times New Roman" w:hAnsi="Times New Roman"/>
          <w:sz w:val="18"/>
          <w:szCs w:val="18"/>
          <w:color w:val="auto"/>
        </w:rPr>
        <w:t>C345 Ed 12 09 modified for GLCC</w:t>
      </w:r>
      <w:r>
        <w:rPr>
          <w:sz w:val="20"/>
          <w:szCs w:val="20"/>
          <w:color w:val="auto"/>
        </w:rPr>
        <w:tab/>
      </w:r>
      <w:r>
        <w:rPr>
          <w:rFonts w:ascii="Times New Roman" w:cs="Times New Roman" w:eastAsia="Times New Roman" w:hAnsi="Times New Roman"/>
          <w:sz w:val="16"/>
          <w:szCs w:val="16"/>
          <w:color w:val="auto"/>
        </w:rPr>
        <w:t>page 2 of 16</w:t>
      </w:r>
    </w:p>
    <w:p>
      <w:pPr>
        <w:sectPr>
          <w:pgSz w:w="11900" w:h="16838" w:orient="portrait"/>
          <w:cols w:equalWidth="0" w:num="1">
            <w:col w:w="11420"/>
          </w:cols>
          <w:pgMar w:left="240" w:top="274" w:right="239" w:bottom="1440" w:gutter="0" w:footer="0" w:header="0"/>
        </w:sectPr>
      </w:pPr>
    </w:p>
    <w:bookmarkStart w:id="143" w:name="page144"/>
    <w:bookmarkEnd w:id="14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BOOKS AND RECORDS</w:t>
      </w:r>
    </w:p>
    <w:p>
      <w:pPr>
        <w:spacing w:after="0" w:line="173" w:lineRule="exact"/>
        <w:rPr>
          <w:sz w:val="20"/>
          <w:szCs w:val="20"/>
          <w:color w:val="auto"/>
        </w:rPr>
      </w:pPr>
    </w:p>
    <w:p>
      <w:pPr>
        <w:ind w:firstLine="456"/>
        <w:spacing w:after="0" w:line="301" w:lineRule="auto"/>
        <w:rPr>
          <w:sz w:val="20"/>
          <w:szCs w:val="20"/>
          <w:color w:val="auto"/>
        </w:rPr>
      </w:pPr>
      <w:r>
        <w:rPr>
          <w:rFonts w:ascii="Times New Roman" w:cs="Times New Roman" w:eastAsia="Times New Roman" w:hAnsi="Times New Roman"/>
          <w:sz w:val="16"/>
          <w:szCs w:val="16"/>
          <w:color w:val="auto"/>
        </w:rPr>
        <w:t>NINTH: At any time, and until such time as the liability of the Surety under any and all Bonds is terminated, the Surety shall have the right to reasonable access to the books, records, and accounts of the Contractors and Indemnitors. Contractors and Indemnitors hereby authorize any bank depository, materialman, supply house, or other person, firm, or corporation, when requested by the Surety, to furnish the Surety any information requested, including but not limited to the status of the work under contracts being performed by any Contractor, the condition of the performance of such contracts, and payments of accounts.</w:t>
      </w:r>
    </w:p>
    <w:p>
      <w:pPr>
        <w:spacing w:after="0" w:line="2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DECLINE EXECUTION</w:t>
      </w:r>
    </w:p>
    <w:p>
      <w:pPr>
        <w:spacing w:after="0" w:line="173" w:lineRule="exact"/>
        <w:rPr>
          <w:sz w:val="20"/>
          <w:szCs w:val="20"/>
          <w:color w:val="auto"/>
        </w:rPr>
      </w:pPr>
    </w:p>
    <w:p>
      <w:pPr>
        <w:ind w:right="100" w:firstLine="456"/>
        <w:spacing w:after="0" w:line="258" w:lineRule="auto"/>
        <w:rPr>
          <w:sz w:val="20"/>
          <w:szCs w:val="20"/>
          <w:color w:val="auto"/>
        </w:rPr>
      </w:pPr>
      <w:r>
        <w:rPr>
          <w:rFonts w:ascii="Times New Roman" w:cs="Times New Roman" w:eastAsia="Times New Roman" w:hAnsi="Times New Roman"/>
          <w:sz w:val="18"/>
          <w:szCs w:val="18"/>
          <w:color w:val="auto"/>
        </w:rPr>
        <w:t>TENTH: Surety may decline to execute any Bond and Contractors and Indemnitors agree to make no claim to the contrary in consideration of the Surety's receiving this Agreement; and if the Surety shall execute a bid or proposal Bond, it shall have the right to decline to execute any and all Bonds that may be required in connection with any award that may be made under the proposal for which the bid or proposal Bond is given, and such declination shall not diminish or alter the liability that may arise by reason of having executed the bid or proposal Bond.</w:t>
      </w:r>
    </w:p>
    <w:p>
      <w:pPr>
        <w:spacing w:after="0" w:line="2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NOTICE OF EXECUTION</w:t>
      </w:r>
    </w:p>
    <w:p>
      <w:pPr>
        <w:spacing w:after="0" w:line="173" w:lineRule="exact"/>
        <w:rPr>
          <w:sz w:val="20"/>
          <w:szCs w:val="20"/>
          <w:color w:val="auto"/>
        </w:rPr>
      </w:pPr>
    </w:p>
    <w:p>
      <w:pPr>
        <w:ind w:right="140" w:firstLine="456"/>
        <w:spacing w:after="0" w:line="258" w:lineRule="auto"/>
        <w:rPr>
          <w:sz w:val="20"/>
          <w:szCs w:val="20"/>
          <w:color w:val="auto"/>
        </w:rPr>
      </w:pPr>
      <w:r>
        <w:rPr>
          <w:rFonts w:ascii="Times New Roman" w:cs="Times New Roman" w:eastAsia="Times New Roman" w:hAnsi="Times New Roman"/>
          <w:sz w:val="18"/>
          <w:szCs w:val="18"/>
          <w:color w:val="auto"/>
        </w:rPr>
        <w:t>ELEVENTH: Contractors and Indemnitors hereby waive notice of the execution of any and all Bonds and all notice of any default or any other act or acts giving rise to any claim under said Bonds, as well as notice of any and all liability of the Surety under such Bonds, and any and all liability on their part hereunder, to the end and effect that the Contractors and Indemnitors shall be and continue liable to Surety under this Agreement, notwithstanding any notice of any kind to which they might have been or be entitled, and notwithstanding any defenses they might have been entitled to make.</w:t>
      </w:r>
    </w:p>
    <w:p>
      <w:pPr>
        <w:spacing w:after="0" w:line="2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PAYMENTS</w:t>
      </w:r>
    </w:p>
    <w:p>
      <w:pPr>
        <w:spacing w:after="0" w:line="173" w:lineRule="exact"/>
        <w:rPr>
          <w:sz w:val="20"/>
          <w:szCs w:val="20"/>
          <w:color w:val="auto"/>
        </w:rPr>
      </w:pPr>
    </w:p>
    <w:p>
      <w:pPr>
        <w:ind w:right="40" w:firstLine="456"/>
        <w:spacing w:after="0" w:line="253" w:lineRule="auto"/>
        <w:rPr>
          <w:sz w:val="20"/>
          <w:szCs w:val="20"/>
          <w:color w:val="auto"/>
        </w:rPr>
      </w:pPr>
      <w:r>
        <w:rPr>
          <w:rFonts w:ascii="Times New Roman" w:cs="Times New Roman" w:eastAsia="Times New Roman" w:hAnsi="Times New Roman"/>
          <w:sz w:val="18"/>
          <w:szCs w:val="18"/>
          <w:color w:val="auto"/>
        </w:rPr>
        <w:t xml:space="preserve">TWELFTH: In the event the Surety makes any payment or other determination arising from or related to the Bonds and/or this Agreement, or in the event of settlement, compromise or judgment, Contractors and Indemnitors further agree that in any accounting between the Surety and any Contractor, or between the Surety and the Indemnitors, or either or both of them, the Surety shall be entitled to charge for any and all payments made by the Surety in good faith under the belief that the Surety is or was liable for the sums and amounts paid, or that it was necessary or expedient to make such payments to protect any of the Surety’s rights or to avoid or lessen the Surety’s liability or alleged liability, whether or not such liability, necessity or expediency existed; provided, however, that in no event shall any Contractor or Indemnitor indemnify or hold and save harmless the Surety against any Loss arising out of the gross negligence, willful misconduct or illegal act of the Surety. These payments include the Surety’s costs and expenses and other elements of Loss. Any such payments shall be final, conclusive and binding upon Contractors and Indemnitors; and any Loss which may be sustained or incurred shall be paid by the Contractors and Indemnitors upon written demand by the Surety. In the event of any payment, settlement, compromise or judgment by the Surety, an itemized statement of Loss sworn to by an officer or authorized representative of the Surety or voucher(s) or other documentary evidence of such payment, settlement, compromise or judgment shall be </w:t>
      </w:r>
      <w:r>
        <w:rPr>
          <w:rFonts w:ascii="Times New Roman" w:cs="Times New Roman" w:eastAsia="Times New Roman" w:hAnsi="Times New Roman"/>
          <w:sz w:val="18"/>
          <w:szCs w:val="18"/>
          <w:i w:val="1"/>
          <w:iCs w:val="1"/>
          <w:color w:val="auto"/>
        </w:rPr>
        <w:t>prima facie</w:t>
      </w:r>
      <w:r>
        <w:rPr>
          <w:rFonts w:ascii="Times New Roman" w:cs="Times New Roman" w:eastAsia="Times New Roman" w:hAnsi="Times New Roman"/>
          <w:sz w:val="18"/>
          <w:szCs w:val="18"/>
          <w:color w:val="auto"/>
        </w:rPr>
        <w:t xml:space="preserve"> evidence of the fact and amount of Contractors’ and Indemnitors’ liability to the Surety.</w:t>
      </w: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SETTLEMENTS</w:t>
      </w:r>
    </w:p>
    <w:p>
      <w:pPr>
        <w:spacing w:after="0" w:line="173" w:lineRule="exact"/>
        <w:rPr>
          <w:sz w:val="20"/>
          <w:szCs w:val="20"/>
          <w:color w:val="auto"/>
        </w:rPr>
      </w:pPr>
    </w:p>
    <w:p>
      <w:pPr>
        <w:ind w:right="120" w:firstLine="456"/>
        <w:spacing w:after="0" w:line="256" w:lineRule="auto"/>
        <w:rPr>
          <w:sz w:val="20"/>
          <w:szCs w:val="20"/>
          <w:color w:val="auto"/>
        </w:rPr>
      </w:pPr>
      <w:r>
        <w:rPr>
          <w:rFonts w:ascii="Times New Roman" w:cs="Times New Roman" w:eastAsia="Times New Roman" w:hAnsi="Times New Roman"/>
          <w:sz w:val="18"/>
          <w:szCs w:val="18"/>
          <w:color w:val="auto"/>
        </w:rPr>
        <w:t>THIRTEENTH: Surety shall have the absolute and unconditional right to adjust, settle or compromise any claim, demand, suit or judgment upon the Bonds. If Contractors and Indemnitors shall request the Surety to litigate such claim or demand, or to defend such suit, or to appeal from such judgment, then Contractors and Indemnitors shall deposit with the Surety, at the time of such request, cash or collateral satisfactory to the Surety in kind and amount, to be used in paying any judgment or judgments rendered or that may be rendered, with interest, costs, expenses and attorneys' fees, including those of the Surety, and the Surety shall consider such request.</w:t>
      </w: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SURETIES</w:t>
      </w:r>
    </w:p>
    <w:p>
      <w:pPr>
        <w:spacing w:after="0" w:line="173" w:lineRule="exact"/>
        <w:rPr>
          <w:sz w:val="20"/>
          <w:szCs w:val="20"/>
          <w:color w:val="auto"/>
        </w:rPr>
      </w:pPr>
    </w:p>
    <w:p>
      <w:pPr>
        <w:jc w:val="both"/>
        <w:ind w:right="280" w:firstLine="456"/>
        <w:spacing w:after="0" w:line="262" w:lineRule="auto"/>
        <w:rPr>
          <w:sz w:val="20"/>
          <w:szCs w:val="20"/>
          <w:color w:val="auto"/>
        </w:rPr>
      </w:pPr>
      <w:r>
        <w:rPr>
          <w:rFonts w:ascii="Times New Roman" w:cs="Times New Roman" w:eastAsia="Times New Roman" w:hAnsi="Times New Roman"/>
          <w:sz w:val="18"/>
          <w:szCs w:val="18"/>
          <w:color w:val="auto"/>
        </w:rPr>
        <w:t>FOURTEENTH: In the event the Surety procures the execution of the Bonds by other sureties, or executes the Bonds with co-sureties, or reinsures any portion of the Bonds with reinsuring sureties, or reinsures any Bonds executed by others, then all the terms and conditions of this Agreement shall inure to the benefit of such other sureties, co-sureties and reinsuring sureties, as their interests may appear.</w:t>
      </w:r>
    </w:p>
    <w:p>
      <w:pPr>
        <w:spacing w:after="0" w:line="2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SUITS</w:t>
      </w:r>
    </w:p>
    <w:p>
      <w:pPr>
        <w:spacing w:after="0" w:line="173" w:lineRule="exact"/>
        <w:rPr>
          <w:sz w:val="20"/>
          <w:szCs w:val="20"/>
          <w:color w:val="auto"/>
        </w:rPr>
      </w:pPr>
    </w:p>
    <w:p>
      <w:pPr>
        <w:ind w:right="140" w:firstLine="456"/>
        <w:spacing w:after="0" w:line="275" w:lineRule="auto"/>
        <w:rPr>
          <w:sz w:val="20"/>
          <w:szCs w:val="20"/>
          <w:color w:val="auto"/>
        </w:rPr>
      </w:pPr>
      <w:r>
        <w:rPr>
          <w:rFonts w:ascii="Times New Roman" w:cs="Times New Roman" w:eastAsia="Times New Roman" w:hAnsi="Times New Roman"/>
          <w:sz w:val="18"/>
          <w:szCs w:val="18"/>
          <w:color w:val="auto"/>
        </w:rPr>
        <w:t>FIFTEENTH: Separate suits may be brought hereunder as causes of action accrue, and the bringing of suit or the recovery of judgment upon any cause of action shall not prejudice or bar the bringing of other suits, upon other causes of action, whether theretofore or thereafter arising.</w:t>
      </w:r>
    </w:p>
    <w:p>
      <w:pPr>
        <w:spacing w:after="0" w:line="2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OTHER INDEMNITY</w:t>
      </w:r>
    </w:p>
    <w:p>
      <w:pPr>
        <w:spacing w:after="0" w:line="173"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SIXTEENTH: Contractors and Indemnitors shall continue to remain bound under the terms of this Agreement even though the Surety may have from time to time before or after the execution of this Agreement, with or without notice to or knowledge of Contractors and Indemnitors, accepted or released other agreements of indemnity or collateral in connection with the execution or procurement of the Bonds, from Contractors or Indemnitors or others, it being expressly understood and agreed by the Contractors</w:t>
      </w:r>
    </w:p>
    <w:p>
      <w:pPr>
        <w:spacing w:after="0" w:line="123" w:lineRule="exact"/>
        <w:rPr>
          <w:sz w:val="20"/>
          <w:szCs w:val="20"/>
          <w:color w:val="auto"/>
        </w:rPr>
      </w:pPr>
    </w:p>
    <w:p>
      <w:pPr>
        <w:spacing w:after="0"/>
        <w:tabs>
          <w:tab w:leader="none" w:pos="5500" w:val="left"/>
        </w:tabs>
        <w:rPr>
          <w:sz w:val="20"/>
          <w:szCs w:val="20"/>
          <w:color w:val="auto"/>
        </w:rPr>
      </w:pPr>
      <w:r>
        <w:rPr>
          <w:rFonts w:ascii="Times New Roman" w:cs="Times New Roman" w:eastAsia="Times New Roman" w:hAnsi="Times New Roman"/>
          <w:sz w:val="18"/>
          <w:szCs w:val="18"/>
          <w:color w:val="auto"/>
        </w:rPr>
        <w:t>C345 Ed 12 09 modified for GLCC</w:t>
      </w:r>
      <w:r>
        <w:rPr>
          <w:sz w:val="20"/>
          <w:szCs w:val="20"/>
          <w:color w:val="auto"/>
        </w:rPr>
        <w:tab/>
      </w:r>
      <w:r>
        <w:rPr>
          <w:rFonts w:ascii="Times New Roman" w:cs="Times New Roman" w:eastAsia="Times New Roman" w:hAnsi="Times New Roman"/>
          <w:sz w:val="16"/>
          <w:szCs w:val="16"/>
          <w:color w:val="auto"/>
        </w:rPr>
        <w:t>page 3 of 16</w:t>
      </w:r>
    </w:p>
    <w:p>
      <w:pPr>
        <w:sectPr>
          <w:pgSz w:w="11900" w:h="16838" w:orient="portrait"/>
          <w:cols w:equalWidth="0" w:num="1">
            <w:col w:w="11400"/>
          </w:cols>
          <w:pgMar w:left="240" w:top="272" w:right="259" w:bottom="1440" w:gutter="0" w:footer="0" w:header="0"/>
        </w:sectPr>
      </w:pPr>
    </w:p>
    <w:bookmarkStart w:id="144" w:name="page145"/>
    <w:bookmarkEnd w:id="144"/>
    <w:p>
      <w:pPr>
        <w:ind w:right="120"/>
        <w:spacing w:after="0" w:line="27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and the Indemnitors that any and all other rights which the Surety may have or acquire against the Contractors and the Indemnitors and/or others under any such other or additional agreements of indemnity or collateral shall be in addition to, and not in lieu of, the rights afforded the Surety under this Agreement.</w:t>
      </w:r>
    </w:p>
    <w:p>
      <w:pPr>
        <w:spacing w:after="0" w:line="2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INVALIDITY</w:t>
      </w:r>
    </w:p>
    <w:p>
      <w:pPr>
        <w:spacing w:after="0" w:line="173" w:lineRule="exact"/>
        <w:rPr>
          <w:sz w:val="20"/>
          <w:szCs w:val="20"/>
          <w:color w:val="auto"/>
        </w:rPr>
      </w:pPr>
    </w:p>
    <w:p>
      <w:pPr>
        <w:ind w:right="20" w:firstLine="456"/>
        <w:spacing w:after="0" w:line="255" w:lineRule="auto"/>
        <w:rPr>
          <w:sz w:val="20"/>
          <w:szCs w:val="20"/>
          <w:color w:val="auto"/>
        </w:rPr>
      </w:pPr>
      <w:r>
        <w:rPr>
          <w:rFonts w:ascii="Times New Roman" w:cs="Times New Roman" w:eastAsia="Times New Roman" w:hAnsi="Times New Roman"/>
          <w:sz w:val="18"/>
          <w:szCs w:val="18"/>
          <w:color w:val="auto"/>
        </w:rPr>
        <w:t>SEVENTEENTH: In case any of the parties mentioned in this Agreement fail to execute the same, or in case the execution hereof by any of the parties be defective or invalid for any reason, such failure, defect or invalidity shall not in any manner affect the validity of this Agreement or the liability hereunder of any of the parties executing the same, but each and every party so executing shall be and remain fully bound and liable hereunder to the same extent as if such failure, defect or invalidity had not existed. It is understood and agreed by the Contractors and Indemnitors that the rights, powers, and remedies given the Surety under this Agreement shall be and are in addition to, and not in lieu of, any and all other rights, powers, and remedies which the Surety may have or acquire against the Contractors and Indemnitors or others whether by the terms of any other agreement or by operation of law or otherwise.</w:t>
      </w: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ATTORNEY IN FACT</w:t>
      </w:r>
    </w:p>
    <w:p>
      <w:pPr>
        <w:spacing w:after="0" w:line="173"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EIGHTEENTH: Contractors and Indemnitors hereby irrevocably nominate, constitute, appoint and designate Surety as their attorney-in-fact, with the right, but not the obligation, to exercise all of the rights of Contractors and Indemnitors assigned, transferred and set over to the Surety in this Agreement, and in the name of Contractors and Indemnitors to make, execute, and deliver any and all additional or other assignments, documents or papers deemed necessary and proper by Surety in order to give full effect not only to the intent and meaning of the assignments in this Agreement, but also to the full protection intended to be given to Surety under all other provisions of this Agreement. Contractors and Indemnitors hereby ratify and confirm all acts and actions taken and done by the Surety as such attorney-in-fact.</w:t>
      </w: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TERMINATION</w:t>
      </w:r>
    </w:p>
    <w:p>
      <w:pPr>
        <w:spacing w:after="0" w:line="173" w:lineRule="exact"/>
        <w:rPr>
          <w:sz w:val="20"/>
          <w:szCs w:val="20"/>
          <w:color w:val="auto"/>
        </w:rPr>
      </w:pPr>
    </w:p>
    <w:p>
      <w:pPr>
        <w:ind w:right="20" w:firstLine="456"/>
        <w:spacing w:after="0" w:line="255" w:lineRule="auto"/>
        <w:rPr>
          <w:sz w:val="20"/>
          <w:szCs w:val="20"/>
          <w:color w:val="auto"/>
        </w:rPr>
      </w:pPr>
      <w:r>
        <w:rPr>
          <w:rFonts w:ascii="Times New Roman" w:cs="Times New Roman" w:eastAsia="Times New Roman" w:hAnsi="Times New Roman"/>
          <w:sz w:val="18"/>
          <w:szCs w:val="18"/>
          <w:color w:val="auto"/>
        </w:rPr>
        <w:t>NINETEENTH: This Agreement may be terminated by any Contractor or Indemnitor by sending written notice of termination to the Surety via registered mail to the Surety’s home office at Zurich Surety, Red Brook Corporate Center, 600 Red Brook Blvd., 4</w:t>
      </w:r>
      <w:r>
        <w:rPr>
          <w:rFonts w:ascii="Times New Roman" w:cs="Times New Roman" w:eastAsia="Times New Roman" w:hAnsi="Times New Roman"/>
          <w:sz w:val="11"/>
          <w:szCs w:val="11"/>
          <w:color w:val="auto"/>
        </w:rPr>
        <w:t>th</w:t>
      </w:r>
      <w:r>
        <w:rPr>
          <w:rFonts w:ascii="Times New Roman" w:cs="Times New Roman" w:eastAsia="Times New Roman" w:hAnsi="Times New Roman"/>
          <w:sz w:val="18"/>
          <w:szCs w:val="18"/>
          <w:color w:val="auto"/>
        </w:rPr>
        <w:t xml:space="preserve"> Floor, Owings Mills, Maryland 21117, Attention: Vice President, Surety Department. Such notice of termination shall be effective as to the party sending the notice, ten (10) days from Surety’s receipt of the notice and shall apply all future Bonds and Bond commitments following the effective date. However, any such notice of termination shall not operate to modify, bar, or discharge the party sending as to Bonds and Bond commitments that may have been theretofore issued and/or executed, nor shall the notice of termination affect the obligations of any other party to this Agreement.</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BONDS FOR OTHER ENTITIES</w:t>
      </w:r>
    </w:p>
    <w:p>
      <w:pPr>
        <w:spacing w:after="0" w:line="92"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TWENTIETH: Contractors and Indemnitors hereby agree that their obligations under this Agreement shall apply to any Bonds the Surety executes on behalf of any Subsidiaries or Affiliates of Contractors or Indemnitors, and if requested in writing by GREAT LAKES DREDGE &amp; DOCK CORPORATION or GREAT LAKES DREDGE &amp; DOCK COMPANY, LLC, any other legal entities in which any Contractor or Indemnitor has an ownership interest including, but not limited to, any corporations, partnerships, limited liability companies (LLC) and joint ventures, whether acting alone or in joint venture with others not named in this Agreement. In addition, the Contractors and Indemnitors agree that their obligations under this Agreement shall apply to any Bonds the Surety issues on behalf of any entity upon the written request of GREAT LAKES DREDGE &amp; DOCK CORPORATION or GREAT LAKES DREDGE &amp; DOCK COMPANY, LLC</w:t>
      </w:r>
      <w:r>
        <w:rPr>
          <w:rFonts w:ascii="Times New Roman" w:cs="Times New Roman" w:eastAsia="Times New Roman" w:hAnsi="Times New Roman"/>
          <w:sz w:val="18"/>
          <w:szCs w:val="18"/>
          <w:b w:val="1"/>
          <w:bCs w:val="1"/>
          <w:color w:val="auto"/>
        </w:rPr>
        <w:t>.</w:t>
      </w:r>
    </w:p>
    <w:p>
      <w:pPr>
        <w:spacing w:after="0" w:line="3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OTHER PROVISIONS</w:t>
      </w:r>
    </w:p>
    <w:p>
      <w:pPr>
        <w:spacing w:after="0" w:line="173" w:lineRule="exact"/>
        <w:rPr>
          <w:sz w:val="20"/>
          <w:szCs w:val="20"/>
          <w:color w:val="auto"/>
        </w:rPr>
      </w:pPr>
    </w:p>
    <w:p>
      <w:pPr>
        <w:ind w:right="300" w:firstLine="456"/>
        <w:spacing w:after="0" w:line="275" w:lineRule="auto"/>
        <w:rPr>
          <w:sz w:val="20"/>
          <w:szCs w:val="20"/>
          <w:color w:val="auto"/>
        </w:rPr>
      </w:pPr>
      <w:r>
        <w:rPr>
          <w:rFonts w:ascii="Times New Roman" w:cs="Times New Roman" w:eastAsia="Times New Roman" w:hAnsi="Times New Roman"/>
          <w:sz w:val="18"/>
          <w:szCs w:val="18"/>
          <w:color w:val="auto"/>
        </w:rPr>
        <w:t>TWENTY-FIRST: NO ORAL MODIFICATION: This Agreement may not be changed or modified orally. No change or modification shall be effective unless made by written endorsement executed to form a part hereof.</w:t>
      </w:r>
    </w:p>
    <w:p>
      <w:pPr>
        <w:spacing w:after="0" w:line="120" w:lineRule="exact"/>
        <w:rPr>
          <w:sz w:val="20"/>
          <w:szCs w:val="20"/>
          <w:color w:val="auto"/>
        </w:rPr>
      </w:pPr>
    </w:p>
    <w:p>
      <w:pPr>
        <w:ind w:firstLine="456"/>
        <w:spacing w:after="0" w:line="253" w:lineRule="auto"/>
        <w:rPr>
          <w:sz w:val="20"/>
          <w:szCs w:val="20"/>
          <w:color w:val="auto"/>
        </w:rPr>
      </w:pPr>
      <w:r>
        <w:rPr>
          <w:rFonts w:ascii="Times New Roman" w:cs="Times New Roman" w:eastAsia="Times New Roman" w:hAnsi="Times New Roman"/>
          <w:sz w:val="18"/>
          <w:szCs w:val="18"/>
          <w:color w:val="auto"/>
        </w:rPr>
        <w:t>TWENTY-SECOND: PLACE SURETY IN FUNDS: Should an Event of Default occur, or upon determination by Surety, in its sole and absolute discretion, that potential liability exists under any Bond (regardless of whether liability has been established or whether Surety, Contractors or Indemnitors may have defenses to all or any portion of any claim asserted under any Bond), Contractors and Indemnitors shall, upon demand, deposit with Surety cash or other collateral acceptable to Surety in an amount determined by Surety, in its sole discretion, to be sufficient to discharge any claim made against or potential liability of Surety on any Bond or Bonds or under this Agreement. Surety shall not be required to post a reserve prior to or as a condition of Contractors and Indemnitors’ obligation to deposit collateral. This sum may be used by Surety to pay such claim or be held by Surety as collateral against any loss on any Bond or Bonds or under this Agreement. Any remaining sums deposited with Surety after payment of any and all sums due to Surety under this Agreement or otherwise shall be returned to Contractors and Indemnitors upon the complete release and/or discharge of Surety’s obligations and liability under all Bonds. The Surety’s demand for collateral shall be sufficient if sent by registered or certified mail, by facsimile transmission, or by personal service to Contractors and Indemnitors at the addresses stated herein, or at the address last known to the Surety, regardless of whether actually received.</w:t>
      </w:r>
    </w:p>
    <w:p>
      <w:pPr>
        <w:spacing w:after="0" w:line="127" w:lineRule="exact"/>
        <w:rPr>
          <w:sz w:val="20"/>
          <w:szCs w:val="20"/>
          <w:color w:val="auto"/>
        </w:rPr>
      </w:pPr>
    </w:p>
    <w:p>
      <w:pPr>
        <w:spacing w:after="0"/>
        <w:tabs>
          <w:tab w:leader="none" w:pos="5500" w:val="left"/>
        </w:tabs>
        <w:rPr>
          <w:sz w:val="20"/>
          <w:szCs w:val="20"/>
          <w:color w:val="auto"/>
        </w:rPr>
      </w:pPr>
      <w:r>
        <w:rPr>
          <w:rFonts w:ascii="Times New Roman" w:cs="Times New Roman" w:eastAsia="Times New Roman" w:hAnsi="Times New Roman"/>
          <w:sz w:val="18"/>
          <w:szCs w:val="18"/>
          <w:color w:val="auto"/>
        </w:rPr>
        <w:t>C345 Ed 12 09 modified for GLCC</w:t>
      </w:r>
      <w:r>
        <w:rPr>
          <w:sz w:val="20"/>
          <w:szCs w:val="20"/>
          <w:color w:val="auto"/>
        </w:rPr>
        <w:tab/>
      </w:r>
      <w:r>
        <w:rPr>
          <w:rFonts w:ascii="Times New Roman" w:cs="Times New Roman" w:eastAsia="Times New Roman" w:hAnsi="Times New Roman"/>
          <w:sz w:val="16"/>
          <w:szCs w:val="16"/>
          <w:color w:val="auto"/>
        </w:rPr>
        <w:t>page 4 of 16</w:t>
      </w:r>
    </w:p>
    <w:p>
      <w:pPr>
        <w:sectPr>
          <w:pgSz w:w="11900" w:h="16838" w:orient="portrait"/>
          <w:cols w:equalWidth="0" w:num="1">
            <w:col w:w="11400"/>
          </w:cols>
          <w:pgMar w:left="240" w:top="274" w:right="259" w:bottom="1440" w:gutter="0" w:footer="0" w:header="0"/>
        </w:sectPr>
      </w:pPr>
    </w:p>
    <w:bookmarkStart w:id="145" w:name="page146"/>
    <w:bookmarkEnd w:id="145"/>
    <w:p>
      <w:pPr>
        <w:ind w:right="2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Contractors and Indemnitors acknowledge that the failure of Contractors and/or Indemnitors, collectively or individually, to deposit collateral with the Surety, immediately upon demand, shall cause irreparable harm to the Surety for which the Surety has no adequate remedy at law. Contractors and Indemnitors agree that the Surety shall be entitled to injunctive relief for specific performance of the obligation to deposit with the Surety the sum demanded as collateral and waive any claims or defenses to the contrary.</w:t>
      </w:r>
    </w:p>
    <w:p>
      <w:pPr>
        <w:spacing w:after="0" w:line="136" w:lineRule="exact"/>
        <w:rPr>
          <w:sz w:val="20"/>
          <w:szCs w:val="20"/>
          <w:color w:val="auto"/>
        </w:rPr>
      </w:pPr>
    </w:p>
    <w:p>
      <w:pPr>
        <w:ind w:right="80" w:firstLine="456"/>
        <w:spacing w:after="0" w:line="310" w:lineRule="auto"/>
        <w:rPr>
          <w:sz w:val="20"/>
          <w:szCs w:val="20"/>
          <w:color w:val="auto"/>
        </w:rPr>
      </w:pPr>
      <w:r>
        <w:rPr>
          <w:rFonts w:ascii="Times New Roman" w:cs="Times New Roman" w:eastAsia="Times New Roman" w:hAnsi="Times New Roman"/>
          <w:sz w:val="16"/>
          <w:szCs w:val="16"/>
          <w:color w:val="auto"/>
        </w:rPr>
        <w:t>TWENTY-THIRD: Change in Control or Condition: In the event any Change in Control and/or Change in Condition (both as defined in this paragraph) of any Contractor or Indemnitor occurs without the prior written consent of the Surety, then Contractors and Indemnitors will be deemed to be in default under the terms of this Agreement and the Surety will have the right to exercise all of its rights and remedies under this Agreement, at law, or in equity.</w:t>
      </w:r>
    </w:p>
    <w:p>
      <w:pPr>
        <w:spacing w:after="0" w:line="97" w:lineRule="exact"/>
        <w:rPr>
          <w:sz w:val="20"/>
          <w:szCs w:val="20"/>
          <w:color w:val="auto"/>
        </w:rPr>
      </w:pPr>
    </w:p>
    <w:p>
      <w:pPr>
        <w:ind w:right="80" w:firstLine="456"/>
        <w:spacing w:after="0" w:line="275" w:lineRule="auto"/>
        <w:rPr>
          <w:sz w:val="20"/>
          <w:szCs w:val="20"/>
          <w:color w:val="auto"/>
        </w:rPr>
      </w:pPr>
      <w:r>
        <w:rPr>
          <w:rFonts w:ascii="Times New Roman" w:cs="Times New Roman" w:eastAsia="Times New Roman" w:hAnsi="Times New Roman"/>
          <w:sz w:val="18"/>
          <w:szCs w:val="18"/>
          <w:color w:val="auto"/>
        </w:rPr>
        <w:t>TWENTY-FOURTH: Joint and Several. The agreements and covenants herein contained shall be binding upon the undersigned, both jointly and severally, and upon their successors and assigns jointly and severally (including successors by way of merger, acquisition or similar event).</w:t>
      </w:r>
    </w:p>
    <w:p>
      <w:pPr>
        <w:spacing w:after="0" w:line="120" w:lineRule="exact"/>
        <w:rPr>
          <w:sz w:val="20"/>
          <w:szCs w:val="20"/>
          <w:color w:val="auto"/>
        </w:rPr>
      </w:pPr>
    </w:p>
    <w:p>
      <w:pPr>
        <w:ind w:right="240" w:firstLine="456"/>
        <w:spacing w:after="0" w:line="255" w:lineRule="auto"/>
        <w:rPr>
          <w:sz w:val="20"/>
          <w:szCs w:val="20"/>
          <w:color w:val="auto"/>
        </w:rPr>
      </w:pPr>
      <w:r>
        <w:rPr>
          <w:rFonts w:ascii="Times New Roman" w:cs="Times New Roman" w:eastAsia="Times New Roman" w:hAnsi="Times New Roman"/>
          <w:sz w:val="18"/>
          <w:szCs w:val="18"/>
          <w:color w:val="auto"/>
        </w:rPr>
        <w:t>TWENTY-FIFTH: Contractors and Indemnitors release, discharge, and waive any and all claims, demands or causes of action arising from or relating to Surety’s exercise of its rights and remedies pursuant to this Agreement. If Surety demands that Indemnitors perform any obligation under this Agreement including, but not limited to, Contractors’ and/or Indemnitors’ obligation to indemnify or reimburse Surety, to deposit collateral with Surety or to obtain the discharge of Surety under any Bond or Bonds, Contractors’ and Indemnitors’ sole remedy against Surety shall be limited to and capped at the return of any payments made or collateral deposited with Surety pursuant to Surety’s request or demands. Contractors and Indemnitors expressly waive any claim against Surety for consequential damages, extra-contractual damages and/or attorneys’ fees.</w:t>
      </w:r>
    </w:p>
    <w:p>
      <w:pPr>
        <w:spacing w:after="0" w:line="139" w:lineRule="exact"/>
        <w:rPr>
          <w:sz w:val="20"/>
          <w:szCs w:val="20"/>
          <w:color w:val="auto"/>
        </w:rPr>
      </w:pPr>
    </w:p>
    <w:p>
      <w:pPr>
        <w:ind w:right="20" w:firstLine="456"/>
        <w:spacing w:after="0" w:line="256" w:lineRule="auto"/>
        <w:rPr>
          <w:sz w:val="20"/>
          <w:szCs w:val="20"/>
          <w:color w:val="auto"/>
        </w:rPr>
      </w:pPr>
      <w:r>
        <w:rPr>
          <w:rFonts w:ascii="Times New Roman" w:cs="Times New Roman" w:eastAsia="Times New Roman" w:hAnsi="Times New Roman"/>
          <w:sz w:val="18"/>
          <w:szCs w:val="18"/>
          <w:color w:val="auto"/>
        </w:rPr>
        <w:t>TWENTY-SIXTH: This Agreement may be executed in any number of counterparts with separate signature pages, all of which taken together shall constitute the Agreement, and any of the parties hereto may execute this Agreement by signing any such counterpart. This Agreement shall be effective as to each Contractor and Indemnitor when each Contractor and/or Indemnitor has executed it. Contractors and Indemnitors hereby acknowledge that the failure of any one of them to execute this Agreement shall not in any way affect the validity or enforceability of this Agreement as to those Contractors and Indemnitors who have executed the Agreement.</w:t>
      </w:r>
    </w:p>
    <w:p>
      <w:pPr>
        <w:spacing w:after="0" w:line="139" w:lineRule="exact"/>
        <w:rPr>
          <w:sz w:val="20"/>
          <w:szCs w:val="20"/>
          <w:color w:val="auto"/>
        </w:rPr>
      </w:pPr>
    </w:p>
    <w:p>
      <w:pPr>
        <w:ind w:right="180" w:firstLine="456"/>
        <w:spacing w:after="0" w:line="275" w:lineRule="auto"/>
        <w:rPr>
          <w:sz w:val="20"/>
          <w:szCs w:val="20"/>
          <w:color w:val="auto"/>
        </w:rPr>
      </w:pPr>
      <w:r>
        <w:rPr>
          <w:rFonts w:ascii="Times New Roman" w:cs="Times New Roman" w:eastAsia="Times New Roman" w:hAnsi="Times New Roman"/>
          <w:sz w:val="18"/>
          <w:szCs w:val="18"/>
          <w:color w:val="auto"/>
        </w:rPr>
        <w:t>TWENTY-SEVENTH: Applicable Law. The terms and conditions of this Agreement shall be construed under the laws of New York without regard to its conflicts of laws principles.</w:t>
      </w:r>
    </w:p>
    <w:p>
      <w:pPr>
        <w:spacing w:after="0" w:line="280"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b w:val="1"/>
          <w:bCs w:val="1"/>
          <w:color w:val="auto"/>
        </w:rPr>
        <w:t>DEFINITIONS</w:t>
      </w:r>
    </w:p>
    <w:p>
      <w:pPr>
        <w:spacing w:after="0" w:line="17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When the following terms are used in this General Agreement of Indemnity (this “Agreement”) they shall have the following meanings:</w:t>
      </w:r>
    </w:p>
    <w:p>
      <w:pPr>
        <w:spacing w:after="0" w:line="169" w:lineRule="exact"/>
        <w:rPr>
          <w:sz w:val="20"/>
          <w:szCs w:val="20"/>
          <w:color w:val="auto"/>
        </w:rPr>
      </w:pPr>
    </w:p>
    <w:p>
      <w:pPr>
        <w:ind w:firstLine="456"/>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“Affiliate” </w:t>
      </w:r>
      <w:r>
        <w:rPr>
          <w:rFonts w:ascii="Times New Roman" w:cs="Times New Roman" w:eastAsia="Times New Roman" w:hAnsi="Times New Roman"/>
          <w:sz w:val="18"/>
          <w:szCs w:val="18"/>
          <w:color w:val="auto"/>
        </w:rPr>
        <w:t>means, with respect to any Person, any other Person or group acting in concert with such Person that, directly or indirectly, through one or more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intermediaries, controls, or is controlled by, or is under the common control with such Person. For purposes of this definition, “control” (including, with correlative meanings, the terms “controlled by” and “under common control with”), as used with respect to any Person or group of Persons, shall mean the possession, directly or indirectly, of the power to direct or cause the direction of management and policies of such Person, whether through the ownership of voting securities or by contract or otherwise.</w:t>
      </w:r>
    </w:p>
    <w:p>
      <w:pPr>
        <w:spacing w:after="0" w:line="134" w:lineRule="exact"/>
        <w:rPr>
          <w:sz w:val="20"/>
          <w:szCs w:val="20"/>
          <w:color w:val="auto"/>
        </w:rPr>
      </w:pPr>
    </w:p>
    <w:p>
      <w:pPr>
        <w:ind w:right="40" w:firstLine="456"/>
        <w:spacing w:after="0" w:line="264" w:lineRule="auto"/>
        <w:rPr>
          <w:sz w:val="20"/>
          <w:szCs w:val="20"/>
          <w:color w:val="auto"/>
        </w:rPr>
      </w:pPr>
      <w:r>
        <w:rPr>
          <w:rFonts w:ascii="Times New Roman" w:cs="Times New Roman" w:eastAsia="Times New Roman" w:hAnsi="Times New Roman"/>
          <w:sz w:val="18"/>
          <w:szCs w:val="18"/>
          <w:b w:val="1"/>
          <w:bCs w:val="1"/>
          <w:color w:val="auto"/>
        </w:rPr>
        <w:t xml:space="preserve">“Bond” </w:t>
      </w:r>
      <w:r>
        <w:rPr>
          <w:rFonts w:ascii="Times New Roman" w:cs="Times New Roman" w:eastAsia="Times New Roman" w:hAnsi="Times New Roman"/>
          <w:sz w:val="18"/>
          <w:szCs w:val="18"/>
          <w:color w:val="auto"/>
        </w:rPr>
        <w:t>means a bond, undertaking, and/or obligation of suretyship or guarantee issued by Surety (whether as sole surety or as co-surety or reinsurer)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behalf of any Contractor or issued at the request of GREAT LAKES DREDGE &amp; DOCK CORPORATION or GREAT LAKES DREDGE &amp; DOCK COMPANY, LLC. in accordance with the terms of this Agreement, whether issued prior to or after the execution of this Agreement.</w:t>
      </w:r>
    </w:p>
    <w:p>
      <w:pPr>
        <w:spacing w:after="0" w:line="127" w:lineRule="exact"/>
        <w:rPr>
          <w:sz w:val="20"/>
          <w:szCs w:val="20"/>
          <w:color w:val="auto"/>
        </w:rPr>
      </w:pPr>
    </w:p>
    <w:p>
      <w:pPr>
        <w:ind w:right="100" w:firstLine="456"/>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“Change in Control” </w:t>
      </w:r>
      <w:r>
        <w:rPr>
          <w:rFonts w:ascii="Times New Roman" w:cs="Times New Roman" w:eastAsia="Times New Roman" w:hAnsi="Times New Roman"/>
          <w:sz w:val="18"/>
          <w:szCs w:val="18"/>
          <w:color w:val="auto"/>
        </w:rPr>
        <w:t>means the occurrence of any of the following without the Surety’s prior written consent: (a) the sale, lease, transfer, conveyance,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merger, consolidation or other disposition (“transaction”) (whether one transaction or a series of transactions with any person, entity or group) of all or substantially all of the assets of any Contractor or Indemnitor; (b) the consummation of any transaction (whether one transaction or a series of transactions) the result of which is that any Person becomes the beneficial owner, directly or indirectly, of fifty (50%) percent or more of the voting stock of any Contractor or Indemnitor (measured by voting power rather than number of shares); (c) the acquisition (in one transaction or a series of transactions) by any Contractor or Indemnitor, directly or indirectly, of fifty (50%) percent or more of the beneficial ownership or control in any joint venture, subsidiary, division, affiliate, limited partnership, limited liability partnership, limited liability</w:t>
      </w:r>
    </w:p>
    <w:p>
      <w:pPr>
        <w:spacing w:after="0" w:line="124" w:lineRule="exact"/>
        <w:rPr>
          <w:sz w:val="20"/>
          <w:szCs w:val="20"/>
          <w:color w:val="auto"/>
        </w:rPr>
      </w:pPr>
    </w:p>
    <w:p>
      <w:pPr>
        <w:spacing w:after="0"/>
        <w:tabs>
          <w:tab w:leader="none" w:pos="5500" w:val="left"/>
        </w:tabs>
        <w:rPr>
          <w:sz w:val="20"/>
          <w:szCs w:val="20"/>
          <w:color w:val="auto"/>
        </w:rPr>
      </w:pPr>
      <w:r>
        <w:rPr>
          <w:rFonts w:ascii="Times New Roman" w:cs="Times New Roman" w:eastAsia="Times New Roman" w:hAnsi="Times New Roman"/>
          <w:sz w:val="18"/>
          <w:szCs w:val="18"/>
          <w:color w:val="auto"/>
        </w:rPr>
        <w:t>C345 Ed 12 09 modified for GLCC</w:t>
      </w:r>
      <w:r>
        <w:rPr>
          <w:sz w:val="20"/>
          <w:szCs w:val="20"/>
          <w:color w:val="auto"/>
        </w:rPr>
        <w:tab/>
      </w:r>
      <w:r>
        <w:rPr>
          <w:rFonts w:ascii="Times New Roman" w:cs="Times New Roman" w:eastAsia="Times New Roman" w:hAnsi="Times New Roman"/>
          <w:sz w:val="16"/>
          <w:szCs w:val="16"/>
          <w:color w:val="auto"/>
        </w:rPr>
        <w:t>page 5 of 16</w:t>
      </w:r>
    </w:p>
    <w:p>
      <w:pPr>
        <w:sectPr>
          <w:pgSz w:w="11900" w:h="16838" w:orient="portrait"/>
          <w:cols w:equalWidth="0" w:num="1">
            <w:col w:w="11400"/>
          </w:cols>
          <w:pgMar w:left="240" w:top="274" w:right="259" w:bottom="1440" w:gutter="0" w:footer="0" w:header="0"/>
        </w:sectPr>
      </w:pPr>
    </w:p>
    <w:bookmarkStart w:id="146" w:name="page147"/>
    <w:bookmarkEnd w:id="146"/>
    <w:p>
      <w:pPr>
        <w:ind w:right="14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company or other entity through the issuance of ten (10%) percent or more of the voting power of the total outstanding voting stock of any Contractor or Indemnitor; (d) the adoption of a plan relating to the liquidation or dissolution of any Contractor or Indemnitor or (e) any financial institution, lender, or creditor taking any foreclosure action with respect to any stock or other equity interest in any Contractor or Indemnitor, including but not limited to issuing any notice of or intent to foreclose or otherwise exercising any rights that such Person may have to vote, sell, or otherwise exercise any rights with respect to stock or other equity interest in any Contractor or Indemnitor.</w:t>
      </w:r>
    </w:p>
    <w:p>
      <w:pPr>
        <w:spacing w:after="0" w:line="137" w:lineRule="exact"/>
        <w:rPr>
          <w:sz w:val="20"/>
          <w:szCs w:val="20"/>
          <w:color w:val="auto"/>
        </w:rPr>
      </w:pPr>
    </w:p>
    <w:p>
      <w:pPr>
        <w:ind w:right="160" w:firstLine="456"/>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"Change in Condition" </w:t>
      </w:r>
      <w:r>
        <w:rPr>
          <w:rFonts w:ascii="Times New Roman" w:cs="Times New Roman" w:eastAsia="Times New Roman" w:hAnsi="Times New Roman"/>
          <w:sz w:val="18"/>
          <w:szCs w:val="18"/>
          <w:color w:val="auto"/>
        </w:rPr>
        <w:t>means any change in the condition (financial or otherwise) of any Contractor or Indemnitor that, in the opinion of Surety, could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have (a) a material adverse effect upon the validity, performance, or enforceability of any provisions of this Agreement or any of the transactions contemplated hereby, without the Surety’s prior written consent; (b) a material adverse effect upon the properties, business, prospects, or condition (financial or otherwise) of any Contractor or Indemnitor, which will include but not be limited to (i) the issuance of a "going concern opinion" by the accountants of such Contractor or Indemnitor or (ii) the occurrence of a financial covenant default which occurs under any document relating to financial indebtedness to which any Contractor or Indemnitor is a party, which default is not timely cured in accordance with the terms of that facility; or (c) a material adverse effect upon the ability of any Contractor or Indemnitor to fulfill any obligation under this Agreement or any of the Bonds.</w:t>
      </w:r>
    </w:p>
    <w:p>
      <w:pPr>
        <w:spacing w:after="0" w:line="135" w:lineRule="exact"/>
        <w:rPr>
          <w:sz w:val="20"/>
          <w:szCs w:val="20"/>
          <w:color w:val="auto"/>
        </w:rPr>
      </w:pPr>
    </w:p>
    <w:p>
      <w:pPr>
        <w:ind w:right="220" w:firstLine="456"/>
        <w:spacing w:after="0" w:line="342" w:lineRule="auto"/>
        <w:rPr>
          <w:sz w:val="20"/>
          <w:szCs w:val="20"/>
          <w:color w:val="auto"/>
        </w:rPr>
      </w:pPr>
      <w:r>
        <w:rPr>
          <w:rFonts w:ascii="Times New Roman" w:cs="Times New Roman" w:eastAsia="Times New Roman" w:hAnsi="Times New Roman"/>
          <w:sz w:val="16"/>
          <w:szCs w:val="16"/>
          <w:b w:val="1"/>
          <w:bCs w:val="1"/>
          <w:color w:val="auto"/>
        </w:rPr>
        <w:t xml:space="preserve">“Equipment Utilization Agreement” </w:t>
      </w:r>
      <w:r>
        <w:rPr>
          <w:rFonts w:ascii="Times New Roman" w:cs="Times New Roman" w:eastAsia="Times New Roman" w:hAnsi="Times New Roman"/>
          <w:sz w:val="16"/>
          <w:szCs w:val="16"/>
          <w:color w:val="auto"/>
        </w:rPr>
        <w:t>means the Equipment Utilization Agreement dated September 7, 2011, by and among the Surety, the Indemnitors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and Bank of America, N.A., as Administrative Agent, as the same may be amended, restated, supplemented, modified or replaced from time to time.</w:t>
      </w:r>
    </w:p>
    <w:p>
      <w:pPr>
        <w:spacing w:after="0" w:line="7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“Event of Default” </w:t>
      </w:r>
      <w:r>
        <w:rPr>
          <w:rFonts w:ascii="Times New Roman" w:cs="Times New Roman" w:eastAsia="Times New Roman" w:hAnsi="Times New Roman"/>
          <w:sz w:val="18"/>
          <w:szCs w:val="18"/>
          <w:color w:val="auto"/>
        </w:rPr>
        <w:t>means:</w:t>
      </w:r>
    </w:p>
    <w:p>
      <w:pPr>
        <w:spacing w:after="0" w:line="92" w:lineRule="exact"/>
        <w:rPr>
          <w:sz w:val="20"/>
          <w:szCs w:val="20"/>
          <w:color w:val="auto"/>
        </w:rPr>
      </w:pPr>
    </w:p>
    <w:p>
      <w:pPr>
        <w:ind w:left="1480" w:hanging="567"/>
        <w:spacing w:after="0"/>
        <w:tabs>
          <w:tab w:leader="none" w:pos="148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abandonment, forfeiture, termination, default or breach of any contracts referred to in the Bonds or any breach of any Bond;</w:t>
      </w:r>
    </w:p>
    <w:p>
      <w:pPr>
        <w:spacing w:after="0" w:line="90" w:lineRule="exact"/>
        <w:rPr>
          <w:rFonts w:ascii="Times New Roman" w:cs="Times New Roman" w:eastAsia="Times New Roman" w:hAnsi="Times New Roman"/>
          <w:sz w:val="18"/>
          <w:szCs w:val="18"/>
          <w:color w:val="auto"/>
        </w:rPr>
      </w:pPr>
    </w:p>
    <w:p>
      <w:pPr>
        <w:ind w:left="1480" w:hanging="567"/>
        <w:spacing w:after="0"/>
        <w:tabs>
          <w:tab w:leader="none" w:pos="148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receipt by Surety of any claim under any Bond or declaration of default under any Bond;</w:t>
      </w:r>
    </w:p>
    <w:p>
      <w:pPr>
        <w:spacing w:after="0" w:line="90" w:lineRule="exact"/>
        <w:rPr>
          <w:rFonts w:ascii="Times New Roman" w:cs="Times New Roman" w:eastAsia="Times New Roman" w:hAnsi="Times New Roman"/>
          <w:sz w:val="18"/>
          <w:szCs w:val="18"/>
          <w:color w:val="auto"/>
        </w:rPr>
      </w:pPr>
    </w:p>
    <w:p>
      <w:pPr>
        <w:ind w:left="1480" w:hanging="567"/>
        <w:spacing w:after="0"/>
        <w:tabs>
          <w:tab w:leader="none" w:pos="148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Surety’s establishment of a reserve;</w:t>
      </w:r>
    </w:p>
    <w:p>
      <w:pPr>
        <w:spacing w:after="0" w:line="90" w:lineRule="exact"/>
        <w:rPr>
          <w:rFonts w:ascii="Times New Roman" w:cs="Times New Roman" w:eastAsia="Times New Roman" w:hAnsi="Times New Roman"/>
          <w:sz w:val="18"/>
          <w:szCs w:val="18"/>
          <w:color w:val="auto"/>
        </w:rPr>
      </w:pPr>
    </w:p>
    <w:p>
      <w:pPr>
        <w:ind w:left="1480" w:hanging="567"/>
        <w:spacing w:after="0"/>
        <w:tabs>
          <w:tab w:leader="none" w:pos="148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breach of the provisions of this Agreement or of the Equipment Utilization Agreement;</w:t>
      </w:r>
    </w:p>
    <w:p>
      <w:pPr>
        <w:spacing w:after="0" w:line="90" w:lineRule="exact"/>
        <w:rPr>
          <w:rFonts w:ascii="Times New Roman" w:cs="Times New Roman" w:eastAsia="Times New Roman" w:hAnsi="Times New Roman"/>
          <w:sz w:val="18"/>
          <w:szCs w:val="18"/>
          <w:color w:val="auto"/>
        </w:rPr>
      </w:pPr>
    </w:p>
    <w:p>
      <w:pPr>
        <w:ind w:left="1480" w:right="60" w:hanging="567"/>
        <w:spacing w:after="0" w:line="262" w:lineRule="auto"/>
        <w:tabs>
          <w:tab w:leader="none" w:pos="148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occurrence of any event of default, however described, which occurs under any document relating to financial indebtedness of any Contractor or Indemnitor, in consequence of which that financial indebtedness is or becomes capable of being rendered prematurely due and payable;</w:t>
      </w:r>
    </w:p>
    <w:p>
      <w:pPr>
        <w:spacing w:after="0" w:line="51" w:lineRule="exact"/>
        <w:rPr>
          <w:rFonts w:ascii="Times New Roman" w:cs="Times New Roman" w:eastAsia="Times New Roman" w:hAnsi="Times New Roman"/>
          <w:sz w:val="18"/>
          <w:szCs w:val="18"/>
          <w:color w:val="auto"/>
        </w:rPr>
      </w:pPr>
    </w:p>
    <w:p>
      <w:pPr>
        <w:ind w:left="1480" w:hanging="567"/>
        <w:spacing w:after="0" w:line="275" w:lineRule="auto"/>
        <w:tabs>
          <w:tab w:leader="none" w:pos="148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assignment by any Contractor or Indemnitor for the benefit of creditors, or the appointment, or of any application for the appointment, of a receiver or trustee for any Contractor or Indemnitor, whether insolvent or not;</w:t>
      </w:r>
    </w:p>
    <w:p>
      <w:pPr>
        <w:spacing w:after="0" w:line="38" w:lineRule="exact"/>
        <w:rPr>
          <w:rFonts w:ascii="Times New Roman" w:cs="Times New Roman" w:eastAsia="Times New Roman" w:hAnsi="Times New Roman"/>
          <w:sz w:val="18"/>
          <w:szCs w:val="18"/>
          <w:color w:val="auto"/>
        </w:rPr>
      </w:pPr>
    </w:p>
    <w:p>
      <w:pPr>
        <w:ind w:left="1480" w:hanging="567"/>
        <w:spacing w:after="0"/>
        <w:tabs>
          <w:tab w:leader="none" w:pos="148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Contractor or Indemnitor becoming a debtor in any bankruptcy proceeding (whether voluntarily or involuntarily);</w:t>
      </w:r>
    </w:p>
    <w:p>
      <w:pPr>
        <w:spacing w:after="0" w:line="90" w:lineRule="exact"/>
        <w:rPr>
          <w:rFonts w:ascii="Times New Roman" w:cs="Times New Roman" w:eastAsia="Times New Roman" w:hAnsi="Times New Roman"/>
          <w:sz w:val="18"/>
          <w:szCs w:val="18"/>
          <w:color w:val="auto"/>
        </w:rPr>
      </w:pPr>
    </w:p>
    <w:p>
      <w:pPr>
        <w:ind w:left="1480" w:right="620" w:hanging="567"/>
        <w:spacing w:after="0" w:line="275" w:lineRule="auto"/>
        <w:tabs>
          <w:tab w:leader="none" w:pos="148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proceeding which deprives any Contractor or Indemnitor and/or Surety of the use of any collateral provided to Surety under this Agreement or of the use of any equipment provided to Surety under the Equipment Utilization Agreement;</w:t>
      </w:r>
    </w:p>
    <w:p>
      <w:pPr>
        <w:spacing w:after="0" w:line="38" w:lineRule="exact"/>
        <w:rPr>
          <w:rFonts w:ascii="Times New Roman" w:cs="Times New Roman" w:eastAsia="Times New Roman" w:hAnsi="Times New Roman"/>
          <w:sz w:val="18"/>
          <w:szCs w:val="18"/>
          <w:color w:val="auto"/>
        </w:rPr>
      </w:pPr>
    </w:p>
    <w:p>
      <w:pPr>
        <w:ind w:left="1480" w:hanging="567"/>
        <w:spacing w:after="0"/>
        <w:tabs>
          <w:tab w:leader="none" w:pos="148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Change in Control or a Change in Condition of any Contractor or Indemnitor.</w:t>
      </w:r>
    </w:p>
    <w:p>
      <w:pPr>
        <w:spacing w:after="0" w:line="169" w:lineRule="exact"/>
        <w:rPr>
          <w:sz w:val="20"/>
          <w:szCs w:val="20"/>
          <w:color w:val="auto"/>
        </w:rPr>
      </w:pPr>
    </w:p>
    <w:p>
      <w:pPr>
        <w:ind w:right="20" w:firstLine="456"/>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“Loss” </w:t>
      </w:r>
      <w:r>
        <w:rPr>
          <w:rFonts w:ascii="Times New Roman" w:cs="Times New Roman" w:eastAsia="Times New Roman" w:hAnsi="Times New Roman"/>
          <w:sz w:val="18"/>
          <w:szCs w:val="18"/>
          <w:color w:val="auto"/>
        </w:rPr>
        <w:t>means all premiums due to Surety and any and all liability, loss, costs, damages, attorneys’ fees and expenses, of whatever kind or nature,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whenever sustained or incurred by Surety by reason, or in consequence of its executing or procuring the execution of any Bond (including any claim for additional or extra-contractual damages arising from Surety’s investigation, payment or denial of any claim under any Bond), in making any investigation in relation to any Bond, in defending or prosecuting any action, suit or other proceeding which may be brought in connection with any Bond, in enforcing any of the terms of this Agreement or the Equipment Utilization Agreement, and in obtaining a release from liability under any Bond. Loss includes but is not limited to all amounts paid by Surety for (i) liability, loss, costs, damages, reasonable attorneys’ fees and amounts paid in the investigation, adjustment, settlement or compromise of any Claim or any lawsuits, arbitrations, judgments and/or decisions on those Claims; (ii) court, mediation or arbitration fees, costs and expenses; (iii) interest; (iv) consulting and expert fees, and (v) any other liability, loss, cost or expense which Surety may sustain or incur.</w:t>
      </w:r>
    </w:p>
    <w:p>
      <w:pPr>
        <w:spacing w:after="0" w:line="138" w:lineRule="exact"/>
        <w:rPr>
          <w:sz w:val="20"/>
          <w:szCs w:val="20"/>
          <w:color w:val="auto"/>
        </w:rPr>
      </w:pPr>
    </w:p>
    <w:p>
      <w:pPr>
        <w:ind w:right="400" w:firstLine="456"/>
        <w:spacing w:after="0" w:line="277" w:lineRule="auto"/>
        <w:rPr>
          <w:sz w:val="20"/>
          <w:szCs w:val="20"/>
          <w:color w:val="auto"/>
        </w:rPr>
      </w:pPr>
      <w:r>
        <w:rPr>
          <w:rFonts w:ascii="Times New Roman" w:cs="Times New Roman" w:eastAsia="Times New Roman" w:hAnsi="Times New Roman"/>
          <w:sz w:val="18"/>
          <w:szCs w:val="18"/>
          <w:b w:val="1"/>
          <w:bCs w:val="1"/>
          <w:color w:val="auto"/>
        </w:rPr>
        <w:t xml:space="preserve">“Subsidiary” </w:t>
      </w:r>
      <w:r>
        <w:rPr>
          <w:rFonts w:ascii="Times New Roman" w:cs="Times New Roman" w:eastAsia="Times New Roman" w:hAnsi="Times New Roman"/>
          <w:sz w:val="18"/>
          <w:szCs w:val="18"/>
          <w:color w:val="auto"/>
        </w:rPr>
        <w:t>means an entity of which a Person has direct or indirect control or owns directly or indirectly more than fifty (50) per cent of the voting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capital or similar rights of ownership</w:t>
      </w:r>
    </w:p>
    <w:p>
      <w:pPr>
        <w:spacing w:after="0" w:line="105" w:lineRule="exact"/>
        <w:rPr>
          <w:sz w:val="20"/>
          <w:szCs w:val="20"/>
          <w:color w:val="auto"/>
        </w:rPr>
      </w:pPr>
    </w:p>
    <w:p>
      <w:pPr>
        <w:spacing w:after="0"/>
        <w:tabs>
          <w:tab w:leader="none" w:pos="5500" w:val="left"/>
        </w:tabs>
        <w:rPr>
          <w:sz w:val="20"/>
          <w:szCs w:val="20"/>
          <w:color w:val="auto"/>
        </w:rPr>
      </w:pPr>
      <w:r>
        <w:rPr>
          <w:rFonts w:ascii="Times New Roman" w:cs="Times New Roman" w:eastAsia="Times New Roman" w:hAnsi="Times New Roman"/>
          <w:sz w:val="18"/>
          <w:szCs w:val="18"/>
          <w:color w:val="auto"/>
        </w:rPr>
        <w:t>C345 Ed 12 09 modified for GLCC</w:t>
      </w:r>
      <w:r>
        <w:rPr>
          <w:sz w:val="20"/>
          <w:szCs w:val="20"/>
          <w:color w:val="auto"/>
        </w:rPr>
        <w:tab/>
      </w:r>
      <w:r>
        <w:rPr>
          <w:rFonts w:ascii="Times New Roman" w:cs="Times New Roman" w:eastAsia="Times New Roman" w:hAnsi="Times New Roman"/>
          <w:sz w:val="16"/>
          <w:szCs w:val="16"/>
          <w:color w:val="auto"/>
        </w:rPr>
        <w:t>page 6 of 16</w:t>
      </w:r>
    </w:p>
    <w:p>
      <w:pPr>
        <w:sectPr>
          <w:pgSz w:w="11900" w:h="16838" w:orient="portrait"/>
          <w:cols w:equalWidth="0" w:num="1">
            <w:col w:w="11400"/>
          </w:cols>
          <w:pgMar w:left="240" w:top="274" w:right="259" w:bottom="1440" w:gutter="0" w:footer="0" w:header="0"/>
        </w:sectPr>
      </w:pPr>
    </w:p>
    <w:bookmarkStart w:id="147" w:name="page148"/>
    <w:bookmarkEnd w:id="147"/>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SIGNATURE PAGE(S) TO FOLLOW</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remainder of this page is intentionally left blank)</w:t>
      </w:r>
    </w:p>
    <w:p>
      <w:pPr>
        <w:spacing w:after="0" w:line="157"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8"/>
          <w:szCs w:val="18"/>
          <w:b w:val="1"/>
          <w:bCs w:val="1"/>
          <w:color w:val="auto"/>
        </w:rPr>
        <w:t>I/WE HAVE CAREFULLY READ THIS AGREEMENT OF INDEMNITY (OF WHICH THIS SIGNATURE PAGE IS A PART) AND FULLY UNDERSTAND MY/OUR OBLIGATIONS AS A CONTRACTOR AND INDEMNITOR HEREUNDER. THERE ARE NO SEPARATE AGREEMENTS OR UNDERSTANDINGS, EITHER WRITTEN OR ORAL, THAT IN ANY WAY LESSEN OR ALTER MY/OUR OBLIGATIONS AS ABOVE SET FORTH. IN WITNESS WHEREOF I/we have signed and sealed the day and year first above written.</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Sign below if entity is a Corporation, Limited Liability Company, Partnership or Trust:</w:t>
      </w:r>
    </w:p>
    <w:p>
      <w:pPr>
        <w:spacing w:after="0" w:line="92" w:lineRule="exact"/>
        <w:rPr>
          <w:sz w:val="20"/>
          <w:szCs w:val="20"/>
          <w:color w:val="auto"/>
        </w:rPr>
      </w:pPr>
    </w:p>
    <w:p>
      <w:pPr>
        <w:jc w:val="both"/>
        <w:ind w:right="200"/>
        <w:spacing w:after="0" w:line="262" w:lineRule="auto"/>
        <w:rPr>
          <w:sz w:val="20"/>
          <w:szCs w:val="20"/>
          <w:color w:val="auto"/>
        </w:rPr>
      </w:pPr>
      <w:r>
        <w:rPr>
          <w:rFonts w:ascii="Times New Roman" w:cs="Times New Roman" w:eastAsia="Times New Roman" w:hAnsi="Times New Roman"/>
          <w:sz w:val="18"/>
          <w:szCs w:val="18"/>
          <w:color w:val="auto"/>
        </w:rPr>
        <w:t>Instructions: If the entity is : 1) a corporation, the secretary and an authorized officer should sign on behalf of the corporation, 2) a limited liability corporation, the manager or member(s) should sign on behalf of the LLC, 3) a trust, the trustee(s) should sign on behalf of the trust, or 4) a partnership, the partner(s) should sign on behalf of the partnership. Two signatures are required for all entities and all signatures must be notarized and dated.</w:t>
      </w:r>
    </w:p>
    <w:p>
      <w:pPr>
        <w:spacing w:after="0" w:line="130" w:lineRule="exact"/>
        <w:rPr>
          <w:sz w:val="20"/>
          <w:szCs w:val="20"/>
          <w:color w:val="auto"/>
        </w:rPr>
      </w:pPr>
    </w:p>
    <w:p>
      <w:pPr>
        <w:ind w:right="20"/>
        <w:spacing w:after="0" w:line="293" w:lineRule="auto"/>
        <w:rPr>
          <w:sz w:val="20"/>
          <w:szCs w:val="20"/>
          <w:color w:val="auto"/>
        </w:rPr>
      </w:pPr>
      <w:r>
        <w:rPr>
          <w:rFonts w:ascii="Times New Roman" w:cs="Times New Roman" w:eastAsia="Times New Roman" w:hAnsi="Times New Roman"/>
          <w:sz w:val="16"/>
          <w:szCs w:val="16"/>
          <w:b w:val="1"/>
          <w:bCs w:val="1"/>
          <w:color w:val="auto"/>
        </w:rPr>
        <w:t>Each of the undersigned hereby affirms to the Surety that he or she is a secretary or a duly authorized officer, manager, trustee or official of the business entity for which he or she executes the foregoing Agreement as a Contractor and Indemnitor. In such capacity the undersigned is familiar with all of the documents which establish the rights which govern the affairs, power and authority of such entity including, to the extent applicable, the (1) certificate or articles of incorporation, (2) bylaws, (3) corporate resolutions, (4) trust agreements and (5) partnership, and operating or limited liability agreements of such business entity. Having reviewed all such applicable documents and instruments and such other facts as deemed appropriate, the undersigned hereby affirms that such entity has the power and authority to enter into such Agreement and that he or she is duly authorized to do so.</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820" w:type="dxa"/>
            <w:vAlign w:val="bottom"/>
          </w:tcPr>
          <w:p>
            <w:pPr>
              <w:spacing w:after="0"/>
              <w:rPr>
                <w:sz w:val="20"/>
                <w:szCs w:val="20"/>
                <w:color w:val="auto"/>
              </w:rPr>
            </w:pPr>
            <w:r>
              <w:rPr>
                <w:rFonts w:ascii="Times New Roman" w:cs="Times New Roman" w:eastAsia="Times New Roman" w:hAnsi="Times New Roman"/>
                <w:sz w:val="18"/>
                <w:szCs w:val="18"/>
                <w:color w:val="auto"/>
                <w:w w:val="97"/>
              </w:rPr>
              <w:t>ATTEST OR WITNESS:</w:t>
            </w:r>
          </w:p>
        </w:tc>
        <w:tc>
          <w:tcPr>
            <w:tcW w:w="38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GREAT LAKES DREDGE &amp; DOCK CORPORATION</w:t>
            </w:r>
          </w:p>
        </w:tc>
      </w:tr>
      <w:tr>
        <w:trPr>
          <w:trHeight w:val="216"/>
        </w:trPr>
        <w:tc>
          <w:tcPr>
            <w:tcW w:w="182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340" w:type="dxa"/>
            <w:vAlign w:val="bottom"/>
          </w:tcPr>
          <w:p>
            <w:pPr>
              <w:spacing w:after="0"/>
              <w:rPr>
                <w:sz w:val="20"/>
                <w:szCs w:val="20"/>
                <w:color w:val="auto"/>
              </w:rPr>
            </w:pPr>
            <w:r>
              <w:rPr>
                <w:rFonts w:ascii="Times New Roman" w:cs="Times New Roman" w:eastAsia="Times New Roman" w:hAnsi="Times New Roman"/>
                <w:sz w:val="18"/>
                <w:szCs w:val="18"/>
                <w:color w:val="auto"/>
              </w:rPr>
              <w:t>2122 York Road, Suite 200</w:t>
            </w:r>
          </w:p>
        </w:tc>
        <w:tc>
          <w:tcPr>
            <w:tcW w:w="2900" w:type="dxa"/>
            <w:vAlign w:val="bottom"/>
          </w:tcPr>
          <w:p>
            <w:pPr>
              <w:spacing w:after="0"/>
              <w:rPr>
                <w:sz w:val="18"/>
                <w:szCs w:val="18"/>
                <w:color w:val="auto"/>
              </w:rPr>
            </w:pPr>
          </w:p>
        </w:tc>
      </w:tr>
      <w:tr>
        <w:trPr>
          <w:trHeight w:val="216"/>
        </w:trPr>
        <w:tc>
          <w:tcPr>
            <w:tcW w:w="182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340" w:type="dxa"/>
            <w:vAlign w:val="bottom"/>
          </w:tcPr>
          <w:p>
            <w:pPr>
              <w:spacing w:after="0"/>
              <w:rPr>
                <w:sz w:val="20"/>
                <w:szCs w:val="20"/>
                <w:color w:val="auto"/>
              </w:rPr>
            </w:pPr>
            <w:r>
              <w:rPr>
                <w:rFonts w:ascii="Times New Roman" w:cs="Times New Roman" w:eastAsia="Times New Roman" w:hAnsi="Times New Roman"/>
                <w:sz w:val="18"/>
                <w:szCs w:val="18"/>
                <w:color w:val="auto"/>
              </w:rPr>
              <w:t>Oak Brook, IL 60523</w:t>
            </w:r>
          </w:p>
        </w:tc>
        <w:tc>
          <w:tcPr>
            <w:tcW w:w="2900" w:type="dxa"/>
            <w:vAlign w:val="bottom"/>
          </w:tcPr>
          <w:p>
            <w:pPr>
              <w:spacing w:after="0"/>
              <w:rPr>
                <w:sz w:val="18"/>
                <w:szCs w:val="18"/>
                <w:color w:val="auto"/>
              </w:rPr>
            </w:pPr>
          </w:p>
        </w:tc>
      </w:tr>
      <w:tr>
        <w:trPr>
          <w:trHeight w:val="228"/>
        </w:trPr>
        <w:tc>
          <w:tcPr>
            <w:tcW w:w="1820" w:type="dxa"/>
            <w:vAlign w:val="bottom"/>
          </w:tcPr>
          <w:p>
            <w:pPr>
              <w:spacing w:after="0"/>
              <w:rPr>
                <w:sz w:val="19"/>
                <w:szCs w:val="19"/>
                <w:color w:val="auto"/>
              </w:rPr>
            </w:pPr>
          </w:p>
        </w:tc>
        <w:tc>
          <w:tcPr>
            <w:tcW w:w="38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CONTRACTOR AND INDEMNITOR</w:t>
            </w:r>
          </w:p>
        </w:tc>
      </w:tr>
      <w:tr>
        <w:trPr>
          <w:trHeight w:val="447"/>
        </w:trPr>
        <w:tc>
          <w:tcPr>
            <w:tcW w:w="1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Kathleen M. LaVoy</w:t>
            </w:r>
          </w:p>
        </w:tc>
        <w:tc>
          <w:tcPr>
            <w:tcW w:w="3800" w:type="dxa"/>
            <w:vAlign w:val="bottom"/>
            <w:tcBorders>
              <w:bottom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2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Bruce J. Biemeck</w:t>
            </w:r>
          </w:p>
        </w:tc>
        <w:tc>
          <w:tcPr>
            <w:tcW w:w="290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(SEAL)</w:t>
            </w:r>
          </w:p>
        </w:tc>
      </w:tr>
      <w:tr>
        <w:trPr>
          <w:trHeight w:val="223"/>
        </w:trPr>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Kathleen M. LaVoy, Secretary</w:t>
            </w:r>
          </w:p>
        </w:tc>
        <w:tc>
          <w:tcPr>
            <w:tcW w:w="560" w:type="dxa"/>
            <w:vAlign w:val="bottom"/>
          </w:tcPr>
          <w:p>
            <w:pPr>
              <w:spacing w:after="0"/>
              <w:rPr>
                <w:sz w:val="19"/>
                <w:szCs w:val="19"/>
                <w:color w:val="auto"/>
              </w:rPr>
            </w:pPr>
          </w:p>
        </w:tc>
        <w:tc>
          <w:tcPr>
            <w:tcW w:w="2340" w:type="dxa"/>
            <w:vAlign w:val="bottom"/>
          </w:tcPr>
          <w:p>
            <w:pPr>
              <w:spacing w:after="0"/>
              <w:rPr>
                <w:sz w:val="20"/>
                <w:szCs w:val="20"/>
                <w:color w:val="auto"/>
              </w:rPr>
            </w:pPr>
            <w:r>
              <w:rPr>
                <w:rFonts w:ascii="Times New Roman" w:cs="Times New Roman" w:eastAsia="Times New Roman" w:hAnsi="Times New Roman"/>
                <w:sz w:val="18"/>
                <w:szCs w:val="18"/>
                <w:color w:val="auto"/>
              </w:rPr>
              <w:t>Bruce J. Biemeck, President</w:t>
            </w:r>
          </w:p>
        </w:tc>
        <w:tc>
          <w:tcPr>
            <w:tcW w:w="2900" w:type="dxa"/>
            <w:vAlign w:val="bottom"/>
          </w:tcPr>
          <w:p>
            <w:pPr>
              <w:spacing w:after="0"/>
              <w:rPr>
                <w:sz w:val="19"/>
                <w:szCs w:val="19"/>
                <w:color w:val="auto"/>
              </w:rPr>
            </w:pPr>
          </w:p>
        </w:tc>
      </w:tr>
      <w:tr>
        <w:trPr>
          <w:trHeight w:val="458"/>
        </w:trPr>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ACKNOWLEDGEMENT</w:t>
            </w:r>
          </w:p>
        </w:tc>
        <w:tc>
          <w:tcPr>
            <w:tcW w:w="56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2900" w:type="dxa"/>
            <w:vAlign w:val="bottom"/>
          </w:tcPr>
          <w:p>
            <w:pPr>
              <w:spacing w:after="0"/>
              <w:rPr>
                <w:sz w:val="24"/>
                <w:szCs w:val="24"/>
                <w:color w:val="auto"/>
              </w:rPr>
            </w:pPr>
          </w:p>
        </w:tc>
      </w:tr>
      <w:tr>
        <w:trPr>
          <w:trHeight w:val="297"/>
        </w:trPr>
        <w:tc>
          <w:tcPr>
            <w:tcW w:w="1820" w:type="dxa"/>
            <w:vAlign w:val="bottom"/>
          </w:tcPr>
          <w:p>
            <w:pPr>
              <w:spacing w:after="0"/>
              <w:rPr>
                <w:sz w:val="20"/>
                <w:szCs w:val="20"/>
                <w:color w:val="auto"/>
              </w:rPr>
            </w:pPr>
            <w:r>
              <w:rPr>
                <w:rFonts w:ascii="Times New Roman" w:cs="Times New Roman" w:eastAsia="Times New Roman" w:hAnsi="Times New Roman"/>
                <w:sz w:val="18"/>
                <w:szCs w:val="18"/>
                <w:color w:val="auto"/>
              </w:rPr>
              <w:t>STATE OF Illinois</w:t>
            </w:r>
          </w:p>
        </w:tc>
        <w:tc>
          <w:tcPr>
            <w:tcW w:w="3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County of Cook</w:t>
            </w:r>
          </w:p>
        </w:tc>
        <w:tc>
          <w:tcPr>
            <w:tcW w:w="56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2900" w:type="dxa"/>
            <w:vAlign w:val="bottom"/>
          </w:tcPr>
          <w:p>
            <w:pPr>
              <w:spacing w:after="0"/>
              <w:rPr>
                <w:sz w:val="24"/>
                <w:szCs w:val="24"/>
                <w:color w:val="auto"/>
              </w:rPr>
            </w:pPr>
          </w:p>
        </w:tc>
      </w:tr>
    </w:tbl>
    <w:p>
      <w:pPr>
        <w:spacing w:after="0" w:line="150"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 xml:space="preserve">On this </w:t>
      </w:r>
      <w:r>
        <w:rPr>
          <w:rFonts w:ascii="Times New Roman" w:cs="Times New Roman" w:eastAsia="Times New Roman" w:hAnsi="Times New Roman"/>
          <w:sz w:val="18"/>
          <w:szCs w:val="18"/>
          <w:u w:val="single" w:color="auto"/>
          <w:color w:val="auto"/>
        </w:rPr>
        <w:t>7th</w:t>
      </w:r>
      <w:r>
        <w:rPr>
          <w:rFonts w:ascii="Times New Roman" w:cs="Times New Roman" w:eastAsia="Times New Roman" w:hAnsi="Times New Roman"/>
          <w:sz w:val="18"/>
          <w:szCs w:val="18"/>
          <w:color w:val="auto"/>
        </w:rPr>
        <w:t xml:space="preserve"> day of </w:t>
      </w:r>
      <w:r>
        <w:rPr>
          <w:rFonts w:ascii="Times New Roman" w:cs="Times New Roman" w:eastAsia="Times New Roman" w:hAnsi="Times New Roman"/>
          <w:sz w:val="18"/>
          <w:szCs w:val="18"/>
          <w:u w:val="single" w:color="auto"/>
          <w:color w:val="auto"/>
        </w:rPr>
        <w:t>September, 2011</w:t>
      </w:r>
      <w:r>
        <w:rPr>
          <w:rFonts w:ascii="Times New Roman" w:cs="Times New Roman" w:eastAsia="Times New Roman" w:hAnsi="Times New Roman"/>
          <w:sz w:val="18"/>
          <w:szCs w:val="18"/>
          <w:color w:val="auto"/>
        </w:rPr>
        <w:t xml:space="preserve"> before me personally appeared Bruce J. Biemeck known or proven to me to be the President of the entity executing the foregoing instrument (“Entity”) and Kathleen M. LaVoy known or proven to me to be the Secretary of the Entity and they acknowledge said instrument to be the free and voluntary act and deed of said Entity, for the uses and purposes therein mentioned and on oath stated that the seal affixed is the seal of said Entity and that it was affixed and that they executed said instrument by authority of the Entity IN WITNESS WHEREOF, I have hereunto set my hand and affixed my OFFICIAL SEAL the day and year first above written.</w:t>
      </w:r>
    </w:p>
    <w:p>
      <w:pPr>
        <w:spacing w:after="0" w:line="287"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Notary Public: Donna Jean Rice</w:t>
      </w:r>
    </w:p>
    <w:p>
      <w:pPr>
        <w:spacing w:after="0" w:line="117"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My Commission Expires: 7-8-2013</w:t>
      </w:r>
    </w:p>
    <w:p>
      <w:pPr>
        <w:spacing w:after="0" w:line="117"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Notary Registration No.: 213938</w:t>
      </w:r>
    </w:p>
    <w:p>
      <w:pPr>
        <w:spacing w:after="0" w:line="171"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18"/>
          <w:szCs w:val="18"/>
          <w:color w:val="auto"/>
        </w:rPr>
        <w:t>(The remainder of this page intentionally left blank)</w:t>
      </w:r>
    </w:p>
    <w:p>
      <w:pPr>
        <w:spacing w:after="0" w:line="158" w:lineRule="exact"/>
        <w:rPr>
          <w:sz w:val="20"/>
          <w:szCs w:val="20"/>
          <w:color w:val="auto"/>
        </w:rPr>
      </w:pPr>
    </w:p>
    <w:p>
      <w:pPr>
        <w:spacing w:after="0"/>
        <w:tabs>
          <w:tab w:leader="none" w:pos="5500" w:val="left"/>
        </w:tabs>
        <w:rPr>
          <w:sz w:val="20"/>
          <w:szCs w:val="20"/>
          <w:color w:val="auto"/>
        </w:rPr>
      </w:pPr>
      <w:r>
        <w:rPr>
          <w:rFonts w:ascii="Times New Roman" w:cs="Times New Roman" w:eastAsia="Times New Roman" w:hAnsi="Times New Roman"/>
          <w:sz w:val="18"/>
          <w:szCs w:val="18"/>
          <w:color w:val="auto"/>
        </w:rPr>
        <w:t>C345 Ed 12 09 modified for GLCC</w:t>
      </w:r>
      <w:r>
        <w:rPr>
          <w:sz w:val="20"/>
          <w:szCs w:val="20"/>
          <w:color w:val="auto"/>
        </w:rPr>
        <w:tab/>
      </w:r>
      <w:r>
        <w:rPr>
          <w:rFonts w:ascii="Times New Roman" w:cs="Times New Roman" w:eastAsia="Times New Roman" w:hAnsi="Times New Roman"/>
          <w:sz w:val="16"/>
          <w:szCs w:val="16"/>
          <w:color w:val="auto"/>
        </w:rPr>
        <w:t>page 7 of 16</w:t>
      </w:r>
    </w:p>
    <w:p>
      <w:pPr>
        <w:sectPr>
          <w:pgSz w:w="11900" w:h="16838" w:orient="portrait"/>
          <w:cols w:equalWidth="0" w:num="1">
            <w:col w:w="11420"/>
          </w:cols>
          <w:pgMar w:left="240" w:top="272" w:right="239" w:bottom="1440" w:gutter="0" w:footer="0" w:header="0"/>
        </w:sectPr>
      </w:pPr>
    </w:p>
    <w:bookmarkStart w:id="148" w:name="page149"/>
    <w:bookmarkEnd w:id="148"/>
    <w:p>
      <w:pPr>
        <w:spacing w:after="0" w:line="259"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I/WE HAVE CAREFULLY READ THIS AGREEMENT OF INDEMNITY (OF WHICH THIS SIGNATURE PAGE IS A PART) AND FULLY UNDERSTAND MY/OUR OBLIGATIONS AS A CONTRACTOR AND INDEMNITOR HEREUNDER. THERE ARE NO SEPARATE AGREEMENTS OR UNDERSTANDINGS, EITHER WRITTEN OR ORAL, THAT IN ANY WAY LESSEN OR ALTER MY/OUR OBLIGATIONS AS ABOVE SET FORTH. IN WITNESS WHEREOF I/we have signed and sealed the day and year first above written.</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Sign below if entity is a Corporation, Limited Liability Company, Partnership or Trust:</w:t>
      </w:r>
    </w:p>
    <w:p>
      <w:pPr>
        <w:spacing w:after="0" w:line="92" w:lineRule="exact"/>
        <w:rPr>
          <w:sz w:val="20"/>
          <w:szCs w:val="20"/>
          <w:color w:val="auto"/>
        </w:rPr>
      </w:pPr>
    </w:p>
    <w:p>
      <w:pPr>
        <w:jc w:val="both"/>
        <w:ind w:right="200"/>
        <w:spacing w:after="0" w:line="262" w:lineRule="auto"/>
        <w:rPr>
          <w:sz w:val="20"/>
          <w:szCs w:val="20"/>
          <w:color w:val="auto"/>
        </w:rPr>
      </w:pPr>
      <w:r>
        <w:rPr>
          <w:rFonts w:ascii="Times New Roman" w:cs="Times New Roman" w:eastAsia="Times New Roman" w:hAnsi="Times New Roman"/>
          <w:sz w:val="18"/>
          <w:szCs w:val="18"/>
          <w:color w:val="auto"/>
        </w:rPr>
        <w:t>Instructions: If the entity is : 1) a corporation, the secretary and an authorized officer should sign on behalf of the corporation, 2) a limited liability corporation, the manager or member(s) should sign on behalf of the LLC, 3) a trust, the trustee(s) should sign on behalf of the trust, or 4) a partnership, the partner(s) should sign on behalf of the partnership. Two signatures are required for all entities and all signatures must be notarized and dated.</w:t>
      </w:r>
    </w:p>
    <w:p>
      <w:pPr>
        <w:spacing w:after="0" w:line="130" w:lineRule="exact"/>
        <w:rPr>
          <w:sz w:val="20"/>
          <w:szCs w:val="20"/>
          <w:color w:val="auto"/>
        </w:rPr>
      </w:pPr>
    </w:p>
    <w:p>
      <w:pPr>
        <w:ind w:right="20"/>
        <w:spacing w:after="0" w:line="293" w:lineRule="auto"/>
        <w:rPr>
          <w:sz w:val="20"/>
          <w:szCs w:val="20"/>
          <w:color w:val="auto"/>
        </w:rPr>
      </w:pPr>
      <w:r>
        <w:rPr>
          <w:rFonts w:ascii="Times New Roman" w:cs="Times New Roman" w:eastAsia="Times New Roman" w:hAnsi="Times New Roman"/>
          <w:sz w:val="16"/>
          <w:szCs w:val="16"/>
          <w:b w:val="1"/>
          <w:bCs w:val="1"/>
          <w:color w:val="auto"/>
        </w:rPr>
        <w:t>Each of the undersigned hereby affirms to the Surety that he or she is a secretary or a duly authorized officer, manager, trustee or official of the business entity for which he or she executes the foregoing Agreement as a Contractor and Indemnitor. In such capacity the undersigned is familiar with all of the documents which establish the rights which govern the affairs, power and authority of such entity including, to the extent applicable, the (1) certificate or articles of incorporation, (2) bylaws, (3) corporate resolutions, (4) trust agreements and (5) partnership, and operating or limited liability agreements of such business entity. Having reviewed all such applicable documents and instruments and such other facts as deemed appropriate, the undersigned hereby affirms that such entity has the power and authority to enter into such Agreement and that he or she is duly authorized to do so.</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820" w:type="dxa"/>
            <w:vAlign w:val="bottom"/>
          </w:tcPr>
          <w:p>
            <w:pPr>
              <w:spacing w:after="0"/>
              <w:rPr>
                <w:sz w:val="20"/>
                <w:szCs w:val="20"/>
                <w:color w:val="auto"/>
              </w:rPr>
            </w:pPr>
            <w:r>
              <w:rPr>
                <w:rFonts w:ascii="Times New Roman" w:cs="Times New Roman" w:eastAsia="Times New Roman" w:hAnsi="Times New Roman"/>
                <w:sz w:val="18"/>
                <w:szCs w:val="18"/>
                <w:color w:val="auto"/>
                <w:w w:val="97"/>
              </w:rPr>
              <w:t>ATTEST OR WITNESS:</w:t>
            </w:r>
          </w:p>
        </w:tc>
        <w:tc>
          <w:tcPr>
            <w:tcW w:w="38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GREAT LAKES DREDGE &amp; DOCK COMPANY, LLC</w:t>
            </w:r>
          </w:p>
        </w:tc>
      </w:tr>
      <w:tr>
        <w:trPr>
          <w:trHeight w:val="216"/>
        </w:trPr>
        <w:tc>
          <w:tcPr>
            <w:tcW w:w="182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340" w:type="dxa"/>
            <w:vAlign w:val="bottom"/>
          </w:tcPr>
          <w:p>
            <w:pPr>
              <w:spacing w:after="0"/>
              <w:rPr>
                <w:sz w:val="20"/>
                <w:szCs w:val="20"/>
                <w:color w:val="auto"/>
              </w:rPr>
            </w:pPr>
            <w:r>
              <w:rPr>
                <w:rFonts w:ascii="Times New Roman" w:cs="Times New Roman" w:eastAsia="Times New Roman" w:hAnsi="Times New Roman"/>
                <w:sz w:val="18"/>
                <w:szCs w:val="18"/>
                <w:color w:val="auto"/>
              </w:rPr>
              <w:t>2122 York Road, Suite 200</w:t>
            </w:r>
          </w:p>
        </w:tc>
        <w:tc>
          <w:tcPr>
            <w:tcW w:w="2900" w:type="dxa"/>
            <w:vAlign w:val="bottom"/>
          </w:tcPr>
          <w:p>
            <w:pPr>
              <w:spacing w:after="0"/>
              <w:rPr>
                <w:sz w:val="18"/>
                <w:szCs w:val="18"/>
                <w:color w:val="auto"/>
              </w:rPr>
            </w:pPr>
          </w:p>
        </w:tc>
      </w:tr>
      <w:tr>
        <w:trPr>
          <w:trHeight w:val="216"/>
        </w:trPr>
        <w:tc>
          <w:tcPr>
            <w:tcW w:w="182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340" w:type="dxa"/>
            <w:vAlign w:val="bottom"/>
          </w:tcPr>
          <w:p>
            <w:pPr>
              <w:spacing w:after="0"/>
              <w:rPr>
                <w:sz w:val="20"/>
                <w:szCs w:val="20"/>
                <w:color w:val="auto"/>
              </w:rPr>
            </w:pPr>
            <w:r>
              <w:rPr>
                <w:rFonts w:ascii="Times New Roman" w:cs="Times New Roman" w:eastAsia="Times New Roman" w:hAnsi="Times New Roman"/>
                <w:sz w:val="18"/>
                <w:szCs w:val="18"/>
                <w:color w:val="auto"/>
              </w:rPr>
              <w:t>Oak Brook, IL 60523</w:t>
            </w:r>
          </w:p>
        </w:tc>
        <w:tc>
          <w:tcPr>
            <w:tcW w:w="2900" w:type="dxa"/>
            <w:vAlign w:val="bottom"/>
          </w:tcPr>
          <w:p>
            <w:pPr>
              <w:spacing w:after="0"/>
              <w:rPr>
                <w:sz w:val="18"/>
                <w:szCs w:val="18"/>
                <w:color w:val="auto"/>
              </w:rPr>
            </w:pPr>
          </w:p>
        </w:tc>
      </w:tr>
      <w:tr>
        <w:trPr>
          <w:trHeight w:val="228"/>
        </w:trPr>
        <w:tc>
          <w:tcPr>
            <w:tcW w:w="1820" w:type="dxa"/>
            <w:vAlign w:val="bottom"/>
          </w:tcPr>
          <w:p>
            <w:pPr>
              <w:spacing w:after="0"/>
              <w:rPr>
                <w:sz w:val="19"/>
                <w:szCs w:val="19"/>
                <w:color w:val="auto"/>
              </w:rPr>
            </w:pPr>
          </w:p>
        </w:tc>
        <w:tc>
          <w:tcPr>
            <w:tcW w:w="38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CONTRACTOR AND INDEMNITOR</w:t>
            </w:r>
          </w:p>
        </w:tc>
      </w:tr>
      <w:tr>
        <w:trPr>
          <w:trHeight w:val="447"/>
        </w:trPr>
        <w:tc>
          <w:tcPr>
            <w:tcW w:w="1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Ellen Parker Burke</w:t>
            </w:r>
          </w:p>
        </w:tc>
        <w:tc>
          <w:tcPr>
            <w:tcW w:w="3800" w:type="dxa"/>
            <w:vAlign w:val="bottom"/>
            <w:tcBorders>
              <w:bottom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2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Bruce J. Biemeck</w:t>
            </w:r>
          </w:p>
        </w:tc>
        <w:tc>
          <w:tcPr>
            <w:tcW w:w="290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(SEAL)</w:t>
            </w:r>
          </w:p>
        </w:tc>
      </w:tr>
      <w:tr>
        <w:trPr>
          <w:trHeight w:val="223"/>
        </w:trPr>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Ellen Parker Burke, Secretary</w:t>
            </w:r>
          </w:p>
        </w:tc>
        <w:tc>
          <w:tcPr>
            <w:tcW w:w="560" w:type="dxa"/>
            <w:vAlign w:val="bottom"/>
          </w:tcPr>
          <w:p>
            <w:pPr>
              <w:spacing w:after="0"/>
              <w:rPr>
                <w:sz w:val="19"/>
                <w:szCs w:val="19"/>
                <w:color w:val="auto"/>
              </w:rPr>
            </w:pPr>
          </w:p>
        </w:tc>
        <w:tc>
          <w:tcPr>
            <w:tcW w:w="2340" w:type="dxa"/>
            <w:vAlign w:val="bottom"/>
          </w:tcPr>
          <w:p>
            <w:pPr>
              <w:spacing w:after="0"/>
              <w:rPr>
                <w:sz w:val="20"/>
                <w:szCs w:val="20"/>
                <w:color w:val="auto"/>
              </w:rPr>
            </w:pPr>
            <w:r>
              <w:rPr>
                <w:rFonts w:ascii="Times New Roman" w:cs="Times New Roman" w:eastAsia="Times New Roman" w:hAnsi="Times New Roman"/>
                <w:sz w:val="18"/>
                <w:szCs w:val="18"/>
                <w:color w:val="auto"/>
              </w:rPr>
              <w:t>Bruce J. Biemeck, President</w:t>
            </w:r>
          </w:p>
        </w:tc>
        <w:tc>
          <w:tcPr>
            <w:tcW w:w="2900" w:type="dxa"/>
            <w:vAlign w:val="bottom"/>
          </w:tcPr>
          <w:p>
            <w:pPr>
              <w:spacing w:after="0"/>
              <w:rPr>
                <w:sz w:val="19"/>
                <w:szCs w:val="19"/>
                <w:color w:val="auto"/>
              </w:rPr>
            </w:pPr>
          </w:p>
        </w:tc>
      </w:tr>
      <w:tr>
        <w:trPr>
          <w:trHeight w:val="458"/>
        </w:trPr>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ACKNOWLEDGEMENT</w:t>
            </w:r>
          </w:p>
        </w:tc>
        <w:tc>
          <w:tcPr>
            <w:tcW w:w="56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2900" w:type="dxa"/>
            <w:vAlign w:val="bottom"/>
          </w:tcPr>
          <w:p>
            <w:pPr>
              <w:spacing w:after="0"/>
              <w:rPr>
                <w:sz w:val="24"/>
                <w:szCs w:val="24"/>
                <w:color w:val="auto"/>
              </w:rPr>
            </w:pPr>
          </w:p>
        </w:tc>
      </w:tr>
      <w:tr>
        <w:trPr>
          <w:trHeight w:val="297"/>
        </w:trPr>
        <w:tc>
          <w:tcPr>
            <w:tcW w:w="1820" w:type="dxa"/>
            <w:vAlign w:val="bottom"/>
          </w:tcPr>
          <w:p>
            <w:pPr>
              <w:spacing w:after="0"/>
              <w:rPr>
                <w:sz w:val="20"/>
                <w:szCs w:val="20"/>
                <w:color w:val="auto"/>
              </w:rPr>
            </w:pPr>
            <w:r>
              <w:rPr>
                <w:rFonts w:ascii="Times New Roman" w:cs="Times New Roman" w:eastAsia="Times New Roman" w:hAnsi="Times New Roman"/>
                <w:sz w:val="18"/>
                <w:szCs w:val="18"/>
                <w:color w:val="auto"/>
              </w:rPr>
              <w:t>STATE OF Illinois</w:t>
            </w:r>
          </w:p>
        </w:tc>
        <w:tc>
          <w:tcPr>
            <w:tcW w:w="3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County of Cook</w:t>
            </w:r>
          </w:p>
        </w:tc>
        <w:tc>
          <w:tcPr>
            <w:tcW w:w="56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2900" w:type="dxa"/>
            <w:vAlign w:val="bottom"/>
          </w:tcPr>
          <w:p>
            <w:pPr>
              <w:spacing w:after="0"/>
              <w:rPr>
                <w:sz w:val="24"/>
                <w:szCs w:val="24"/>
                <w:color w:val="auto"/>
              </w:rPr>
            </w:pPr>
          </w:p>
        </w:tc>
      </w:tr>
    </w:tbl>
    <w:p>
      <w:pPr>
        <w:spacing w:after="0" w:line="150" w:lineRule="exact"/>
        <w:rPr>
          <w:sz w:val="20"/>
          <w:szCs w:val="20"/>
          <w:color w:val="auto"/>
        </w:rPr>
      </w:pPr>
    </w:p>
    <w:p>
      <w:pPr>
        <w:ind w:right="240"/>
        <w:spacing w:after="0" w:line="256" w:lineRule="auto"/>
        <w:rPr>
          <w:sz w:val="20"/>
          <w:szCs w:val="20"/>
          <w:color w:val="auto"/>
        </w:rPr>
      </w:pPr>
      <w:r>
        <w:rPr>
          <w:rFonts w:ascii="Times New Roman" w:cs="Times New Roman" w:eastAsia="Times New Roman" w:hAnsi="Times New Roman"/>
          <w:sz w:val="18"/>
          <w:szCs w:val="18"/>
          <w:color w:val="auto"/>
        </w:rPr>
        <w:t xml:space="preserve">On this </w:t>
      </w:r>
      <w:r>
        <w:rPr>
          <w:rFonts w:ascii="Times New Roman" w:cs="Times New Roman" w:eastAsia="Times New Roman" w:hAnsi="Times New Roman"/>
          <w:sz w:val="18"/>
          <w:szCs w:val="18"/>
          <w:u w:val="single" w:color="auto"/>
          <w:color w:val="auto"/>
        </w:rPr>
        <w:t>7th</w:t>
      </w:r>
      <w:r>
        <w:rPr>
          <w:rFonts w:ascii="Times New Roman" w:cs="Times New Roman" w:eastAsia="Times New Roman" w:hAnsi="Times New Roman"/>
          <w:sz w:val="18"/>
          <w:szCs w:val="18"/>
          <w:color w:val="auto"/>
        </w:rPr>
        <w:t xml:space="preserve"> day of </w:t>
      </w:r>
      <w:r>
        <w:rPr>
          <w:rFonts w:ascii="Times New Roman" w:cs="Times New Roman" w:eastAsia="Times New Roman" w:hAnsi="Times New Roman"/>
          <w:sz w:val="18"/>
          <w:szCs w:val="18"/>
          <w:u w:val="single" w:color="auto"/>
          <w:color w:val="auto"/>
        </w:rPr>
        <w:t>September, 2011</w:t>
      </w:r>
      <w:r>
        <w:rPr>
          <w:rFonts w:ascii="Times New Roman" w:cs="Times New Roman" w:eastAsia="Times New Roman" w:hAnsi="Times New Roman"/>
          <w:sz w:val="18"/>
          <w:szCs w:val="18"/>
          <w:color w:val="auto"/>
        </w:rPr>
        <w:t xml:space="preserve"> before me personally appeared Bruce J. Biemeckknown or proven to me to be the Presidentof the entity executing the foregoing instrument (“Entity”) and Ellen Parker Burkeknown or proven to me to be the Secretaryof the Entity and they acknowledge said instrument to be the free and voluntary act and deed of said Entity, for the uses and purposes therein mentioned and on oath stated that the seal affixed is the seal of said Entity and that it was affixed and that they executed said instrument by authority of the Entity IN WITNESS WHEREOF, I have hereunto set my hand and affixed my OFFICIAL SEAL the day and year first above written.</w:t>
      </w:r>
    </w:p>
    <w:p>
      <w:pPr>
        <w:spacing w:after="0" w:line="287"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Notary Public: Donna Jean Rice</w:t>
      </w:r>
    </w:p>
    <w:p>
      <w:pPr>
        <w:spacing w:after="0" w:line="117"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My Commission Expires: 7-8-2013</w:t>
      </w:r>
    </w:p>
    <w:p>
      <w:pPr>
        <w:spacing w:after="0" w:line="117"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Notary Registration No.: 213938</w:t>
      </w:r>
    </w:p>
    <w:p>
      <w:pPr>
        <w:spacing w:after="0" w:line="171"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18"/>
          <w:szCs w:val="18"/>
          <w:color w:val="auto"/>
        </w:rPr>
        <w:t>(The remainder of this page intentionally left blank)</w:t>
      </w:r>
    </w:p>
    <w:p>
      <w:pPr>
        <w:spacing w:after="0" w:line="158" w:lineRule="exact"/>
        <w:rPr>
          <w:sz w:val="20"/>
          <w:szCs w:val="20"/>
          <w:color w:val="auto"/>
        </w:rPr>
      </w:pPr>
    </w:p>
    <w:p>
      <w:pPr>
        <w:spacing w:after="0"/>
        <w:tabs>
          <w:tab w:leader="none" w:pos="5500" w:val="left"/>
        </w:tabs>
        <w:rPr>
          <w:sz w:val="20"/>
          <w:szCs w:val="20"/>
          <w:color w:val="auto"/>
        </w:rPr>
      </w:pPr>
      <w:r>
        <w:rPr>
          <w:rFonts w:ascii="Times New Roman" w:cs="Times New Roman" w:eastAsia="Times New Roman" w:hAnsi="Times New Roman"/>
          <w:sz w:val="18"/>
          <w:szCs w:val="18"/>
          <w:color w:val="auto"/>
        </w:rPr>
        <w:t>C345 Ed 12 09 modified for GLCC</w:t>
      </w:r>
      <w:r>
        <w:rPr>
          <w:sz w:val="20"/>
          <w:szCs w:val="20"/>
          <w:color w:val="auto"/>
        </w:rPr>
        <w:tab/>
      </w:r>
      <w:r>
        <w:rPr>
          <w:rFonts w:ascii="Times New Roman" w:cs="Times New Roman" w:eastAsia="Times New Roman" w:hAnsi="Times New Roman"/>
          <w:sz w:val="16"/>
          <w:szCs w:val="16"/>
          <w:color w:val="auto"/>
        </w:rPr>
        <w:t>page 8 of 16</w:t>
      </w:r>
    </w:p>
    <w:p>
      <w:pPr>
        <w:sectPr>
          <w:pgSz w:w="11900" w:h="16838" w:orient="portrait"/>
          <w:cols w:equalWidth="0" w:num="1">
            <w:col w:w="11420"/>
          </w:cols>
          <w:pgMar w:left="240" w:top="272" w:right="239" w:bottom="1440" w:gutter="0" w:footer="0" w:header="0"/>
        </w:sectPr>
      </w:pPr>
    </w:p>
    <w:bookmarkStart w:id="149" w:name="page150"/>
    <w:bookmarkEnd w:id="149"/>
    <w:p>
      <w:pPr>
        <w:spacing w:after="0" w:line="259"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I/WE HAVE CAREFULLY READ THIS AGREEMENT OF INDEMNITY (OF WHICH THIS SIGNATURE PAGE IS A PART) AND FULLY UNDERSTAND MY/OUR OBLIGATIONS AS A CONTRACTOR AND INDEMNITOR HEREUNDER. THERE ARE NO SEPARATE AGREEMENTS OR UNDERSTANDINGS, EITHER WRITTEN OR ORAL, THAT IN ANY WAY LESSEN OR ALTER MY/OUR OBLIGATIONS AS ABOVE SET FORTH. IN WITNESS WHEREOF I/we have signed and sealed the day and year first above written.</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Sign below if entity is a Corporation, Limited Liability Company, Partnership or Trust:</w:t>
      </w:r>
    </w:p>
    <w:p>
      <w:pPr>
        <w:spacing w:after="0" w:line="92" w:lineRule="exact"/>
        <w:rPr>
          <w:sz w:val="20"/>
          <w:szCs w:val="20"/>
          <w:color w:val="auto"/>
        </w:rPr>
      </w:pPr>
    </w:p>
    <w:p>
      <w:pPr>
        <w:jc w:val="both"/>
        <w:ind w:right="200"/>
        <w:spacing w:after="0" w:line="262" w:lineRule="auto"/>
        <w:rPr>
          <w:sz w:val="20"/>
          <w:szCs w:val="20"/>
          <w:color w:val="auto"/>
        </w:rPr>
      </w:pPr>
      <w:r>
        <w:rPr>
          <w:rFonts w:ascii="Times New Roman" w:cs="Times New Roman" w:eastAsia="Times New Roman" w:hAnsi="Times New Roman"/>
          <w:sz w:val="18"/>
          <w:szCs w:val="18"/>
          <w:color w:val="auto"/>
        </w:rPr>
        <w:t>Instructions: If the entity is : 1) a corporation, the secretary and an authorized officer should sign on behalf of the corporation, 2) a limited liability corporation, the manager or member(s) should sign on behalf of the LLC, 3) a trust, the trustee(s) should sign on behalf of the trust, or 4) a partnership, the partner(s) should sign on behalf of the partnership. Two signatures are required for all entities and all signatures must be notarized and dated.</w:t>
      </w:r>
    </w:p>
    <w:p>
      <w:pPr>
        <w:spacing w:after="0" w:line="130" w:lineRule="exact"/>
        <w:rPr>
          <w:sz w:val="20"/>
          <w:szCs w:val="20"/>
          <w:color w:val="auto"/>
        </w:rPr>
      </w:pPr>
    </w:p>
    <w:p>
      <w:pPr>
        <w:ind w:right="20"/>
        <w:spacing w:after="0" w:line="293" w:lineRule="auto"/>
        <w:rPr>
          <w:sz w:val="20"/>
          <w:szCs w:val="20"/>
          <w:color w:val="auto"/>
        </w:rPr>
      </w:pPr>
      <w:r>
        <w:rPr>
          <w:rFonts w:ascii="Times New Roman" w:cs="Times New Roman" w:eastAsia="Times New Roman" w:hAnsi="Times New Roman"/>
          <w:sz w:val="16"/>
          <w:szCs w:val="16"/>
          <w:b w:val="1"/>
          <w:bCs w:val="1"/>
          <w:color w:val="auto"/>
        </w:rPr>
        <w:t>Each of the undersigned hereby affirms to the Surety that he or she is a secretary or a duly authorized officer, manager, trustee or official of the business entity for which he or she executes the foregoing Agreement as a Contractor and Indemnitor. In such capacity the undersigned is familiar with all of the documents which establish the rights which govern the affairs, power and authority of such entity including, to the extent applicable, the (1) certificate or articles of incorporation, (2) bylaws, (3) corporate resolutions, (4) trust agreements and (5) partnership, and operating or limited liability agreements of such business entity. Having reviewed all such applicable documents and instruments and such other facts as deemed appropriate, the undersigned hereby affirms that such entity has the power and authority to enter into such Agreement and that he or she is duly authorized to do so.</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820" w:type="dxa"/>
            <w:vAlign w:val="bottom"/>
          </w:tcPr>
          <w:p>
            <w:pPr>
              <w:spacing w:after="0"/>
              <w:rPr>
                <w:sz w:val="20"/>
                <w:szCs w:val="20"/>
                <w:color w:val="auto"/>
              </w:rPr>
            </w:pPr>
            <w:r>
              <w:rPr>
                <w:rFonts w:ascii="Times New Roman" w:cs="Times New Roman" w:eastAsia="Times New Roman" w:hAnsi="Times New Roman"/>
                <w:sz w:val="18"/>
                <w:szCs w:val="18"/>
                <w:color w:val="auto"/>
                <w:w w:val="97"/>
              </w:rPr>
              <w:t>ATTEST OR WITNESS:</w:t>
            </w:r>
          </w:p>
        </w:tc>
        <w:tc>
          <w:tcPr>
            <w:tcW w:w="38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LYDON DREDGING &amp; CONSTRUCTION COMPANY, LTD.</w:t>
            </w:r>
          </w:p>
        </w:tc>
      </w:tr>
      <w:tr>
        <w:trPr>
          <w:trHeight w:val="216"/>
        </w:trPr>
        <w:tc>
          <w:tcPr>
            <w:tcW w:w="182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2122 York Road, Suite 200</w:t>
            </w:r>
          </w:p>
        </w:tc>
        <w:tc>
          <w:tcPr>
            <w:tcW w:w="2440" w:type="dxa"/>
            <w:vAlign w:val="bottom"/>
          </w:tcPr>
          <w:p>
            <w:pPr>
              <w:spacing w:after="0"/>
              <w:rPr>
                <w:sz w:val="18"/>
                <w:szCs w:val="18"/>
                <w:color w:val="auto"/>
              </w:rPr>
            </w:pPr>
          </w:p>
        </w:tc>
      </w:tr>
      <w:tr>
        <w:trPr>
          <w:trHeight w:val="216"/>
        </w:trPr>
        <w:tc>
          <w:tcPr>
            <w:tcW w:w="182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Oak Brook, IL 60523</w:t>
            </w:r>
          </w:p>
        </w:tc>
        <w:tc>
          <w:tcPr>
            <w:tcW w:w="2440" w:type="dxa"/>
            <w:vAlign w:val="bottom"/>
          </w:tcPr>
          <w:p>
            <w:pPr>
              <w:spacing w:after="0"/>
              <w:rPr>
                <w:sz w:val="18"/>
                <w:szCs w:val="18"/>
                <w:color w:val="auto"/>
              </w:rPr>
            </w:pPr>
          </w:p>
        </w:tc>
      </w:tr>
      <w:tr>
        <w:trPr>
          <w:trHeight w:val="228"/>
        </w:trPr>
        <w:tc>
          <w:tcPr>
            <w:tcW w:w="1820" w:type="dxa"/>
            <w:vAlign w:val="bottom"/>
          </w:tcPr>
          <w:p>
            <w:pPr>
              <w:spacing w:after="0"/>
              <w:rPr>
                <w:sz w:val="19"/>
                <w:szCs w:val="19"/>
                <w:color w:val="auto"/>
              </w:rPr>
            </w:pPr>
          </w:p>
        </w:tc>
        <w:tc>
          <w:tcPr>
            <w:tcW w:w="38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w w:val="97"/>
              </w:rPr>
              <w:t>CONTRACTOR AND INDEMNITOR</w:t>
            </w:r>
          </w:p>
        </w:tc>
        <w:tc>
          <w:tcPr>
            <w:tcW w:w="2440" w:type="dxa"/>
            <w:vAlign w:val="bottom"/>
          </w:tcPr>
          <w:p>
            <w:pPr>
              <w:spacing w:after="0"/>
              <w:rPr>
                <w:sz w:val="19"/>
                <w:szCs w:val="19"/>
                <w:color w:val="auto"/>
              </w:rPr>
            </w:pPr>
          </w:p>
        </w:tc>
      </w:tr>
      <w:tr>
        <w:trPr>
          <w:trHeight w:val="447"/>
        </w:trPr>
        <w:tc>
          <w:tcPr>
            <w:tcW w:w="1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Ellen Parker Burke</w:t>
            </w:r>
          </w:p>
        </w:tc>
        <w:tc>
          <w:tcPr>
            <w:tcW w:w="3800" w:type="dxa"/>
            <w:vAlign w:val="bottom"/>
            <w:tcBorders>
              <w:bottom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2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Jonathan W. Berger</w:t>
            </w:r>
          </w:p>
        </w:tc>
        <w:tc>
          <w:tcPr>
            <w:tcW w:w="24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(SEAL)</w:t>
            </w:r>
          </w:p>
        </w:tc>
      </w:tr>
      <w:tr>
        <w:trPr>
          <w:trHeight w:val="223"/>
        </w:trPr>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Ellen Parker Burke, Secretary</w:t>
            </w:r>
          </w:p>
        </w:tc>
        <w:tc>
          <w:tcPr>
            <w:tcW w:w="560" w:type="dxa"/>
            <w:vAlign w:val="bottom"/>
          </w:tcPr>
          <w:p>
            <w:pPr>
              <w:spacing w:after="0"/>
              <w:rPr>
                <w:sz w:val="19"/>
                <w:szCs w:val="19"/>
                <w:color w:val="auto"/>
              </w:rPr>
            </w:pPr>
          </w:p>
        </w:tc>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Jonathan W. Berger, President</w:t>
            </w:r>
          </w:p>
        </w:tc>
        <w:tc>
          <w:tcPr>
            <w:tcW w:w="2440" w:type="dxa"/>
            <w:vAlign w:val="bottom"/>
          </w:tcPr>
          <w:p>
            <w:pPr>
              <w:spacing w:after="0"/>
              <w:rPr>
                <w:sz w:val="19"/>
                <w:szCs w:val="19"/>
                <w:color w:val="auto"/>
              </w:rPr>
            </w:pPr>
          </w:p>
        </w:tc>
      </w:tr>
      <w:tr>
        <w:trPr>
          <w:trHeight w:val="458"/>
        </w:trPr>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ACKNOWLEDGEMENT</w:t>
            </w:r>
          </w:p>
        </w:tc>
        <w:tc>
          <w:tcPr>
            <w:tcW w:w="56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2440" w:type="dxa"/>
            <w:vAlign w:val="bottom"/>
          </w:tcPr>
          <w:p>
            <w:pPr>
              <w:spacing w:after="0"/>
              <w:rPr>
                <w:sz w:val="24"/>
                <w:szCs w:val="24"/>
                <w:color w:val="auto"/>
              </w:rPr>
            </w:pPr>
          </w:p>
        </w:tc>
      </w:tr>
      <w:tr>
        <w:trPr>
          <w:trHeight w:val="297"/>
        </w:trPr>
        <w:tc>
          <w:tcPr>
            <w:tcW w:w="1820" w:type="dxa"/>
            <w:vAlign w:val="bottom"/>
          </w:tcPr>
          <w:p>
            <w:pPr>
              <w:spacing w:after="0"/>
              <w:rPr>
                <w:sz w:val="20"/>
                <w:szCs w:val="20"/>
                <w:color w:val="auto"/>
              </w:rPr>
            </w:pPr>
            <w:r>
              <w:rPr>
                <w:rFonts w:ascii="Times New Roman" w:cs="Times New Roman" w:eastAsia="Times New Roman" w:hAnsi="Times New Roman"/>
                <w:sz w:val="18"/>
                <w:szCs w:val="18"/>
                <w:color w:val="auto"/>
              </w:rPr>
              <w:t>STATE OF Illinois</w:t>
            </w:r>
          </w:p>
        </w:tc>
        <w:tc>
          <w:tcPr>
            <w:tcW w:w="3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County of Cook</w:t>
            </w:r>
          </w:p>
        </w:tc>
        <w:tc>
          <w:tcPr>
            <w:tcW w:w="56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2440" w:type="dxa"/>
            <w:vAlign w:val="bottom"/>
          </w:tcPr>
          <w:p>
            <w:pPr>
              <w:spacing w:after="0"/>
              <w:rPr>
                <w:sz w:val="24"/>
                <w:szCs w:val="24"/>
                <w:color w:val="auto"/>
              </w:rPr>
            </w:pPr>
          </w:p>
        </w:tc>
      </w:tr>
    </w:tbl>
    <w:p>
      <w:pPr>
        <w:spacing w:after="0" w:line="150"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 xml:space="preserve">On this </w:t>
      </w:r>
      <w:r>
        <w:rPr>
          <w:rFonts w:ascii="Times New Roman" w:cs="Times New Roman" w:eastAsia="Times New Roman" w:hAnsi="Times New Roman"/>
          <w:sz w:val="18"/>
          <w:szCs w:val="18"/>
          <w:u w:val="single" w:color="auto"/>
          <w:color w:val="auto"/>
        </w:rPr>
        <w:t>7th</w:t>
      </w:r>
      <w:r>
        <w:rPr>
          <w:rFonts w:ascii="Times New Roman" w:cs="Times New Roman" w:eastAsia="Times New Roman" w:hAnsi="Times New Roman"/>
          <w:sz w:val="18"/>
          <w:szCs w:val="18"/>
          <w:color w:val="auto"/>
        </w:rPr>
        <w:t xml:space="preserve"> day of </w:t>
      </w:r>
      <w:r>
        <w:rPr>
          <w:rFonts w:ascii="Times New Roman" w:cs="Times New Roman" w:eastAsia="Times New Roman" w:hAnsi="Times New Roman"/>
          <w:sz w:val="18"/>
          <w:szCs w:val="18"/>
          <w:u w:val="single" w:color="auto"/>
          <w:color w:val="auto"/>
        </w:rPr>
        <w:t>September, 2011</w:t>
      </w:r>
      <w:r>
        <w:rPr>
          <w:rFonts w:ascii="Times New Roman" w:cs="Times New Roman" w:eastAsia="Times New Roman" w:hAnsi="Times New Roman"/>
          <w:sz w:val="18"/>
          <w:szCs w:val="18"/>
          <w:color w:val="auto"/>
        </w:rPr>
        <w:t xml:space="preserve"> before me personally appeared Jonathan W. Berger known or proven to me to be the President of the entity executing the foregoing instrument (“Entity”) and Ellen Parker Burke known or proven to me to be the Secretary of the Entity and they acknowledge said instrument to be the free and voluntary act and deed of said Entity, for the uses and purposes therein mentioned and on oath stated that the seal affixed is the seal of said Entity and that it was affixed and that they executed said instrument by authority of the Entity IN WITNESS WHEREOF, I have hereunto set my hand and affixed my OFFICIAL SEAL the day and year first above written.</w:t>
      </w:r>
    </w:p>
    <w:p>
      <w:pPr>
        <w:spacing w:after="0" w:line="287"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Notary Public: Donna Jean Rice</w:t>
      </w:r>
    </w:p>
    <w:p>
      <w:pPr>
        <w:spacing w:after="0" w:line="117"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My Commission Expires: 7-8-2013</w:t>
      </w:r>
    </w:p>
    <w:p>
      <w:pPr>
        <w:spacing w:after="0" w:line="117"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Notary Registration No.: 213938</w:t>
      </w:r>
    </w:p>
    <w:p>
      <w:pPr>
        <w:spacing w:after="0" w:line="171"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18"/>
          <w:szCs w:val="18"/>
          <w:color w:val="auto"/>
        </w:rPr>
        <w:t>(The remainder of this page intentionally left blank)</w:t>
      </w:r>
    </w:p>
    <w:p>
      <w:pPr>
        <w:spacing w:after="0" w:line="158" w:lineRule="exact"/>
        <w:rPr>
          <w:sz w:val="20"/>
          <w:szCs w:val="20"/>
          <w:color w:val="auto"/>
        </w:rPr>
      </w:pPr>
    </w:p>
    <w:p>
      <w:pPr>
        <w:spacing w:after="0"/>
        <w:tabs>
          <w:tab w:leader="none" w:pos="5500" w:val="left"/>
        </w:tabs>
        <w:rPr>
          <w:sz w:val="20"/>
          <w:szCs w:val="20"/>
          <w:color w:val="auto"/>
        </w:rPr>
      </w:pPr>
      <w:r>
        <w:rPr>
          <w:rFonts w:ascii="Times New Roman" w:cs="Times New Roman" w:eastAsia="Times New Roman" w:hAnsi="Times New Roman"/>
          <w:sz w:val="18"/>
          <w:szCs w:val="18"/>
          <w:color w:val="auto"/>
        </w:rPr>
        <w:t>C345 Ed 12 09 modified for GLCC</w:t>
      </w:r>
      <w:r>
        <w:rPr>
          <w:sz w:val="20"/>
          <w:szCs w:val="20"/>
          <w:color w:val="auto"/>
        </w:rPr>
        <w:tab/>
      </w:r>
      <w:r>
        <w:rPr>
          <w:rFonts w:ascii="Times New Roman" w:cs="Times New Roman" w:eastAsia="Times New Roman" w:hAnsi="Times New Roman"/>
          <w:sz w:val="16"/>
          <w:szCs w:val="16"/>
          <w:color w:val="auto"/>
        </w:rPr>
        <w:t>page 9 of 16</w:t>
      </w:r>
    </w:p>
    <w:p>
      <w:pPr>
        <w:sectPr>
          <w:pgSz w:w="11900" w:h="16838" w:orient="portrait"/>
          <w:cols w:equalWidth="0" w:num="1">
            <w:col w:w="11420"/>
          </w:cols>
          <w:pgMar w:left="240" w:top="272" w:right="239" w:bottom="1440" w:gutter="0" w:footer="0" w:header="0"/>
        </w:sectPr>
      </w:pPr>
    </w:p>
    <w:bookmarkStart w:id="150" w:name="page151"/>
    <w:bookmarkEnd w:id="150"/>
    <w:p>
      <w:pPr>
        <w:spacing w:after="0" w:line="259"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I/WE HAVE CAREFULLY READ THIS AGREEMENT OF INDEMNITY (OF WHICH THIS SIGNATURE PAGE IS A PART) AND FULLY UNDERSTAND MY/OUR OBLIGATIONS AS A CONTRACTOR AND INDEMNITOR HEREUNDER. THERE ARE NO SEPARATE AGREEMENTS OR UNDERSTANDINGS, EITHER WRITTEN OR ORAL, THAT IN ANY WAY LESSEN OR ALTER MY/OUR OBLIGATIONS AS ABOVE SET FORTH. IN WITNESS WHEREOF I/we have signed and sealed the day and year first above written.</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Sign below if entity is a Corporation, Limited Liability Company, Partnership or Trust:</w:t>
      </w:r>
    </w:p>
    <w:p>
      <w:pPr>
        <w:spacing w:after="0" w:line="92" w:lineRule="exact"/>
        <w:rPr>
          <w:sz w:val="20"/>
          <w:szCs w:val="20"/>
          <w:color w:val="auto"/>
        </w:rPr>
      </w:pPr>
    </w:p>
    <w:p>
      <w:pPr>
        <w:jc w:val="both"/>
        <w:ind w:right="200"/>
        <w:spacing w:after="0" w:line="262" w:lineRule="auto"/>
        <w:rPr>
          <w:sz w:val="20"/>
          <w:szCs w:val="20"/>
          <w:color w:val="auto"/>
        </w:rPr>
      </w:pPr>
      <w:r>
        <w:rPr>
          <w:rFonts w:ascii="Times New Roman" w:cs="Times New Roman" w:eastAsia="Times New Roman" w:hAnsi="Times New Roman"/>
          <w:sz w:val="18"/>
          <w:szCs w:val="18"/>
          <w:color w:val="auto"/>
        </w:rPr>
        <w:t>Instructions: If the entity is : 1) a corporation, the secretary and an authorized officer should sign on behalf of the corporation, 2) a limited liability corporation, the manager or member(s) should sign on behalf of the LLC, 3) a trust, the trustee(s) should sign on behalf of the trust, or 4) a partnership, the partner(s) should sign on behalf of the partnership. Two signatures are required for all entities and all signatures must be notarized and dated.</w:t>
      </w:r>
    </w:p>
    <w:p>
      <w:pPr>
        <w:spacing w:after="0" w:line="130" w:lineRule="exact"/>
        <w:rPr>
          <w:sz w:val="20"/>
          <w:szCs w:val="20"/>
          <w:color w:val="auto"/>
        </w:rPr>
      </w:pPr>
    </w:p>
    <w:p>
      <w:pPr>
        <w:ind w:right="20"/>
        <w:spacing w:after="0" w:line="293" w:lineRule="auto"/>
        <w:rPr>
          <w:sz w:val="20"/>
          <w:szCs w:val="20"/>
          <w:color w:val="auto"/>
        </w:rPr>
      </w:pPr>
      <w:r>
        <w:rPr>
          <w:rFonts w:ascii="Times New Roman" w:cs="Times New Roman" w:eastAsia="Times New Roman" w:hAnsi="Times New Roman"/>
          <w:sz w:val="16"/>
          <w:szCs w:val="16"/>
          <w:b w:val="1"/>
          <w:bCs w:val="1"/>
          <w:color w:val="auto"/>
        </w:rPr>
        <w:t>Each of the undersigned hereby affirms to the Surety that he or she is a secretary or a duly authorized officer, manager, trustee or official of the business entity for which he or she executes the foregoing Agreement as a Contractor and Indemnitor. In such capacity the undersigned is familiar with all of the documents which establish the rights which govern the affairs, power and authority of such entity including, to the extent applicable, the (1) certificate or articles of incorporation, (2) bylaws, (3) corporate resolutions, (4) trust agreements and (5) partnership, and operating or limited liability agreements of such business entity. Having reviewed all such applicable documents and instruments and such other facts as deemed appropriate, the undersigned hereby affirms that such entity has the power and authority to enter into such Agreement and that he or she is duly authorized to do so.</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820" w:type="dxa"/>
            <w:vAlign w:val="bottom"/>
          </w:tcPr>
          <w:p>
            <w:pPr>
              <w:spacing w:after="0"/>
              <w:rPr>
                <w:sz w:val="20"/>
                <w:szCs w:val="20"/>
                <w:color w:val="auto"/>
              </w:rPr>
            </w:pPr>
            <w:r>
              <w:rPr>
                <w:rFonts w:ascii="Times New Roman" w:cs="Times New Roman" w:eastAsia="Times New Roman" w:hAnsi="Times New Roman"/>
                <w:sz w:val="18"/>
                <w:szCs w:val="18"/>
                <w:color w:val="auto"/>
                <w:w w:val="97"/>
              </w:rPr>
              <w:t>ATTEST OR WITNESS:</w:t>
            </w:r>
          </w:p>
        </w:tc>
        <w:tc>
          <w:tcPr>
            <w:tcW w:w="3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FIFTY-THREE DREDGING CORPORATION</w:t>
            </w:r>
          </w:p>
        </w:tc>
        <w:tc>
          <w:tcPr>
            <w:tcW w:w="1500" w:type="dxa"/>
            <w:vAlign w:val="bottom"/>
          </w:tcPr>
          <w:p>
            <w:pPr>
              <w:spacing w:after="0"/>
              <w:rPr>
                <w:sz w:val="18"/>
                <w:szCs w:val="18"/>
                <w:color w:val="auto"/>
              </w:rPr>
            </w:pPr>
          </w:p>
        </w:tc>
      </w:tr>
      <w:tr>
        <w:trPr>
          <w:trHeight w:val="216"/>
        </w:trPr>
        <w:tc>
          <w:tcPr>
            <w:tcW w:w="182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2122 York Road, Suite 200</w:t>
            </w:r>
          </w:p>
        </w:tc>
        <w:tc>
          <w:tcPr>
            <w:tcW w:w="1500" w:type="dxa"/>
            <w:vAlign w:val="bottom"/>
          </w:tcPr>
          <w:p>
            <w:pPr>
              <w:spacing w:after="0"/>
              <w:rPr>
                <w:sz w:val="18"/>
                <w:szCs w:val="18"/>
                <w:color w:val="auto"/>
              </w:rPr>
            </w:pPr>
          </w:p>
        </w:tc>
      </w:tr>
      <w:tr>
        <w:trPr>
          <w:trHeight w:val="216"/>
        </w:trPr>
        <w:tc>
          <w:tcPr>
            <w:tcW w:w="182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Oak Brook, IL 60523</w:t>
            </w:r>
          </w:p>
        </w:tc>
        <w:tc>
          <w:tcPr>
            <w:tcW w:w="1500" w:type="dxa"/>
            <w:vAlign w:val="bottom"/>
          </w:tcPr>
          <w:p>
            <w:pPr>
              <w:spacing w:after="0"/>
              <w:rPr>
                <w:sz w:val="18"/>
                <w:szCs w:val="18"/>
                <w:color w:val="auto"/>
              </w:rPr>
            </w:pPr>
          </w:p>
        </w:tc>
      </w:tr>
      <w:tr>
        <w:trPr>
          <w:trHeight w:val="228"/>
        </w:trPr>
        <w:tc>
          <w:tcPr>
            <w:tcW w:w="1820" w:type="dxa"/>
            <w:vAlign w:val="bottom"/>
          </w:tcPr>
          <w:p>
            <w:pPr>
              <w:spacing w:after="0"/>
              <w:rPr>
                <w:sz w:val="19"/>
                <w:szCs w:val="19"/>
                <w:color w:val="auto"/>
              </w:rPr>
            </w:pPr>
          </w:p>
        </w:tc>
        <w:tc>
          <w:tcPr>
            <w:tcW w:w="33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CONTRACTOR AND INDEMNITOR</w:t>
            </w:r>
          </w:p>
        </w:tc>
        <w:tc>
          <w:tcPr>
            <w:tcW w:w="1500" w:type="dxa"/>
            <w:vAlign w:val="bottom"/>
          </w:tcPr>
          <w:p>
            <w:pPr>
              <w:spacing w:after="0"/>
              <w:rPr>
                <w:sz w:val="19"/>
                <w:szCs w:val="19"/>
                <w:color w:val="auto"/>
              </w:rPr>
            </w:pPr>
          </w:p>
        </w:tc>
      </w:tr>
      <w:tr>
        <w:trPr>
          <w:trHeight w:val="447"/>
        </w:trPr>
        <w:tc>
          <w:tcPr>
            <w:tcW w:w="1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Susan M. Williams</w:t>
            </w:r>
          </w:p>
        </w:tc>
        <w:tc>
          <w:tcPr>
            <w:tcW w:w="3340" w:type="dxa"/>
            <w:vAlign w:val="bottom"/>
            <w:tcBorders>
              <w:bottom w:val="single" w:sz="8" w:color="auto"/>
            </w:tcBorders>
          </w:tcPr>
          <w:p>
            <w:pPr>
              <w:spacing w:after="0"/>
              <w:rPr>
                <w:sz w:val="24"/>
                <w:szCs w:val="24"/>
                <w:color w:val="auto"/>
              </w:rPr>
            </w:pPr>
          </w:p>
        </w:tc>
        <w:tc>
          <w:tcPr>
            <w:tcW w:w="1240" w:type="dxa"/>
            <w:vAlign w:val="bottom"/>
          </w:tcPr>
          <w:p>
            <w:pPr>
              <w:spacing w:after="0"/>
              <w:rPr>
                <w:sz w:val="24"/>
                <w:szCs w:val="24"/>
                <w:color w:val="auto"/>
              </w:rPr>
            </w:pPr>
          </w:p>
        </w:tc>
        <w:tc>
          <w:tcPr>
            <w:tcW w:w="3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Paul E. Dinquel</w:t>
            </w:r>
          </w:p>
        </w:tc>
        <w:tc>
          <w:tcPr>
            <w:tcW w:w="150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(SEAL)</w:t>
            </w:r>
          </w:p>
        </w:tc>
      </w:tr>
      <w:tr>
        <w:trPr>
          <w:trHeight w:val="223"/>
        </w:trPr>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Susan M. Williams, Secretary</w:t>
            </w:r>
          </w:p>
        </w:tc>
        <w:tc>
          <w:tcPr>
            <w:tcW w:w="1240" w:type="dxa"/>
            <w:vAlign w:val="bottom"/>
          </w:tcPr>
          <w:p>
            <w:pPr>
              <w:spacing w:after="0"/>
              <w:rPr>
                <w:sz w:val="19"/>
                <w:szCs w:val="19"/>
                <w:color w:val="auto"/>
              </w:rPr>
            </w:pPr>
          </w:p>
        </w:tc>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Paul E. Dinquel, Vice President</w:t>
            </w:r>
          </w:p>
        </w:tc>
        <w:tc>
          <w:tcPr>
            <w:tcW w:w="1500" w:type="dxa"/>
            <w:vAlign w:val="bottom"/>
          </w:tcPr>
          <w:p>
            <w:pPr>
              <w:spacing w:after="0"/>
              <w:rPr>
                <w:sz w:val="19"/>
                <w:szCs w:val="19"/>
                <w:color w:val="auto"/>
              </w:rPr>
            </w:pPr>
          </w:p>
        </w:tc>
      </w:tr>
      <w:tr>
        <w:trPr>
          <w:trHeight w:val="377"/>
        </w:trPr>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ACKNOWLEDGEMENT</w:t>
            </w:r>
          </w:p>
        </w:tc>
        <w:tc>
          <w:tcPr>
            <w:tcW w:w="124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378"/>
        </w:trPr>
        <w:tc>
          <w:tcPr>
            <w:tcW w:w="1820" w:type="dxa"/>
            <w:vAlign w:val="bottom"/>
          </w:tcPr>
          <w:p>
            <w:pPr>
              <w:spacing w:after="0"/>
              <w:rPr>
                <w:sz w:val="20"/>
                <w:szCs w:val="20"/>
                <w:color w:val="auto"/>
              </w:rPr>
            </w:pPr>
            <w:r>
              <w:rPr>
                <w:rFonts w:ascii="Times New Roman" w:cs="Times New Roman" w:eastAsia="Times New Roman" w:hAnsi="Times New Roman"/>
                <w:sz w:val="18"/>
                <w:szCs w:val="18"/>
                <w:color w:val="auto"/>
              </w:rPr>
              <w:t>STATE OF Illinois</w:t>
            </w:r>
          </w:p>
        </w:tc>
        <w:tc>
          <w:tcPr>
            <w:tcW w:w="3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County of Cook</w:t>
            </w:r>
          </w:p>
        </w:tc>
        <w:tc>
          <w:tcPr>
            <w:tcW w:w="124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1500" w:type="dxa"/>
            <w:vAlign w:val="bottom"/>
          </w:tcPr>
          <w:p>
            <w:pPr>
              <w:spacing w:after="0"/>
              <w:rPr>
                <w:sz w:val="24"/>
                <w:szCs w:val="24"/>
                <w:color w:val="auto"/>
              </w:rPr>
            </w:pPr>
          </w:p>
        </w:tc>
      </w:tr>
    </w:tbl>
    <w:p>
      <w:pPr>
        <w:spacing w:after="0" w:line="150" w:lineRule="exact"/>
        <w:rPr>
          <w:sz w:val="20"/>
          <w:szCs w:val="20"/>
          <w:color w:val="auto"/>
        </w:rPr>
      </w:pPr>
    </w:p>
    <w:p>
      <w:pPr>
        <w:ind w:right="200"/>
        <w:spacing w:after="0" w:line="256" w:lineRule="auto"/>
        <w:rPr>
          <w:sz w:val="20"/>
          <w:szCs w:val="20"/>
          <w:color w:val="auto"/>
        </w:rPr>
      </w:pPr>
      <w:r>
        <w:rPr>
          <w:rFonts w:ascii="Times New Roman" w:cs="Times New Roman" w:eastAsia="Times New Roman" w:hAnsi="Times New Roman"/>
          <w:sz w:val="18"/>
          <w:szCs w:val="18"/>
          <w:color w:val="auto"/>
        </w:rPr>
        <w:t xml:space="preserve">On this </w:t>
      </w:r>
      <w:r>
        <w:rPr>
          <w:rFonts w:ascii="Times New Roman" w:cs="Times New Roman" w:eastAsia="Times New Roman" w:hAnsi="Times New Roman"/>
          <w:sz w:val="18"/>
          <w:szCs w:val="18"/>
          <w:u w:val="single" w:color="auto"/>
          <w:color w:val="auto"/>
        </w:rPr>
        <w:t>7th</w:t>
      </w:r>
      <w:r>
        <w:rPr>
          <w:rFonts w:ascii="Times New Roman" w:cs="Times New Roman" w:eastAsia="Times New Roman" w:hAnsi="Times New Roman"/>
          <w:sz w:val="18"/>
          <w:szCs w:val="18"/>
          <w:color w:val="auto"/>
        </w:rPr>
        <w:t xml:space="preserve"> day of September, 2011before me personally appeared Paul E. Dinquel known or proven to me to be the Vice President of the entity executing the foregoing instrument (“Entity”) and Susan M. Williamsknown or proven to me to be the Secretary of the Entity and they acknowledge said instrument to be the free and voluntary act and deed of said Entity, for the uses and purposes therein mentioned and on oath stated that the seal affixed is the seal of said Entity and that it was affixed and that they executed said instrument by authority of the Entity IN WITNESS WHEREOF, I have hereunto set my hand and affixed my OFFICIAL SEAL the day and year first above written.</w:t>
      </w:r>
    </w:p>
    <w:p>
      <w:pPr>
        <w:spacing w:after="0" w:line="287"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Notary Public: Donna Jean Rice</w:t>
      </w:r>
    </w:p>
    <w:p>
      <w:pPr>
        <w:spacing w:after="0" w:line="117"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My Commission Expires: 7-8-2013</w:t>
      </w:r>
    </w:p>
    <w:p>
      <w:pPr>
        <w:spacing w:after="0" w:line="117"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Notary Registration No.: 213938</w:t>
      </w:r>
    </w:p>
    <w:p>
      <w:pPr>
        <w:spacing w:after="0" w:line="171"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18"/>
          <w:szCs w:val="18"/>
          <w:color w:val="auto"/>
        </w:rPr>
        <w:t>(The remainder of this page intentionally left blank)</w:t>
      </w:r>
    </w:p>
    <w:p>
      <w:pPr>
        <w:spacing w:after="0" w:line="158" w:lineRule="exact"/>
        <w:rPr>
          <w:sz w:val="20"/>
          <w:szCs w:val="20"/>
          <w:color w:val="auto"/>
        </w:rPr>
      </w:pPr>
    </w:p>
    <w:p>
      <w:pPr>
        <w:spacing w:after="0"/>
        <w:tabs>
          <w:tab w:leader="none" w:pos="5460" w:val="left"/>
        </w:tabs>
        <w:rPr>
          <w:sz w:val="20"/>
          <w:szCs w:val="20"/>
          <w:color w:val="auto"/>
        </w:rPr>
      </w:pPr>
      <w:r>
        <w:rPr>
          <w:rFonts w:ascii="Times New Roman" w:cs="Times New Roman" w:eastAsia="Times New Roman" w:hAnsi="Times New Roman"/>
          <w:sz w:val="18"/>
          <w:szCs w:val="18"/>
          <w:color w:val="auto"/>
        </w:rPr>
        <w:t>C345 Ed 12 09 modified for GLCC</w:t>
      </w:r>
      <w:r>
        <w:rPr>
          <w:sz w:val="20"/>
          <w:szCs w:val="20"/>
          <w:color w:val="auto"/>
        </w:rPr>
        <w:tab/>
      </w:r>
      <w:r>
        <w:rPr>
          <w:rFonts w:ascii="Times New Roman" w:cs="Times New Roman" w:eastAsia="Times New Roman" w:hAnsi="Times New Roman"/>
          <w:sz w:val="16"/>
          <w:szCs w:val="16"/>
          <w:color w:val="auto"/>
        </w:rPr>
        <w:t>page 10 of 16</w:t>
      </w:r>
    </w:p>
    <w:p>
      <w:pPr>
        <w:sectPr>
          <w:pgSz w:w="11900" w:h="16838" w:orient="portrait"/>
          <w:cols w:equalWidth="0" w:num="1">
            <w:col w:w="11420"/>
          </w:cols>
          <w:pgMar w:left="240" w:top="272" w:right="239" w:bottom="1440" w:gutter="0" w:footer="0" w:header="0"/>
        </w:sectPr>
      </w:pPr>
    </w:p>
    <w:bookmarkStart w:id="151" w:name="page152"/>
    <w:bookmarkEnd w:id="151"/>
    <w:p>
      <w:pPr>
        <w:spacing w:after="0" w:line="259"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I/WE HAVE CAREFULLY READ THIS AGREEMENT OF INDEMNITY (OF WHICH THIS SIGNATURE PAGE IS A PART) AND FULLY UNDERSTAND MY/OUR OBLIGATIONS AS A CONTRACTOR AND INDEMNITOR HEREUNDER. THERE ARE NO SEPARATE AGREEMENTS OR UNDERSTANDINGS, EITHER WRITTEN OR ORAL, THAT IN ANY WAY LESSEN OR ALTER MY/OUR OBLIGATIONS AS ABOVE SET FORTH. IN WITNESS WHEREOF I/we have signed and sealed the day and year first above written.</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Sign below if entity is a Corporation, Limited Liability Company, Partnership or Trust:</w:t>
      </w:r>
    </w:p>
    <w:p>
      <w:pPr>
        <w:spacing w:after="0" w:line="92" w:lineRule="exact"/>
        <w:rPr>
          <w:sz w:val="20"/>
          <w:szCs w:val="20"/>
          <w:color w:val="auto"/>
        </w:rPr>
      </w:pPr>
    </w:p>
    <w:p>
      <w:pPr>
        <w:jc w:val="both"/>
        <w:ind w:right="200"/>
        <w:spacing w:after="0" w:line="262" w:lineRule="auto"/>
        <w:rPr>
          <w:sz w:val="20"/>
          <w:szCs w:val="20"/>
          <w:color w:val="auto"/>
        </w:rPr>
      </w:pPr>
      <w:r>
        <w:rPr>
          <w:rFonts w:ascii="Times New Roman" w:cs="Times New Roman" w:eastAsia="Times New Roman" w:hAnsi="Times New Roman"/>
          <w:sz w:val="18"/>
          <w:szCs w:val="18"/>
          <w:color w:val="auto"/>
        </w:rPr>
        <w:t>Instructions: If the entity is : 1) a corporation, the secretary and an authorized officer should sign on behalf of the corporation, 2) a limited liability corporation, the manager or member(s) should sign on behalf of the LLC, 3) a trust, the trustee(s) should sign on behalf of the trust, or 4) a partnership, the partner(s) should sign on behalf of the partnership. Two signatures are required for all entities and all signatures must be notarized and dated.</w:t>
      </w:r>
    </w:p>
    <w:p>
      <w:pPr>
        <w:spacing w:after="0" w:line="130" w:lineRule="exact"/>
        <w:rPr>
          <w:sz w:val="20"/>
          <w:szCs w:val="20"/>
          <w:color w:val="auto"/>
        </w:rPr>
      </w:pPr>
    </w:p>
    <w:p>
      <w:pPr>
        <w:ind w:right="20"/>
        <w:spacing w:after="0" w:line="293" w:lineRule="auto"/>
        <w:rPr>
          <w:sz w:val="20"/>
          <w:szCs w:val="20"/>
          <w:color w:val="auto"/>
        </w:rPr>
      </w:pPr>
      <w:r>
        <w:rPr>
          <w:rFonts w:ascii="Times New Roman" w:cs="Times New Roman" w:eastAsia="Times New Roman" w:hAnsi="Times New Roman"/>
          <w:sz w:val="16"/>
          <w:szCs w:val="16"/>
          <w:b w:val="1"/>
          <w:bCs w:val="1"/>
          <w:color w:val="auto"/>
        </w:rPr>
        <w:t>Each of the undersigned hereby affirms to the Surety that he or she is a secretary or a duly authorized officer, manager, trustee or official of the business entity for which he or she executes the foregoing Agreement as a Contractor and Indemnitor. In such capacity the undersigned is familiar with all of the documents which establish the rights which govern the affairs, power and authority of such entity including, to the extent applicable, the (1) certificate or articles of incorporation, (2) bylaws, (3) corporate resolutions, (4) trust agreements and (5) partnership, and operating or limited liability agreements of such business entity. Having reviewed all such applicable documents and instruments and such other facts as deemed appropriate, the undersigned hereby affirms that such entity has the power and authority to enter into such Agreement and that he or she is duly authorized to do so.</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880" w:type="dxa"/>
            <w:vAlign w:val="bottom"/>
          </w:tcPr>
          <w:p>
            <w:pPr>
              <w:spacing w:after="0"/>
              <w:rPr>
                <w:sz w:val="20"/>
                <w:szCs w:val="20"/>
                <w:color w:val="auto"/>
              </w:rPr>
            </w:pPr>
            <w:r>
              <w:rPr>
                <w:rFonts w:ascii="Times New Roman" w:cs="Times New Roman" w:eastAsia="Times New Roman" w:hAnsi="Times New Roman"/>
                <w:sz w:val="18"/>
                <w:szCs w:val="18"/>
                <w:color w:val="auto"/>
              </w:rPr>
              <w:t>ATTEST OR WITNESS:</w:t>
            </w:r>
          </w:p>
        </w:tc>
        <w:tc>
          <w:tcPr>
            <w:tcW w:w="35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DAWSON MARINE SERVICES COMPANY</w:t>
            </w:r>
          </w:p>
        </w:tc>
      </w:tr>
      <w:tr>
        <w:trPr>
          <w:trHeight w:val="216"/>
        </w:trPr>
        <w:tc>
          <w:tcPr>
            <w:tcW w:w="188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780" w:type="dxa"/>
            <w:vAlign w:val="bottom"/>
          </w:tcPr>
          <w:p>
            <w:pPr>
              <w:spacing w:after="0"/>
              <w:rPr>
                <w:sz w:val="20"/>
                <w:szCs w:val="20"/>
                <w:color w:val="auto"/>
              </w:rPr>
            </w:pPr>
            <w:r>
              <w:rPr>
                <w:rFonts w:ascii="Times New Roman" w:cs="Times New Roman" w:eastAsia="Times New Roman" w:hAnsi="Times New Roman"/>
                <w:sz w:val="18"/>
                <w:szCs w:val="18"/>
                <w:color w:val="auto"/>
              </w:rPr>
              <w:t>2122 York Road, Suite 200</w:t>
            </w:r>
          </w:p>
        </w:tc>
        <w:tc>
          <w:tcPr>
            <w:tcW w:w="2460" w:type="dxa"/>
            <w:vAlign w:val="bottom"/>
          </w:tcPr>
          <w:p>
            <w:pPr>
              <w:spacing w:after="0"/>
              <w:rPr>
                <w:sz w:val="18"/>
                <w:szCs w:val="18"/>
                <w:color w:val="auto"/>
              </w:rPr>
            </w:pPr>
          </w:p>
        </w:tc>
      </w:tr>
      <w:tr>
        <w:trPr>
          <w:trHeight w:val="216"/>
        </w:trPr>
        <w:tc>
          <w:tcPr>
            <w:tcW w:w="188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780" w:type="dxa"/>
            <w:vAlign w:val="bottom"/>
          </w:tcPr>
          <w:p>
            <w:pPr>
              <w:spacing w:after="0"/>
              <w:rPr>
                <w:sz w:val="20"/>
                <w:szCs w:val="20"/>
                <w:color w:val="auto"/>
              </w:rPr>
            </w:pPr>
            <w:r>
              <w:rPr>
                <w:rFonts w:ascii="Times New Roman" w:cs="Times New Roman" w:eastAsia="Times New Roman" w:hAnsi="Times New Roman"/>
                <w:sz w:val="18"/>
                <w:szCs w:val="18"/>
                <w:color w:val="auto"/>
              </w:rPr>
              <w:t>Oak Brook, IL 60523</w:t>
            </w:r>
          </w:p>
        </w:tc>
        <w:tc>
          <w:tcPr>
            <w:tcW w:w="2460" w:type="dxa"/>
            <w:vAlign w:val="bottom"/>
          </w:tcPr>
          <w:p>
            <w:pPr>
              <w:spacing w:after="0"/>
              <w:rPr>
                <w:sz w:val="18"/>
                <w:szCs w:val="18"/>
                <w:color w:val="auto"/>
              </w:rPr>
            </w:pPr>
          </w:p>
        </w:tc>
      </w:tr>
      <w:tr>
        <w:trPr>
          <w:trHeight w:val="228"/>
        </w:trPr>
        <w:tc>
          <w:tcPr>
            <w:tcW w:w="1880" w:type="dxa"/>
            <w:vAlign w:val="bottom"/>
          </w:tcPr>
          <w:p>
            <w:pPr>
              <w:spacing w:after="0"/>
              <w:rPr>
                <w:sz w:val="19"/>
                <w:szCs w:val="19"/>
                <w:color w:val="auto"/>
              </w:rPr>
            </w:pPr>
          </w:p>
        </w:tc>
        <w:tc>
          <w:tcPr>
            <w:tcW w:w="35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780" w:type="dxa"/>
            <w:vAlign w:val="bottom"/>
          </w:tcPr>
          <w:p>
            <w:pPr>
              <w:spacing w:after="0"/>
              <w:rPr>
                <w:sz w:val="20"/>
                <w:szCs w:val="20"/>
                <w:color w:val="auto"/>
              </w:rPr>
            </w:pPr>
            <w:r>
              <w:rPr>
                <w:rFonts w:ascii="Times New Roman" w:cs="Times New Roman" w:eastAsia="Times New Roman" w:hAnsi="Times New Roman"/>
                <w:sz w:val="18"/>
                <w:szCs w:val="18"/>
                <w:color w:val="auto"/>
                <w:w w:val="97"/>
              </w:rPr>
              <w:t>CONTRACTOR AND INDEMNITOR</w:t>
            </w:r>
          </w:p>
        </w:tc>
        <w:tc>
          <w:tcPr>
            <w:tcW w:w="2460" w:type="dxa"/>
            <w:vAlign w:val="bottom"/>
          </w:tcPr>
          <w:p>
            <w:pPr>
              <w:spacing w:after="0"/>
              <w:rPr>
                <w:sz w:val="19"/>
                <w:szCs w:val="19"/>
                <w:color w:val="auto"/>
              </w:rPr>
            </w:pPr>
          </w:p>
        </w:tc>
      </w:tr>
      <w:tr>
        <w:trPr>
          <w:trHeight w:val="447"/>
        </w:trPr>
        <w:tc>
          <w:tcPr>
            <w:tcW w:w="1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Giovanna O’Malley</w:t>
            </w:r>
          </w:p>
        </w:tc>
        <w:tc>
          <w:tcPr>
            <w:tcW w:w="3500" w:type="dxa"/>
            <w:vAlign w:val="bottom"/>
            <w:tcBorders>
              <w:bottom w:val="single" w:sz="8" w:color="auto"/>
            </w:tcBorders>
          </w:tcPr>
          <w:p>
            <w:pPr>
              <w:spacing w:after="0"/>
              <w:rPr>
                <w:sz w:val="24"/>
                <w:szCs w:val="24"/>
                <w:color w:val="auto"/>
              </w:rPr>
            </w:pPr>
          </w:p>
        </w:tc>
        <w:tc>
          <w:tcPr>
            <w:tcW w:w="800" w:type="dxa"/>
            <w:vAlign w:val="bottom"/>
          </w:tcPr>
          <w:p>
            <w:pPr>
              <w:spacing w:after="0"/>
              <w:rPr>
                <w:sz w:val="24"/>
                <w:szCs w:val="24"/>
                <w:color w:val="auto"/>
              </w:rPr>
            </w:pPr>
          </w:p>
        </w:tc>
        <w:tc>
          <w:tcPr>
            <w:tcW w:w="2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Catherine Hoffman</w:t>
            </w:r>
          </w:p>
        </w:tc>
        <w:tc>
          <w:tcPr>
            <w:tcW w:w="24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(SEAL)</w:t>
            </w:r>
          </w:p>
        </w:tc>
      </w:tr>
      <w:tr>
        <w:trPr>
          <w:trHeight w:val="223"/>
        </w:trPr>
        <w:tc>
          <w:tcPr>
            <w:tcW w:w="5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Giovanna O’Malley, Secretary</w:t>
            </w:r>
          </w:p>
        </w:tc>
        <w:tc>
          <w:tcPr>
            <w:tcW w:w="800" w:type="dxa"/>
            <w:vAlign w:val="bottom"/>
          </w:tcPr>
          <w:p>
            <w:pPr>
              <w:spacing w:after="0"/>
              <w:rPr>
                <w:sz w:val="19"/>
                <w:szCs w:val="19"/>
                <w:color w:val="auto"/>
              </w:rPr>
            </w:pPr>
          </w:p>
        </w:tc>
        <w:tc>
          <w:tcPr>
            <w:tcW w:w="2780" w:type="dxa"/>
            <w:vAlign w:val="bottom"/>
          </w:tcPr>
          <w:p>
            <w:pPr>
              <w:spacing w:after="0"/>
              <w:rPr>
                <w:sz w:val="20"/>
                <w:szCs w:val="20"/>
                <w:color w:val="auto"/>
              </w:rPr>
            </w:pPr>
            <w:r>
              <w:rPr>
                <w:rFonts w:ascii="Times New Roman" w:cs="Times New Roman" w:eastAsia="Times New Roman" w:hAnsi="Times New Roman"/>
                <w:sz w:val="18"/>
                <w:szCs w:val="18"/>
                <w:color w:val="auto"/>
              </w:rPr>
              <w:t>Catherine Hoffman, President</w:t>
            </w:r>
          </w:p>
        </w:tc>
        <w:tc>
          <w:tcPr>
            <w:tcW w:w="2460" w:type="dxa"/>
            <w:vAlign w:val="bottom"/>
          </w:tcPr>
          <w:p>
            <w:pPr>
              <w:spacing w:after="0"/>
              <w:rPr>
                <w:sz w:val="19"/>
                <w:szCs w:val="19"/>
                <w:color w:val="auto"/>
              </w:rPr>
            </w:pPr>
          </w:p>
        </w:tc>
      </w:tr>
      <w:tr>
        <w:trPr>
          <w:trHeight w:val="458"/>
        </w:trPr>
        <w:tc>
          <w:tcPr>
            <w:tcW w:w="1880" w:type="dxa"/>
            <w:vAlign w:val="bottom"/>
          </w:tcPr>
          <w:p>
            <w:pPr>
              <w:spacing w:after="0"/>
              <w:rPr>
                <w:sz w:val="20"/>
                <w:szCs w:val="20"/>
                <w:color w:val="auto"/>
              </w:rPr>
            </w:pPr>
            <w:r>
              <w:rPr>
                <w:rFonts w:ascii="Times New Roman" w:cs="Times New Roman" w:eastAsia="Times New Roman" w:hAnsi="Times New Roman"/>
                <w:sz w:val="18"/>
                <w:szCs w:val="18"/>
                <w:color w:val="auto"/>
                <w:w w:val="97"/>
              </w:rPr>
              <w:t>ACKNOWLEDGEMENT</w:t>
            </w:r>
          </w:p>
        </w:tc>
        <w:tc>
          <w:tcPr>
            <w:tcW w:w="35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2460" w:type="dxa"/>
            <w:vAlign w:val="bottom"/>
          </w:tcPr>
          <w:p>
            <w:pPr>
              <w:spacing w:after="0"/>
              <w:rPr>
                <w:sz w:val="24"/>
                <w:szCs w:val="24"/>
                <w:color w:val="auto"/>
              </w:rPr>
            </w:pPr>
          </w:p>
        </w:tc>
      </w:tr>
      <w:tr>
        <w:trPr>
          <w:trHeight w:val="297"/>
        </w:trPr>
        <w:tc>
          <w:tcPr>
            <w:tcW w:w="1880" w:type="dxa"/>
            <w:vAlign w:val="bottom"/>
          </w:tcPr>
          <w:p>
            <w:pPr>
              <w:spacing w:after="0"/>
              <w:rPr>
                <w:sz w:val="20"/>
                <w:szCs w:val="20"/>
                <w:color w:val="auto"/>
              </w:rPr>
            </w:pPr>
            <w:r>
              <w:rPr>
                <w:rFonts w:ascii="Times New Roman" w:cs="Times New Roman" w:eastAsia="Times New Roman" w:hAnsi="Times New Roman"/>
                <w:sz w:val="18"/>
                <w:szCs w:val="18"/>
                <w:color w:val="auto"/>
              </w:rPr>
              <w:t>STATE OF Illinois</w:t>
            </w:r>
          </w:p>
        </w:tc>
        <w:tc>
          <w:tcPr>
            <w:tcW w:w="3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County of Cook</w:t>
            </w:r>
          </w:p>
        </w:tc>
        <w:tc>
          <w:tcPr>
            <w:tcW w:w="80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2460" w:type="dxa"/>
            <w:vAlign w:val="bottom"/>
          </w:tcPr>
          <w:p>
            <w:pPr>
              <w:spacing w:after="0"/>
              <w:rPr>
                <w:sz w:val="24"/>
                <w:szCs w:val="24"/>
                <w:color w:val="auto"/>
              </w:rPr>
            </w:pPr>
          </w:p>
        </w:tc>
      </w:tr>
    </w:tbl>
    <w:p>
      <w:pPr>
        <w:spacing w:after="0" w:line="150"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 xml:space="preserve">On this </w:t>
      </w:r>
      <w:r>
        <w:rPr>
          <w:rFonts w:ascii="Times New Roman" w:cs="Times New Roman" w:eastAsia="Times New Roman" w:hAnsi="Times New Roman"/>
          <w:sz w:val="18"/>
          <w:szCs w:val="18"/>
          <w:u w:val="single" w:color="auto"/>
          <w:color w:val="auto"/>
        </w:rPr>
        <w:t>7th</w:t>
      </w:r>
      <w:r>
        <w:rPr>
          <w:rFonts w:ascii="Times New Roman" w:cs="Times New Roman" w:eastAsia="Times New Roman" w:hAnsi="Times New Roman"/>
          <w:sz w:val="18"/>
          <w:szCs w:val="18"/>
          <w:color w:val="auto"/>
        </w:rPr>
        <w:t xml:space="preserve"> day of </w:t>
      </w:r>
      <w:r>
        <w:rPr>
          <w:rFonts w:ascii="Times New Roman" w:cs="Times New Roman" w:eastAsia="Times New Roman" w:hAnsi="Times New Roman"/>
          <w:sz w:val="18"/>
          <w:szCs w:val="18"/>
          <w:u w:val="single" w:color="auto"/>
          <w:color w:val="auto"/>
        </w:rPr>
        <w:t>September, 2011</w:t>
      </w:r>
      <w:r>
        <w:rPr>
          <w:rFonts w:ascii="Times New Roman" w:cs="Times New Roman" w:eastAsia="Times New Roman" w:hAnsi="Times New Roman"/>
          <w:sz w:val="18"/>
          <w:szCs w:val="18"/>
          <w:color w:val="auto"/>
        </w:rPr>
        <w:t xml:space="preserve"> before me personally appeared Catherine Hoffman known or proven to me to be the President of the entity executing the foregoing instrument (“Entity”) and Giovanna O’Malleyknown or proven to me to be the Secretary of the Entity and they acknowledge said instrument to be the free and voluntary act and deed of said Entity, for the uses and purposes therein mentioned and on oath stated that the seal affixed is the seal of said Entity and that it was affixed and that they executed said instrument by authority of the Entity IN WITNESS WHEREOF, I have hereunto set my hand and affixed my OFFICIAL SEAL the day and year first above written.</w:t>
      </w:r>
    </w:p>
    <w:p>
      <w:pPr>
        <w:spacing w:after="0" w:line="287"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Notary Public: Donna Jean Rice</w:t>
      </w:r>
    </w:p>
    <w:p>
      <w:pPr>
        <w:spacing w:after="0" w:line="117"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My Commission Expires: 7-8-2013</w:t>
      </w:r>
    </w:p>
    <w:p>
      <w:pPr>
        <w:spacing w:after="0" w:line="117"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Notary Registration No.: 213938</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remainder of this page intentionally left blank)</w:t>
      </w:r>
    </w:p>
    <w:p>
      <w:pPr>
        <w:spacing w:after="0" w:line="306" w:lineRule="exact"/>
        <w:rPr>
          <w:sz w:val="20"/>
          <w:szCs w:val="20"/>
          <w:color w:val="auto"/>
        </w:rPr>
      </w:pPr>
    </w:p>
    <w:p>
      <w:pPr>
        <w:spacing w:after="0"/>
        <w:tabs>
          <w:tab w:leader="none" w:pos="5460" w:val="left"/>
        </w:tabs>
        <w:rPr>
          <w:sz w:val="20"/>
          <w:szCs w:val="20"/>
          <w:color w:val="auto"/>
        </w:rPr>
      </w:pPr>
      <w:r>
        <w:rPr>
          <w:rFonts w:ascii="Times New Roman" w:cs="Times New Roman" w:eastAsia="Times New Roman" w:hAnsi="Times New Roman"/>
          <w:sz w:val="18"/>
          <w:szCs w:val="18"/>
          <w:color w:val="auto"/>
        </w:rPr>
        <w:t>C345 Ed 12 09 modified for GLCC</w:t>
      </w:r>
      <w:r>
        <w:rPr>
          <w:sz w:val="20"/>
          <w:szCs w:val="20"/>
          <w:color w:val="auto"/>
        </w:rPr>
        <w:tab/>
      </w:r>
      <w:r>
        <w:rPr>
          <w:rFonts w:ascii="Times New Roman" w:cs="Times New Roman" w:eastAsia="Times New Roman" w:hAnsi="Times New Roman"/>
          <w:sz w:val="16"/>
          <w:szCs w:val="16"/>
          <w:color w:val="auto"/>
        </w:rPr>
        <w:t>page 11 of 16</w:t>
      </w:r>
    </w:p>
    <w:p>
      <w:pPr>
        <w:sectPr>
          <w:pgSz w:w="11900" w:h="16838" w:orient="portrait"/>
          <w:cols w:equalWidth="0" w:num="1">
            <w:col w:w="11420"/>
          </w:cols>
          <w:pgMar w:left="240" w:top="271" w:right="239" w:bottom="1440" w:gutter="0" w:footer="0" w:header="0"/>
        </w:sectPr>
      </w:pPr>
    </w:p>
    <w:bookmarkStart w:id="152" w:name="page153"/>
    <w:bookmarkEnd w:id="152"/>
    <w:p>
      <w:pPr>
        <w:spacing w:after="0" w:line="259"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I/WE HAVE CAREFULLY READ THIS AGREEMENT OF INDEMNITY (OF WHICH THIS SIGNATURE PAGE IS A PART) AND FULLY UNDERSTAND MY/OUR OBLIGATIONS AS A CONTRACTOR AND INDEMNITOR HEREUNDER. THERE ARE NO SEPARATE AGREEMENTS OR UNDERSTANDINGS, EITHER WRITTEN OR ORAL, THAT IN ANY WAY LESSEN OR ALTER MY/OUR OBLIGATIONS AS ABOVE SET FORTH. IN WITNESS WHEREOF I/we have signed and sealed the day and year first above written.</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Sign below if entity is a Corporation, Limited Liability Company, Partnership or Trust:</w:t>
      </w:r>
    </w:p>
    <w:p>
      <w:pPr>
        <w:spacing w:after="0" w:line="92" w:lineRule="exact"/>
        <w:rPr>
          <w:sz w:val="20"/>
          <w:szCs w:val="20"/>
          <w:color w:val="auto"/>
        </w:rPr>
      </w:pPr>
    </w:p>
    <w:p>
      <w:pPr>
        <w:jc w:val="both"/>
        <w:ind w:right="200"/>
        <w:spacing w:after="0" w:line="262" w:lineRule="auto"/>
        <w:rPr>
          <w:sz w:val="20"/>
          <w:szCs w:val="20"/>
          <w:color w:val="auto"/>
        </w:rPr>
      </w:pPr>
      <w:r>
        <w:rPr>
          <w:rFonts w:ascii="Times New Roman" w:cs="Times New Roman" w:eastAsia="Times New Roman" w:hAnsi="Times New Roman"/>
          <w:sz w:val="18"/>
          <w:szCs w:val="18"/>
          <w:color w:val="auto"/>
        </w:rPr>
        <w:t>Instructions: If the entity is : 1) a corporation, the secretary and an authorized officer should sign on behalf of the corporation, 2) a limited liability corporation, the manager or member(s) should sign on behalf of the LLC, 3) a trust, the trustee(s) should sign on behalf of the trust, or 4) a partnership, the partner(s) should sign on behalf of the partnership. Two signatures are required for all entities and all signatures must be notarized and dated.</w:t>
      </w:r>
    </w:p>
    <w:p>
      <w:pPr>
        <w:spacing w:after="0" w:line="130" w:lineRule="exact"/>
        <w:rPr>
          <w:sz w:val="20"/>
          <w:szCs w:val="20"/>
          <w:color w:val="auto"/>
        </w:rPr>
      </w:pPr>
    </w:p>
    <w:p>
      <w:pPr>
        <w:ind w:right="20"/>
        <w:spacing w:after="0" w:line="293" w:lineRule="auto"/>
        <w:rPr>
          <w:sz w:val="20"/>
          <w:szCs w:val="20"/>
          <w:color w:val="auto"/>
        </w:rPr>
      </w:pPr>
      <w:r>
        <w:rPr>
          <w:rFonts w:ascii="Times New Roman" w:cs="Times New Roman" w:eastAsia="Times New Roman" w:hAnsi="Times New Roman"/>
          <w:sz w:val="16"/>
          <w:szCs w:val="16"/>
          <w:b w:val="1"/>
          <w:bCs w:val="1"/>
          <w:color w:val="auto"/>
        </w:rPr>
        <w:t>Each of the undersigned hereby affirms to the Surety that he or she is a secretary or a duly authorized officer, manager, trustee or official of the business entity for which he or she executes the foregoing Agreement as a Contractor and Indemnitor. In such capacity the undersigned is familiar with all of the documents which establish the rights which govern the affairs, power and authority of such entity including, to the extent applicable, the (1) certificate or articles of incorporation, (2) bylaws, (3) corporate resolutions, (4) trust agreements and (5) partnership, and operating or limited liability agreements of such business entity. Having reviewed all such applicable documents and instruments and such other facts as deemed appropriate, the undersigned hereby affirms that such entity has the power and authority to enter into such Agreement and that he or she is duly authorized to do so.</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880" w:type="dxa"/>
            <w:vAlign w:val="bottom"/>
          </w:tcPr>
          <w:p>
            <w:pPr>
              <w:spacing w:after="0"/>
              <w:rPr>
                <w:sz w:val="20"/>
                <w:szCs w:val="20"/>
                <w:color w:val="auto"/>
              </w:rPr>
            </w:pPr>
            <w:r>
              <w:rPr>
                <w:rFonts w:ascii="Times New Roman" w:cs="Times New Roman" w:eastAsia="Times New Roman" w:hAnsi="Times New Roman"/>
                <w:sz w:val="18"/>
                <w:szCs w:val="18"/>
                <w:color w:val="auto"/>
              </w:rPr>
              <w:t>ATTEST OR WITNESS:</w:t>
            </w:r>
          </w:p>
        </w:tc>
        <w:tc>
          <w:tcPr>
            <w:tcW w:w="3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GREAT LAKES DREDGE &amp; DOCK ENVIRONMENTAL,</w:t>
            </w:r>
          </w:p>
        </w:tc>
      </w:tr>
      <w:tr>
        <w:trPr>
          <w:trHeight w:val="216"/>
        </w:trPr>
        <w:tc>
          <w:tcPr>
            <w:tcW w:w="188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 f/k/a GREAT LAKES CARIBBEAN DREDGING, INC.</w:t>
            </w:r>
          </w:p>
        </w:tc>
      </w:tr>
      <w:tr>
        <w:trPr>
          <w:trHeight w:val="216"/>
        </w:trPr>
        <w:tc>
          <w:tcPr>
            <w:tcW w:w="188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780" w:type="dxa"/>
            <w:vAlign w:val="bottom"/>
          </w:tcPr>
          <w:p>
            <w:pPr>
              <w:spacing w:after="0"/>
              <w:rPr>
                <w:sz w:val="20"/>
                <w:szCs w:val="20"/>
                <w:color w:val="auto"/>
              </w:rPr>
            </w:pPr>
            <w:r>
              <w:rPr>
                <w:rFonts w:ascii="Times New Roman" w:cs="Times New Roman" w:eastAsia="Times New Roman" w:hAnsi="Times New Roman"/>
                <w:sz w:val="18"/>
                <w:szCs w:val="18"/>
                <w:color w:val="auto"/>
              </w:rPr>
              <w:t>2122 York Road, Suite 200</w:t>
            </w:r>
          </w:p>
        </w:tc>
        <w:tc>
          <w:tcPr>
            <w:tcW w:w="2580" w:type="dxa"/>
            <w:vAlign w:val="bottom"/>
          </w:tcPr>
          <w:p>
            <w:pPr>
              <w:spacing w:after="0"/>
              <w:rPr>
                <w:sz w:val="18"/>
                <w:szCs w:val="18"/>
                <w:color w:val="auto"/>
              </w:rPr>
            </w:pPr>
          </w:p>
        </w:tc>
      </w:tr>
      <w:tr>
        <w:trPr>
          <w:trHeight w:val="216"/>
        </w:trPr>
        <w:tc>
          <w:tcPr>
            <w:tcW w:w="188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780" w:type="dxa"/>
            <w:vAlign w:val="bottom"/>
          </w:tcPr>
          <w:p>
            <w:pPr>
              <w:spacing w:after="0"/>
              <w:rPr>
                <w:sz w:val="20"/>
                <w:szCs w:val="20"/>
                <w:color w:val="auto"/>
              </w:rPr>
            </w:pPr>
            <w:r>
              <w:rPr>
                <w:rFonts w:ascii="Times New Roman" w:cs="Times New Roman" w:eastAsia="Times New Roman" w:hAnsi="Times New Roman"/>
                <w:sz w:val="18"/>
                <w:szCs w:val="18"/>
                <w:color w:val="auto"/>
              </w:rPr>
              <w:t>Oak Brook, IL 60523</w:t>
            </w:r>
          </w:p>
        </w:tc>
        <w:tc>
          <w:tcPr>
            <w:tcW w:w="2580" w:type="dxa"/>
            <w:vAlign w:val="bottom"/>
          </w:tcPr>
          <w:p>
            <w:pPr>
              <w:spacing w:after="0"/>
              <w:rPr>
                <w:sz w:val="18"/>
                <w:szCs w:val="18"/>
                <w:color w:val="auto"/>
              </w:rPr>
            </w:pPr>
          </w:p>
        </w:tc>
      </w:tr>
      <w:tr>
        <w:trPr>
          <w:trHeight w:val="228"/>
        </w:trPr>
        <w:tc>
          <w:tcPr>
            <w:tcW w:w="1880" w:type="dxa"/>
            <w:vAlign w:val="bottom"/>
          </w:tcPr>
          <w:p>
            <w:pPr>
              <w:spacing w:after="0"/>
              <w:rPr>
                <w:sz w:val="19"/>
                <w:szCs w:val="19"/>
                <w:color w:val="auto"/>
              </w:rPr>
            </w:pPr>
          </w:p>
        </w:tc>
        <w:tc>
          <w:tcPr>
            <w:tcW w:w="3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780" w:type="dxa"/>
            <w:vAlign w:val="bottom"/>
          </w:tcPr>
          <w:p>
            <w:pPr>
              <w:spacing w:after="0"/>
              <w:rPr>
                <w:sz w:val="20"/>
                <w:szCs w:val="20"/>
                <w:color w:val="auto"/>
              </w:rPr>
            </w:pPr>
            <w:r>
              <w:rPr>
                <w:rFonts w:ascii="Times New Roman" w:cs="Times New Roman" w:eastAsia="Times New Roman" w:hAnsi="Times New Roman"/>
                <w:sz w:val="18"/>
                <w:szCs w:val="18"/>
                <w:color w:val="auto"/>
                <w:w w:val="97"/>
              </w:rPr>
              <w:t>CONTRACTOR AND INDEMNITOR</w:t>
            </w:r>
          </w:p>
        </w:tc>
        <w:tc>
          <w:tcPr>
            <w:tcW w:w="2580" w:type="dxa"/>
            <w:vAlign w:val="bottom"/>
          </w:tcPr>
          <w:p>
            <w:pPr>
              <w:spacing w:after="0"/>
              <w:rPr>
                <w:sz w:val="19"/>
                <w:szCs w:val="19"/>
                <w:color w:val="auto"/>
              </w:rPr>
            </w:pPr>
          </w:p>
        </w:tc>
      </w:tr>
      <w:tr>
        <w:trPr>
          <w:trHeight w:val="447"/>
        </w:trPr>
        <w:tc>
          <w:tcPr>
            <w:tcW w:w="1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Ellen Parker Burke</w:t>
            </w:r>
          </w:p>
        </w:tc>
        <w:tc>
          <w:tcPr>
            <w:tcW w:w="3620" w:type="dxa"/>
            <w:vAlign w:val="bottom"/>
            <w:tcBorders>
              <w:bottom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2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Jonathan W. Berger</w:t>
            </w:r>
          </w:p>
        </w:tc>
        <w:tc>
          <w:tcPr>
            <w:tcW w:w="25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(SEAL)</w:t>
            </w:r>
          </w:p>
        </w:tc>
      </w:tr>
      <w:tr>
        <w:trPr>
          <w:trHeight w:val="223"/>
        </w:trPr>
        <w:tc>
          <w:tcPr>
            <w:tcW w:w="5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Ellen Parker Burke, Secretary</w:t>
            </w:r>
          </w:p>
        </w:tc>
        <w:tc>
          <w:tcPr>
            <w:tcW w:w="560" w:type="dxa"/>
            <w:vAlign w:val="bottom"/>
          </w:tcPr>
          <w:p>
            <w:pPr>
              <w:spacing w:after="0"/>
              <w:rPr>
                <w:sz w:val="19"/>
                <w:szCs w:val="19"/>
                <w:color w:val="auto"/>
              </w:rPr>
            </w:pPr>
          </w:p>
        </w:tc>
        <w:tc>
          <w:tcPr>
            <w:tcW w:w="2780" w:type="dxa"/>
            <w:vAlign w:val="bottom"/>
          </w:tcPr>
          <w:p>
            <w:pPr>
              <w:spacing w:after="0"/>
              <w:rPr>
                <w:sz w:val="20"/>
                <w:szCs w:val="20"/>
                <w:color w:val="auto"/>
              </w:rPr>
            </w:pPr>
            <w:r>
              <w:rPr>
                <w:rFonts w:ascii="Times New Roman" w:cs="Times New Roman" w:eastAsia="Times New Roman" w:hAnsi="Times New Roman"/>
                <w:sz w:val="18"/>
                <w:szCs w:val="18"/>
                <w:color w:val="auto"/>
              </w:rPr>
              <w:t>Jonathan W. Berger, President</w:t>
            </w:r>
          </w:p>
        </w:tc>
        <w:tc>
          <w:tcPr>
            <w:tcW w:w="2580" w:type="dxa"/>
            <w:vAlign w:val="bottom"/>
          </w:tcPr>
          <w:p>
            <w:pPr>
              <w:spacing w:after="0"/>
              <w:rPr>
                <w:sz w:val="19"/>
                <w:szCs w:val="19"/>
                <w:color w:val="auto"/>
              </w:rPr>
            </w:pPr>
          </w:p>
        </w:tc>
      </w:tr>
      <w:tr>
        <w:trPr>
          <w:trHeight w:val="458"/>
        </w:trPr>
        <w:tc>
          <w:tcPr>
            <w:tcW w:w="1880" w:type="dxa"/>
            <w:vAlign w:val="bottom"/>
          </w:tcPr>
          <w:p>
            <w:pPr>
              <w:spacing w:after="0"/>
              <w:rPr>
                <w:sz w:val="20"/>
                <w:szCs w:val="20"/>
                <w:color w:val="auto"/>
              </w:rPr>
            </w:pPr>
            <w:r>
              <w:rPr>
                <w:rFonts w:ascii="Times New Roman" w:cs="Times New Roman" w:eastAsia="Times New Roman" w:hAnsi="Times New Roman"/>
                <w:sz w:val="18"/>
                <w:szCs w:val="18"/>
                <w:color w:val="auto"/>
                <w:w w:val="97"/>
              </w:rPr>
              <w:t>ACKNOWLEDGEMENT</w:t>
            </w:r>
          </w:p>
        </w:tc>
        <w:tc>
          <w:tcPr>
            <w:tcW w:w="36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2580" w:type="dxa"/>
            <w:vAlign w:val="bottom"/>
          </w:tcPr>
          <w:p>
            <w:pPr>
              <w:spacing w:after="0"/>
              <w:rPr>
                <w:sz w:val="24"/>
                <w:szCs w:val="24"/>
                <w:color w:val="auto"/>
              </w:rPr>
            </w:pPr>
          </w:p>
        </w:tc>
      </w:tr>
      <w:tr>
        <w:trPr>
          <w:trHeight w:val="297"/>
        </w:trPr>
        <w:tc>
          <w:tcPr>
            <w:tcW w:w="1880" w:type="dxa"/>
            <w:vAlign w:val="bottom"/>
          </w:tcPr>
          <w:p>
            <w:pPr>
              <w:spacing w:after="0"/>
              <w:rPr>
                <w:sz w:val="20"/>
                <w:szCs w:val="20"/>
                <w:color w:val="auto"/>
              </w:rPr>
            </w:pPr>
            <w:r>
              <w:rPr>
                <w:rFonts w:ascii="Times New Roman" w:cs="Times New Roman" w:eastAsia="Times New Roman" w:hAnsi="Times New Roman"/>
                <w:sz w:val="18"/>
                <w:szCs w:val="18"/>
                <w:color w:val="auto"/>
              </w:rPr>
              <w:t>STATE OF Illinois</w:t>
            </w:r>
          </w:p>
        </w:tc>
        <w:tc>
          <w:tcPr>
            <w:tcW w:w="3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County of Cook</w:t>
            </w:r>
          </w:p>
        </w:tc>
        <w:tc>
          <w:tcPr>
            <w:tcW w:w="56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2580" w:type="dxa"/>
            <w:vAlign w:val="bottom"/>
          </w:tcPr>
          <w:p>
            <w:pPr>
              <w:spacing w:after="0"/>
              <w:rPr>
                <w:sz w:val="24"/>
                <w:szCs w:val="24"/>
                <w:color w:val="auto"/>
              </w:rPr>
            </w:pPr>
          </w:p>
        </w:tc>
      </w:tr>
    </w:tbl>
    <w:p>
      <w:pPr>
        <w:spacing w:after="0" w:line="150"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 xml:space="preserve">On this </w:t>
      </w:r>
      <w:r>
        <w:rPr>
          <w:rFonts w:ascii="Times New Roman" w:cs="Times New Roman" w:eastAsia="Times New Roman" w:hAnsi="Times New Roman"/>
          <w:sz w:val="18"/>
          <w:szCs w:val="18"/>
          <w:u w:val="single" w:color="auto"/>
          <w:color w:val="auto"/>
        </w:rPr>
        <w:t>7th</w:t>
      </w:r>
      <w:r>
        <w:rPr>
          <w:rFonts w:ascii="Times New Roman" w:cs="Times New Roman" w:eastAsia="Times New Roman" w:hAnsi="Times New Roman"/>
          <w:sz w:val="18"/>
          <w:szCs w:val="18"/>
          <w:color w:val="auto"/>
        </w:rPr>
        <w:t xml:space="preserve"> day of </w:t>
      </w:r>
      <w:r>
        <w:rPr>
          <w:rFonts w:ascii="Times New Roman" w:cs="Times New Roman" w:eastAsia="Times New Roman" w:hAnsi="Times New Roman"/>
          <w:sz w:val="18"/>
          <w:szCs w:val="18"/>
          <w:u w:val="single" w:color="auto"/>
          <w:color w:val="auto"/>
        </w:rPr>
        <w:t>September, 2011</w:t>
      </w:r>
      <w:r>
        <w:rPr>
          <w:rFonts w:ascii="Times New Roman" w:cs="Times New Roman" w:eastAsia="Times New Roman" w:hAnsi="Times New Roman"/>
          <w:sz w:val="18"/>
          <w:szCs w:val="18"/>
          <w:color w:val="auto"/>
        </w:rPr>
        <w:t xml:space="preserve"> before me personally appeared Jonathan W. Berger known or proven to me to be the President of the entity executing the foregoing instrument (“Entity”) and Ellen Parker Burke known or proven to me to be the Secretary of the Entity and they acknowledge said instrument to be the free and voluntary act and deed of said Entity, for the uses and purposes therein mentioned and on oath stated that the seal affixed is the seal of said Entity and that it was affixed and that they executed said instrument by authority of the Entity IN WITNESS WHEREOF, I have hereunto set my hand and affixed my OFFICIAL SEAL the day and year first above written.</w:t>
      </w:r>
    </w:p>
    <w:p>
      <w:pPr>
        <w:spacing w:after="0" w:line="179" w:lineRule="exact"/>
        <w:rPr>
          <w:sz w:val="20"/>
          <w:szCs w:val="20"/>
          <w:color w:val="auto"/>
        </w:rPr>
      </w:pPr>
    </w:p>
    <w:p>
      <w:pPr>
        <w:ind w:left="6640"/>
        <w:spacing w:after="0"/>
        <w:rPr>
          <w:sz w:val="20"/>
          <w:szCs w:val="20"/>
          <w:color w:val="auto"/>
        </w:rPr>
      </w:pPr>
      <w:r>
        <w:rPr>
          <w:rFonts w:ascii="Times New Roman" w:cs="Times New Roman" w:eastAsia="Times New Roman" w:hAnsi="Times New Roman"/>
          <w:sz w:val="18"/>
          <w:szCs w:val="18"/>
          <w:color w:val="auto"/>
        </w:rPr>
        <w:t>Notary Public: Donna Jean Rice</w:t>
      </w:r>
    </w:p>
    <w:p>
      <w:pPr>
        <w:spacing w:after="0" w:line="117" w:lineRule="exact"/>
        <w:rPr>
          <w:sz w:val="20"/>
          <w:szCs w:val="20"/>
          <w:color w:val="auto"/>
        </w:rPr>
      </w:pPr>
    </w:p>
    <w:p>
      <w:pPr>
        <w:ind w:left="6640"/>
        <w:spacing w:after="0"/>
        <w:rPr>
          <w:sz w:val="20"/>
          <w:szCs w:val="20"/>
          <w:color w:val="auto"/>
        </w:rPr>
      </w:pPr>
      <w:r>
        <w:rPr>
          <w:rFonts w:ascii="Times New Roman" w:cs="Times New Roman" w:eastAsia="Times New Roman" w:hAnsi="Times New Roman"/>
          <w:sz w:val="18"/>
          <w:szCs w:val="18"/>
          <w:color w:val="auto"/>
        </w:rPr>
        <w:t>My Commission Expires: 7-8-2013</w:t>
      </w:r>
    </w:p>
    <w:p>
      <w:pPr>
        <w:spacing w:after="0" w:line="117" w:lineRule="exact"/>
        <w:rPr>
          <w:sz w:val="20"/>
          <w:szCs w:val="20"/>
          <w:color w:val="auto"/>
        </w:rPr>
      </w:pPr>
    </w:p>
    <w:p>
      <w:pPr>
        <w:ind w:left="6640"/>
        <w:spacing w:after="0"/>
        <w:rPr>
          <w:sz w:val="20"/>
          <w:szCs w:val="20"/>
          <w:color w:val="auto"/>
        </w:rPr>
      </w:pPr>
      <w:r>
        <w:rPr>
          <w:rFonts w:ascii="Times New Roman" w:cs="Times New Roman" w:eastAsia="Times New Roman" w:hAnsi="Times New Roman"/>
          <w:sz w:val="18"/>
          <w:szCs w:val="18"/>
          <w:color w:val="auto"/>
        </w:rPr>
        <w:t>Notary Registration No.: 213938</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remainder of this page intentionally left blank)</w:t>
      </w:r>
    </w:p>
    <w:p>
      <w:pPr>
        <w:spacing w:after="0" w:line="306" w:lineRule="exact"/>
        <w:rPr>
          <w:sz w:val="20"/>
          <w:szCs w:val="20"/>
          <w:color w:val="auto"/>
        </w:rPr>
      </w:pPr>
    </w:p>
    <w:p>
      <w:pPr>
        <w:spacing w:after="0"/>
        <w:tabs>
          <w:tab w:leader="none" w:pos="5460" w:val="left"/>
        </w:tabs>
        <w:rPr>
          <w:sz w:val="20"/>
          <w:szCs w:val="20"/>
          <w:color w:val="auto"/>
        </w:rPr>
      </w:pPr>
      <w:r>
        <w:rPr>
          <w:rFonts w:ascii="Times New Roman" w:cs="Times New Roman" w:eastAsia="Times New Roman" w:hAnsi="Times New Roman"/>
          <w:sz w:val="18"/>
          <w:szCs w:val="18"/>
          <w:color w:val="auto"/>
        </w:rPr>
        <w:t>C345 Ed 12 09 modified for GLCC</w:t>
      </w:r>
      <w:r>
        <w:rPr>
          <w:sz w:val="20"/>
          <w:szCs w:val="20"/>
          <w:color w:val="auto"/>
        </w:rPr>
        <w:tab/>
      </w:r>
      <w:r>
        <w:rPr>
          <w:rFonts w:ascii="Times New Roman" w:cs="Times New Roman" w:eastAsia="Times New Roman" w:hAnsi="Times New Roman"/>
          <w:sz w:val="16"/>
          <w:szCs w:val="16"/>
          <w:color w:val="auto"/>
        </w:rPr>
        <w:t>page 12 of 16</w:t>
      </w:r>
    </w:p>
    <w:p>
      <w:pPr>
        <w:sectPr>
          <w:pgSz w:w="11900" w:h="16838" w:orient="portrait"/>
          <w:cols w:equalWidth="0" w:num="1">
            <w:col w:w="11420"/>
          </w:cols>
          <w:pgMar w:left="240" w:top="272" w:right="239" w:bottom="1440" w:gutter="0" w:footer="0" w:header="0"/>
        </w:sectPr>
      </w:pPr>
    </w:p>
    <w:bookmarkStart w:id="153" w:name="page154"/>
    <w:bookmarkEnd w:id="153"/>
    <w:p>
      <w:pPr>
        <w:spacing w:after="0" w:line="259"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I/WE HAVE CAREFULLY READ THIS AGREEMENT OF INDEMNITY (OF WHICH THIS SIGNATURE PAGE IS A PART) AND FULLY UNDERSTAND MY/OUR OBLIGATIONS AS A CONTRACTOR AND INDEMNITOR HEREUNDER. THERE ARE NO SEPARATE AGREEMENTS OR UNDERSTANDINGS, EITHER WRITTEN OR ORAL, THAT IN ANY WAY LESSEN OR ALTER MY/OUR OBLIGATIONS AS ABOVE SET FORTH. IN WITNESS WHEREOF I/we have signed and sealed the day and year first above written.</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Sign below if entity is a Corporation, Limited Liability Company, Partnership or Trust:</w:t>
      </w:r>
    </w:p>
    <w:p>
      <w:pPr>
        <w:spacing w:after="0" w:line="92" w:lineRule="exact"/>
        <w:rPr>
          <w:sz w:val="20"/>
          <w:szCs w:val="20"/>
          <w:color w:val="auto"/>
        </w:rPr>
      </w:pPr>
    </w:p>
    <w:p>
      <w:pPr>
        <w:jc w:val="both"/>
        <w:ind w:right="200"/>
        <w:spacing w:after="0" w:line="262" w:lineRule="auto"/>
        <w:rPr>
          <w:sz w:val="20"/>
          <w:szCs w:val="20"/>
          <w:color w:val="auto"/>
        </w:rPr>
      </w:pPr>
      <w:r>
        <w:rPr>
          <w:rFonts w:ascii="Times New Roman" w:cs="Times New Roman" w:eastAsia="Times New Roman" w:hAnsi="Times New Roman"/>
          <w:sz w:val="18"/>
          <w:szCs w:val="18"/>
          <w:color w:val="auto"/>
        </w:rPr>
        <w:t>Instructions: If the entity is : 1) a corporation, the secretary and an authorized officer should sign on behalf of the corporation, 2) a limited liability corporation, the manager or member(s) should sign on behalf of the LLC, 3) a trust, the trustee(s) should sign on behalf of the trust, or 4) a partnership, the partner(s) should sign on behalf of the partnership. Two signatures are required for all entities and all signatures must be notarized and dated.</w:t>
      </w:r>
    </w:p>
    <w:p>
      <w:pPr>
        <w:spacing w:after="0" w:line="130" w:lineRule="exact"/>
        <w:rPr>
          <w:sz w:val="20"/>
          <w:szCs w:val="20"/>
          <w:color w:val="auto"/>
        </w:rPr>
      </w:pPr>
    </w:p>
    <w:p>
      <w:pPr>
        <w:ind w:right="20"/>
        <w:spacing w:after="0" w:line="293" w:lineRule="auto"/>
        <w:rPr>
          <w:sz w:val="20"/>
          <w:szCs w:val="20"/>
          <w:color w:val="auto"/>
        </w:rPr>
      </w:pPr>
      <w:r>
        <w:rPr>
          <w:rFonts w:ascii="Times New Roman" w:cs="Times New Roman" w:eastAsia="Times New Roman" w:hAnsi="Times New Roman"/>
          <w:sz w:val="16"/>
          <w:szCs w:val="16"/>
          <w:b w:val="1"/>
          <w:bCs w:val="1"/>
          <w:color w:val="auto"/>
        </w:rPr>
        <w:t>Each of the undersigned hereby affirms to the Surety that he or she is a secretary or a duly authorized officer, manager, trustee or official of the business entity for which he or she executes the foregoing Agreement as a Contractor and Indemnitor. In such capacity the undersigned is familiar with all of the documents which establish the rights which govern the affairs, power and authority of such entity including, to the extent applicable, the (1) certificate or articles of incorporation, (2) bylaws, (3) corporate resolutions, (4) trust agreements and (5) partnership, and operating or limited liability agreements of such business entity. Having reviewed all such applicable documents and instruments and such other facts as deemed appropriate, the undersigned hereby affirms that such entity has the power and authority to enter into such Agreement and that he or she is duly authorized to do so.</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820" w:type="dxa"/>
            <w:vAlign w:val="bottom"/>
          </w:tcPr>
          <w:p>
            <w:pPr>
              <w:spacing w:after="0"/>
              <w:rPr>
                <w:sz w:val="20"/>
                <w:szCs w:val="20"/>
                <w:color w:val="auto"/>
              </w:rPr>
            </w:pPr>
            <w:r>
              <w:rPr>
                <w:rFonts w:ascii="Times New Roman" w:cs="Times New Roman" w:eastAsia="Times New Roman" w:hAnsi="Times New Roman"/>
                <w:sz w:val="18"/>
                <w:szCs w:val="18"/>
                <w:color w:val="auto"/>
                <w:w w:val="97"/>
              </w:rPr>
              <w:t>ATTEST OR WITNESS:</w:t>
            </w:r>
          </w:p>
        </w:tc>
        <w:tc>
          <w:tcPr>
            <w:tcW w:w="35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NASDI, LLC</w:t>
            </w:r>
          </w:p>
        </w:tc>
        <w:tc>
          <w:tcPr>
            <w:tcW w:w="1880" w:type="dxa"/>
            <w:vAlign w:val="bottom"/>
          </w:tcPr>
          <w:p>
            <w:pPr>
              <w:spacing w:after="0"/>
              <w:rPr>
                <w:sz w:val="18"/>
                <w:szCs w:val="18"/>
                <w:color w:val="auto"/>
              </w:rPr>
            </w:pPr>
          </w:p>
        </w:tc>
      </w:tr>
      <w:tr>
        <w:trPr>
          <w:trHeight w:val="216"/>
        </w:trPr>
        <w:tc>
          <w:tcPr>
            <w:tcW w:w="182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2122 York Road, Suite 200</w:t>
            </w:r>
          </w:p>
        </w:tc>
        <w:tc>
          <w:tcPr>
            <w:tcW w:w="1880" w:type="dxa"/>
            <w:vAlign w:val="bottom"/>
          </w:tcPr>
          <w:p>
            <w:pPr>
              <w:spacing w:after="0"/>
              <w:rPr>
                <w:sz w:val="18"/>
                <w:szCs w:val="18"/>
                <w:color w:val="auto"/>
              </w:rPr>
            </w:pPr>
          </w:p>
        </w:tc>
      </w:tr>
      <w:tr>
        <w:trPr>
          <w:trHeight w:val="228"/>
        </w:trPr>
        <w:tc>
          <w:tcPr>
            <w:tcW w:w="1820" w:type="dxa"/>
            <w:vAlign w:val="bottom"/>
          </w:tcPr>
          <w:p>
            <w:pPr>
              <w:spacing w:after="0"/>
              <w:rPr>
                <w:sz w:val="19"/>
                <w:szCs w:val="19"/>
                <w:color w:val="auto"/>
              </w:rPr>
            </w:pPr>
          </w:p>
        </w:tc>
        <w:tc>
          <w:tcPr>
            <w:tcW w:w="35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Oak Brook, IL 60523</w:t>
            </w:r>
          </w:p>
        </w:tc>
        <w:tc>
          <w:tcPr>
            <w:tcW w:w="1880" w:type="dxa"/>
            <w:vAlign w:val="bottom"/>
          </w:tcPr>
          <w:p>
            <w:pPr>
              <w:spacing w:after="0"/>
              <w:rPr>
                <w:sz w:val="19"/>
                <w:szCs w:val="19"/>
                <w:color w:val="auto"/>
              </w:rPr>
            </w:pPr>
          </w:p>
        </w:tc>
      </w:tr>
      <w:tr>
        <w:trPr>
          <w:trHeight w:val="230"/>
        </w:trPr>
        <w:tc>
          <w:tcPr>
            <w:tcW w:w="1820" w:type="dxa"/>
            <w:vAlign w:val="bottom"/>
          </w:tcPr>
          <w:p>
            <w:pPr>
              <w:spacing w:after="0"/>
              <w:rPr>
                <w:sz w:val="19"/>
                <w:szCs w:val="19"/>
                <w:color w:val="auto"/>
              </w:rPr>
            </w:pPr>
          </w:p>
        </w:tc>
        <w:tc>
          <w:tcPr>
            <w:tcW w:w="35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CONTRACTOR AND INDEMNITOR</w:t>
            </w:r>
          </w:p>
        </w:tc>
        <w:tc>
          <w:tcPr>
            <w:tcW w:w="1880" w:type="dxa"/>
            <w:vAlign w:val="bottom"/>
          </w:tcPr>
          <w:p>
            <w:pPr>
              <w:spacing w:after="0"/>
              <w:rPr>
                <w:sz w:val="19"/>
                <w:szCs w:val="19"/>
                <w:color w:val="auto"/>
              </w:rPr>
            </w:pPr>
          </w:p>
        </w:tc>
      </w:tr>
      <w:tr>
        <w:trPr>
          <w:trHeight w:val="433"/>
        </w:trPr>
        <w:tc>
          <w:tcPr>
            <w:tcW w:w="1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Ellen Parker Burke</w:t>
            </w:r>
          </w:p>
        </w:tc>
        <w:tc>
          <w:tcPr>
            <w:tcW w:w="3560" w:type="dxa"/>
            <w:vAlign w:val="bottom"/>
            <w:tcBorders>
              <w:bottom w:val="single" w:sz="8" w:color="auto"/>
            </w:tcBorders>
          </w:tcPr>
          <w:p>
            <w:pPr>
              <w:spacing w:after="0"/>
              <w:rPr>
                <w:sz w:val="24"/>
                <w:szCs w:val="24"/>
                <w:color w:val="auto"/>
              </w:rPr>
            </w:pPr>
          </w:p>
        </w:tc>
        <w:tc>
          <w:tcPr>
            <w:tcW w:w="800" w:type="dxa"/>
            <w:vAlign w:val="bottom"/>
          </w:tcPr>
          <w:p>
            <w:pPr>
              <w:spacing w:after="0"/>
              <w:rPr>
                <w:sz w:val="24"/>
                <w:szCs w:val="24"/>
                <w:color w:val="auto"/>
              </w:rPr>
            </w:pPr>
          </w:p>
        </w:tc>
        <w:tc>
          <w:tcPr>
            <w:tcW w:w="3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Jonathan W. Berger</w:t>
            </w:r>
          </w:p>
        </w:tc>
        <w:tc>
          <w:tcPr>
            <w:tcW w:w="188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(SEAL)</w:t>
            </w:r>
          </w:p>
        </w:tc>
      </w:tr>
      <w:tr>
        <w:trPr>
          <w:trHeight w:val="223"/>
        </w:trPr>
        <w:tc>
          <w:tcPr>
            <w:tcW w:w="5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Ellen Parker Burke, Assistant Secretary</w:t>
            </w:r>
          </w:p>
        </w:tc>
        <w:tc>
          <w:tcPr>
            <w:tcW w:w="800" w:type="dxa"/>
            <w:vAlign w:val="bottom"/>
          </w:tcPr>
          <w:p>
            <w:pPr>
              <w:spacing w:after="0"/>
              <w:rPr>
                <w:sz w:val="19"/>
                <w:szCs w:val="19"/>
                <w:color w:val="auto"/>
              </w:rPr>
            </w:pPr>
          </w:p>
        </w:tc>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Jonathan W. Berger, Chief Executive Officer</w:t>
            </w:r>
          </w:p>
        </w:tc>
        <w:tc>
          <w:tcPr>
            <w:tcW w:w="1880" w:type="dxa"/>
            <w:vAlign w:val="bottom"/>
          </w:tcPr>
          <w:p>
            <w:pPr>
              <w:spacing w:after="0"/>
              <w:rPr>
                <w:sz w:val="19"/>
                <w:szCs w:val="19"/>
                <w:color w:val="auto"/>
              </w:rPr>
            </w:pPr>
          </w:p>
        </w:tc>
      </w:tr>
      <w:tr>
        <w:trPr>
          <w:trHeight w:val="458"/>
        </w:trPr>
        <w:tc>
          <w:tcPr>
            <w:tcW w:w="5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ACKNOWLEDGEMENT</w:t>
            </w:r>
          </w:p>
        </w:tc>
        <w:tc>
          <w:tcPr>
            <w:tcW w:w="80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1880" w:type="dxa"/>
            <w:vAlign w:val="bottom"/>
          </w:tcPr>
          <w:p>
            <w:pPr>
              <w:spacing w:after="0"/>
              <w:rPr>
                <w:sz w:val="24"/>
                <w:szCs w:val="24"/>
                <w:color w:val="auto"/>
              </w:rPr>
            </w:pPr>
          </w:p>
        </w:tc>
      </w:tr>
      <w:tr>
        <w:trPr>
          <w:trHeight w:val="297"/>
        </w:trPr>
        <w:tc>
          <w:tcPr>
            <w:tcW w:w="1820" w:type="dxa"/>
            <w:vAlign w:val="bottom"/>
          </w:tcPr>
          <w:p>
            <w:pPr>
              <w:spacing w:after="0"/>
              <w:rPr>
                <w:sz w:val="20"/>
                <w:szCs w:val="20"/>
                <w:color w:val="auto"/>
              </w:rPr>
            </w:pPr>
            <w:r>
              <w:rPr>
                <w:rFonts w:ascii="Times New Roman" w:cs="Times New Roman" w:eastAsia="Times New Roman" w:hAnsi="Times New Roman"/>
                <w:sz w:val="18"/>
                <w:szCs w:val="18"/>
                <w:color w:val="auto"/>
              </w:rPr>
              <w:t>STATE OF Illinois</w:t>
            </w:r>
          </w:p>
        </w:tc>
        <w:tc>
          <w:tcPr>
            <w:tcW w:w="35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County of Cook</w:t>
            </w:r>
          </w:p>
        </w:tc>
        <w:tc>
          <w:tcPr>
            <w:tcW w:w="80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1880" w:type="dxa"/>
            <w:vAlign w:val="bottom"/>
          </w:tcPr>
          <w:p>
            <w:pPr>
              <w:spacing w:after="0"/>
              <w:rPr>
                <w:sz w:val="24"/>
                <w:szCs w:val="24"/>
                <w:color w:val="auto"/>
              </w:rPr>
            </w:pPr>
          </w:p>
        </w:tc>
      </w:tr>
    </w:tbl>
    <w:p>
      <w:pPr>
        <w:spacing w:after="0" w:line="150"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 xml:space="preserve">On this </w:t>
      </w:r>
      <w:r>
        <w:rPr>
          <w:rFonts w:ascii="Times New Roman" w:cs="Times New Roman" w:eastAsia="Times New Roman" w:hAnsi="Times New Roman"/>
          <w:sz w:val="18"/>
          <w:szCs w:val="18"/>
          <w:u w:val="single" w:color="auto"/>
          <w:color w:val="auto"/>
        </w:rPr>
        <w:t>7th</w:t>
      </w:r>
      <w:r>
        <w:rPr>
          <w:rFonts w:ascii="Times New Roman" w:cs="Times New Roman" w:eastAsia="Times New Roman" w:hAnsi="Times New Roman"/>
          <w:sz w:val="18"/>
          <w:szCs w:val="18"/>
          <w:color w:val="auto"/>
        </w:rPr>
        <w:t xml:space="preserve"> day of </w:t>
      </w:r>
      <w:r>
        <w:rPr>
          <w:rFonts w:ascii="Times New Roman" w:cs="Times New Roman" w:eastAsia="Times New Roman" w:hAnsi="Times New Roman"/>
          <w:sz w:val="18"/>
          <w:szCs w:val="18"/>
          <w:u w:val="single" w:color="auto"/>
          <w:color w:val="auto"/>
        </w:rPr>
        <w:t>September, 2011</w:t>
      </w:r>
      <w:r>
        <w:rPr>
          <w:rFonts w:ascii="Times New Roman" w:cs="Times New Roman" w:eastAsia="Times New Roman" w:hAnsi="Times New Roman"/>
          <w:sz w:val="18"/>
          <w:szCs w:val="18"/>
          <w:color w:val="auto"/>
        </w:rPr>
        <w:t xml:space="preserve"> before me personally appeared Jonathan W. Berger known or proven to me to be the Chief Executive Officer of the entity executing the foregoing instrument (“Entity”) and Ellen Parker Burke known or proven to me to be the Assistant Secretary of the Entity and they acknowledge said instrument to be the free and voluntary act and deed of said Entity, for the uses and purposes therein mentioned and on oath stated that the seal affixed is the seal of said Entity and that it was affixed and that they executed said instrument by authority of the Entity IN WITNESS WHEREOF, I have hereunto set my hand and affixed my OFFICIAL SEAL the day and year first above written.</w:t>
      </w:r>
    </w:p>
    <w:p>
      <w:pPr>
        <w:spacing w:after="0" w:line="287"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Notary Public: Donna Jean Rice</w:t>
      </w:r>
    </w:p>
    <w:p>
      <w:pPr>
        <w:spacing w:after="0" w:line="117"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My Commission Expires: 7-8-2013</w:t>
      </w:r>
    </w:p>
    <w:p>
      <w:pPr>
        <w:spacing w:after="0" w:line="117"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Notary Registration No.: 213938</w:t>
      </w:r>
    </w:p>
    <w:p>
      <w:pPr>
        <w:spacing w:after="0" w:line="171"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18"/>
          <w:szCs w:val="18"/>
          <w:color w:val="auto"/>
        </w:rPr>
        <w:t>(The remainder of this page intentionally left blank)</w:t>
      </w:r>
    </w:p>
    <w:p>
      <w:pPr>
        <w:spacing w:after="0" w:line="158" w:lineRule="exact"/>
        <w:rPr>
          <w:sz w:val="20"/>
          <w:szCs w:val="20"/>
          <w:color w:val="auto"/>
        </w:rPr>
      </w:pPr>
    </w:p>
    <w:p>
      <w:pPr>
        <w:spacing w:after="0"/>
        <w:tabs>
          <w:tab w:leader="none" w:pos="5460" w:val="left"/>
        </w:tabs>
        <w:rPr>
          <w:sz w:val="20"/>
          <w:szCs w:val="20"/>
          <w:color w:val="auto"/>
        </w:rPr>
      </w:pPr>
      <w:r>
        <w:rPr>
          <w:rFonts w:ascii="Times New Roman" w:cs="Times New Roman" w:eastAsia="Times New Roman" w:hAnsi="Times New Roman"/>
          <w:sz w:val="18"/>
          <w:szCs w:val="18"/>
          <w:color w:val="auto"/>
        </w:rPr>
        <w:t>C345 Ed 12 09 modified for GLCC</w:t>
      </w:r>
      <w:r>
        <w:rPr>
          <w:sz w:val="20"/>
          <w:szCs w:val="20"/>
          <w:color w:val="auto"/>
        </w:rPr>
        <w:tab/>
      </w:r>
      <w:r>
        <w:rPr>
          <w:rFonts w:ascii="Times New Roman" w:cs="Times New Roman" w:eastAsia="Times New Roman" w:hAnsi="Times New Roman"/>
          <w:sz w:val="16"/>
          <w:szCs w:val="16"/>
          <w:color w:val="auto"/>
        </w:rPr>
        <w:t>page 13 of 16</w:t>
      </w:r>
    </w:p>
    <w:p>
      <w:pPr>
        <w:sectPr>
          <w:pgSz w:w="11900" w:h="16838" w:orient="portrait"/>
          <w:cols w:equalWidth="0" w:num="1">
            <w:col w:w="11420"/>
          </w:cols>
          <w:pgMar w:left="240" w:top="272" w:right="239" w:bottom="1440" w:gutter="0" w:footer="0" w:header="0"/>
        </w:sectPr>
      </w:pPr>
    </w:p>
    <w:bookmarkStart w:id="154" w:name="page155"/>
    <w:bookmarkEnd w:id="154"/>
    <w:p>
      <w:pPr>
        <w:spacing w:after="0" w:line="259"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I/WE HAVE CAREFULLY READ THIS AGREEMENT OF INDEMNITY (OF WHICH THIS SIGNATURE PAGE IS A PART) AND FULLY UNDERSTAND MY/OUR OBLIGATIONS AS A CONTRACTOR AND INDEMNITOR HEREUNDER. THERE ARE NO SEPARATE AGREEMENTS OR UNDERSTANDINGS, EITHER WRITTEN OR ORAL, THAT IN ANY WAY LESSEN OR ALTER MY/OUR OBLIGATIONS AS ABOVE SET FORTH. IN WITNESS WHEREOF I/we have signed and sealed the day and year first above written.</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Sign below if entity is a Corporation, Limited Liability Company, Partnership or Trust:</w:t>
      </w:r>
    </w:p>
    <w:p>
      <w:pPr>
        <w:spacing w:after="0" w:line="92" w:lineRule="exact"/>
        <w:rPr>
          <w:sz w:val="20"/>
          <w:szCs w:val="20"/>
          <w:color w:val="auto"/>
        </w:rPr>
      </w:pPr>
    </w:p>
    <w:p>
      <w:pPr>
        <w:jc w:val="both"/>
        <w:ind w:right="200"/>
        <w:spacing w:after="0" w:line="262" w:lineRule="auto"/>
        <w:rPr>
          <w:sz w:val="20"/>
          <w:szCs w:val="20"/>
          <w:color w:val="auto"/>
        </w:rPr>
      </w:pPr>
      <w:r>
        <w:rPr>
          <w:rFonts w:ascii="Times New Roman" w:cs="Times New Roman" w:eastAsia="Times New Roman" w:hAnsi="Times New Roman"/>
          <w:sz w:val="18"/>
          <w:szCs w:val="18"/>
          <w:color w:val="auto"/>
        </w:rPr>
        <w:t>Instructions: If the entity is : 1) a corporation, the secretary and an authorized officer should sign on behalf of the corporation, 2) a limited liability corporation, the manager or member(s) should sign on behalf of the LLC, 3) a trust, the trustee(s) should sign on behalf of the trust, or 4) a partnership, the partner(s) should sign on behalf of the partnership. Two signatures are required for all entities and all signatures must be notarized and dated.</w:t>
      </w:r>
    </w:p>
    <w:p>
      <w:pPr>
        <w:spacing w:after="0" w:line="130" w:lineRule="exact"/>
        <w:rPr>
          <w:sz w:val="20"/>
          <w:szCs w:val="20"/>
          <w:color w:val="auto"/>
        </w:rPr>
      </w:pPr>
    </w:p>
    <w:p>
      <w:pPr>
        <w:ind w:right="20"/>
        <w:spacing w:after="0" w:line="293" w:lineRule="auto"/>
        <w:rPr>
          <w:sz w:val="20"/>
          <w:szCs w:val="20"/>
          <w:color w:val="auto"/>
        </w:rPr>
      </w:pPr>
      <w:r>
        <w:rPr>
          <w:rFonts w:ascii="Times New Roman" w:cs="Times New Roman" w:eastAsia="Times New Roman" w:hAnsi="Times New Roman"/>
          <w:sz w:val="16"/>
          <w:szCs w:val="16"/>
          <w:b w:val="1"/>
          <w:bCs w:val="1"/>
          <w:color w:val="auto"/>
        </w:rPr>
        <w:t>Each of the undersigned hereby affirms to the Surety that he or she is a secretary or a duly authorized officer, manager, trustee or official of the business entity for which he or she executes the foregoing Agreement as a Contractor and Indemnitor. In such capacity the undersigned is familiar with all of the documents which establish the rights which govern the affairs, power and authority of such entity including, to the extent applicable, the (1) certificate or articles of incorporation, (2) bylaws, (3) corporate resolutions, (4) trust agreements and (5) partnership, and operating or limited liability agreements of such business entity. Having reviewed all such applicable documents and instruments and such other facts as deemed appropriate, the undersigned hereby affirms that such entity has the power and authority to enter into such Agreement and that he or she is duly authorized to do so.</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880" w:type="dxa"/>
            <w:vAlign w:val="bottom"/>
          </w:tcPr>
          <w:p>
            <w:pPr>
              <w:spacing w:after="0"/>
              <w:rPr>
                <w:sz w:val="20"/>
                <w:szCs w:val="20"/>
                <w:color w:val="auto"/>
              </w:rPr>
            </w:pPr>
            <w:r>
              <w:rPr>
                <w:rFonts w:ascii="Times New Roman" w:cs="Times New Roman" w:eastAsia="Times New Roman" w:hAnsi="Times New Roman"/>
                <w:sz w:val="18"/>
                <w:szCs w:val="18"/>
                <w:color w:val="auto"/>
              </w:rPr>
              <w:t>ATTEST OR WITNESS:</w:t>
            </w:r>
          </w:p>
        </w:tc>
        <w:tc>
          <w:tcPr>
            <w:tcW w:w="35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w w:val="97"/>
              </w:rPr>
              <w:t>NASDI HOLDINGS CORPORATION</w:t>
            </w:r>
          </w:p>
        </w:tc>
        <w:tc>
          <w:tcPr>
            <w:tcW w:w="2440" w:type="dxa"/>
            <w:vAlign w:val="bottom"/>
          </w:tcPr>
          <w:p>
            <w:pPr>
              <w:spacing w:after="0"/>
              <w:rPr>
                <w:sz w:val="18"/>
                <w:szCs w:val="18"/>
                <w:color w:val="auto"/>
              </w:rPr>
            </w:pPr>
          </w:p>
        </w:tc>
      </w:tr>
      <w:tr>
        <w:trPr>
          <w:trHeight w:val="216"/>
        </w:trPr>
        <w:tc>
          <w:tcPr>
            <w:tcW w:w="188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2122 York Road, Suite 200</w:t>
            </w:r>
          </w:p>
        </w:tc>
        <w:tc>
          <w:tcPr>
            <w:tcW w:w="2440" w:type="dxa"/>
            <w:vAlign w:val="bottom"/>
          </w:tcPr>
          <w:p>
            <w:pPr>
              <w:spacing w:after="0"/>
              <w:rPr>
                <w:sz w:val="18"/>
                <w:szCs w:val="18"/>
                <w:color w:val="auto"/>
              </w:rPr>
            </w:pPr>
          </w:p>
        </w:tc>
      </w:tr>
      <w:tr>
        <w:trPr>
          <w:trHeight w:val="216"/>
        </w:trPr>
        <w:tc>
          <w:tcPr>
            <w:tcW w:w="188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Oak Brook, IL 60523</w:t>
            </w:r>
          </w:p>
        </w:tc>
        <w:tc>
          <w:tcPr>
            <w:tcW w:w="2440" w:type="dxa"/>
            <w:vAlign w:val="bottom"/>
          </w:tcPr>
          <w:p>
            <w:pPr>
              <w:spacing w:after="0"/>
              <w:rPr>
                <w:sz w:val="18"/>
                <w:szCs w:val="18"/>
                <w:color w:val="auto"/>
              </w:rPr>
            </w:pPr>
          </w:p>
        </w:tc>
      </w:tr>
      <w:tr>
        <w:trPr>
          <w:trHeight w:val="228"/>
        </w:trPr>
        <w:tc>
          <w:tcPr>
            <w:tcW w:w="1880" w:type="dxa"/>
            <w:vAlign w:val="bottom"/>
          </w:tcPr>
          <w:p>
            <w:pPr>
              <w:spacing w:after="0"/>
              <w:rPr>
                <w:sz w:val="19"/>
                <w:szCs w:val="19"/>
                <w:color w:val="auto"/>
              </w:rPr>
            </w:pPr>
          </w:p>
        </w:tc>
        <w:tc>
          <w:tcPr>
            <w:tcW w:w="35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w w:val="97"/>
              </w:rPr>
              <w:t>CONTRACTOR AND INDEMNITOR</w:t>
            </w:r>
          </w:p>
        </w:tc>
        <w:tc>
          <w:tcPr>
            <w:tcW w:w="2440" w:type="dxa"/>
            <w:vAlign w:val="bottom"/>
          </w:tcPr>
          <w:p>
            <w:pPr>
              <w:spacing w:after="0"/>
              <w:rPr>
                <w:sz w:val="19"/>
                <w:szCs w:val="19"/>
                <w:color w:val="auto"/>
              </w:rPr>
            </w:pPr>
          </w:p>
        </w:tc>
      </w:tr>
      <w:tr>
        <w:trPr>
          <w:trHeight w:val="447"/>
        </w:trPr>
        <w:tc>
          <w:tcPr>
            <w:tcW w:w="1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Ellen Parker Burke</w:t>
            </w:r>
          </w:p>
        </w:tc>
        <w:tc>
          <w:tcPr>
            <w:tcW w:w="3500" w:type="dxa"/>
            <w:vAlign w:val="bottom"/>
            <w:tcBorders>
              <w:bottom w:val="single" w:sz="8" w:color="auto"/>
            </w:tcBorders>
          </w:tcPr>
          <w:p>
            <w:pPr>
              <w:spacing w:after="0"/>
              <w:rPr>
                <w:sz w:val="24"/>
                <w:szCs w:val="24"/>
                <w:color w:val="auto"/>
              </w:rPr>
            </w:pPr>
          </w:p>
        </w:tc>
        <w:tc>
          <w:tcPr>
            <w:tcW w:w="800" w:type="dxa"/>
            <w:vAlign w:val="bottom"/>
          </w:tcPr>
          <w:p>
            <w:pPr>
              <w:spacing w:after="0"/>
              <w:rPr>
                <w:sz w:val="24"/>
                <w:szCs w:val="24"/>
                <w:color w:val="auto"/>
              </w:rPr>
            </w:pPr>
          </w:p>
        </w:tc>
        <w:tc>
          <w:tcPr>
            <w:tcW w:w="2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Jonathan W. Berger</w:t>
            </w:r>
          </w:p>
        </w:tc>
        <w:tc>
          <w:tcPr>
            <w:tcW w:w="24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(SEAL)</w:t>
            </w:r>
          </w:p>
        </w:tc>
      </w:tr>
      <w:tr>
        <w:trPr>
          <w:trHeight w:val="223"/>
        </w:trPr>
        <w:tc>
          <w:tcPr>
            <w:tcW w:w="5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Ellen Parker Burke, Secretary</w:t>
            </w:r>
          </w:p>
        </w:tc>
        <w:tc>
          <w:tcPr>
            <w:tcW w:w="800" w:type="dxa"/>
            <w:vAlign w:val="bottom"/>
          </w:tcPr>
          <w:p>
            <w:pPr>
              <w:spacing w:after="0"/>
              <w:rPr>
                <w:sz w:val="19"/>
                <w:szCs w:val="19"/>
                <w:color w:val="auto"/>
              </w:rPr>
            </w:pPr>
          </w:p>
        </w:tc>
        <w:tc>
          <w:tcPr>
            <w:tcW w:w="5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Jonathan W. Berger, Chief Executive Officer</w:t>
            </w:r>
          </w:p>
        </w:tc>
      </w:tr>
      <w:tr>
        <w:trPr>
          <w:trHeight w:val="458"/>
        </w:trPr>
        <w:tc>
          <w:tcPr>
            <w:tcW w:w="1880" w:type="dxa"/>
            <w:vAlign w:val="bottom"/>
          </w:tcPr>
          <w:p>
            <w:pPr>
              <w:spacing w:after="0"/>
              <w:rPr>
                <w:sz w:val="20"/>
                <w:szCs w:val="20"/>
                <w:color w:val="auto"/>
              </w:rPr>
            </w:pPr>
            <w:r>
              <w:rPr>
                <w:rFonts w:ascii="Times New Roman" w:cs="Times New Roman" w:eastAsia="Times New Roman" w:hAnsi="Times New Roman"/>
                <w:sz w:val="18"/>
                <w:szCs w:val="18"/>
                <w:color w:val="auto"/>
                <w:w w:val="97"/>
              </w:rPr>
              <w:t>ACKNOWLEDGEMENT</w:t>
            </w:r>
          </w:p>
        </w:tc>
        <w:tc>
          <w:tcPr>
            <w:tcW w:w="35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2440" w:type="dxa"/>
            <w:vAlign w:val="bottom"/>
          </w:tcPr>
          <w:p>
            <w:pPr>
              <w:spacing w:after="0"/>
              <w:rPr>
                <w:sz w:val="24"/>
                <w:szCs w:val="24"/>
                <w:color w:val="auto"/>
              </w:rPr>
            </w:pPr>
          </w:p>
        </w:tc>
      </w:tr>
      <w:tr>
        <w:trPr>
          <w:trHeight w:val="297"/>
        </w:trPr>
        <w:tc>
          <w:tcPr>
            <w:tcW w:w="1880" w:type="dxa"/>
            <w:vAlign w:val="bottom"/>
          </w:tcPr>
          <w:p>
            <w:pPr>
              <w:spacing w:after="0"/>
              <w:rPr>
                <w:sz w:val="20"/>
                <w:szCs w:val="20"/>
                <w:color w:val="auto"/>
              </w:rPr>
            </w:pPr>
            <w:r>
              <w:rPr>
                <w:rFonts w:ascii="Times New Roman" w:cs="Times New Roman" w:eastAsia="Times New Roman" w:hAnsi="Times New Roman"/>
                <w:sz w:val="18"/>
                <w:szCs w:val="18"/>
                <w:color w:val="auto"/>
              </w:rPr>
              <w:t>STATE OF Illinois</w:t>
            </w:r>
          </w:p>
        </w:tc>
        <w:tc>
          <w:tcPr>
            <w:tcW w:w="3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County of Cook</w:t>
            </w:r>
          </w:p>
        </w:tc>
        <w:tc>
          <w:tcPr>
            <w:tcW w:w="80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2440" w:type="dxa"/>
            <w:vAlign w:val="bottom"/>
          </w:tcPr>
          <w:p>
            <w:pPr>
              <w:spacing w:after="0"/>
              <w:rPr>
                <w:sz w:val="24"/>
                <w:szCs w:val="24"/>
                <w:color w:val="auto"/>
              </w:rPr>
            </w:pPr>
          </w:p>
        </w:tc>
      </w:tr>
    </w:tbl>
    <w:p>
      <w:pPr>
        <w:spacing w:after="0" w:line="150"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 xml:space="preserve">On this </w:t>
      </w:r>
      <w:r>
        <w:rPr>
          <w:rFonts w:ascii="Times New Roman" w:cs="Times New Roman" w:eastAsia="Times New Roman" w:hAnsi="Times New Roman"/>
          <w:sz w:val="18"/>
          <w:szCs w:val="18"/>
          <w:u w:val="single" w:color="auto"/>
          <w:color w:val="auto"/>
        </w:rPr>
        <w:t>7th</w:t>
      </w:r>
      <w:r>
        <w:rPr>
          <w:rFonts w:ascii="Times New Roman" w:cs="Times New Roman" w:eastAsia="Times New Roman" w:hAnsi="Times New Roman"/>
          <w:sz w:val="18"/>
          <w:szCs w:val="18"/>
          <w:color w:val="auto"/>
        </w:rPr>
        <w:t xml:space="preserve"> day of </w:t>
      </w:r>
      <w:r>
        <w:rPr>
          <w:rFonts w:ascii="Times New Roman" w:cs="Times New Roman" w:eastAsia="Times New Roman" w:hAnsi="Times New Roman"/>
          <w:sz w:val="18"/>
          <w:szCs w:val="18"/>
          <w:u w:val="single" w:color="auto"/>
          <w:color w:val="auto"/>
        </w:rPr>
        <w:t>September, 2011</w:t>
      </w:r>
      <w:r>
        <w:rPr>
          <w:rFonts w:ascii="Times New Roman" w:cs="Times New Roman" w:eastAsia="Times New Roman" w:hAnsi="Times New Roman"/>
          <w:sz w:val="18"/>
          <w:szCs w:val="18"/>
          <w:color w:val="auto"/>
        </w:rPr>
        <w:t>before me personally appeared Jonathan W. Berger known or proven to me to be the Chief Executive Officer of the entity executing the foregoing instrument (“Entity”) and Ellen Parker Burkeknown or proven to me to be the Secretary of the Entity and they acknowledge said instrument to be the free and voluntary act and deed of said Entity, for the uses and purposes therein mentioned and on oath stated that the seal affixed is the seal of said Entity and that it was affixed and that they executed said instrument by authority of the Entity IN WITNESS WHEREOF, I have hereunto set my hand and affixed my OFFICIAL SEAL the day and year first above written.</w:t>
      </w:r>
    </w:p>
    <w:p>
      <w:pPr>
        <w:spacing w:after="0" w:line="179" w:lineRule="exact"/>
        <w:rPr>
          <w:sz w:val="20"/>
          <w:szCs w:val="20"/>
          <w:color w:val="auto"/>
        </w:rPr>
      </w:pPr>
    </w:p>
    <w:p>
      <w:pPr>
        <w:ind w:left="6640"/>
        <w:spacing w:after="0"/>
        <w:rPr>
          <w:sz w:val="20"/>
          <w:szCs w:val="20"/>
          <w:color w:val="auto"/>
        </w:rPr>
      </w:pPr>
      <w:r>
        <w:rPr>
          <w:rFonts w:ascii="Times New Roman" w:cs="Times New Roman" w:eastAsia="Times New Roman" w:hAnsi="Times New Roman"/>
          <w:sz w:val="18"/>
          <w:szCs w:val="18"/>
          <w:color w:val="auto"/>
        </w:rPr>
        <w:t>Notary Public: Donna Jean Rice</w:t>
      </w:r>
    </w:p>
    <w:p>
      <w:pPr>
        <w:spacing w:after="0" w:line="225" w:lineRule="exact"/>
        <w:rPr>
          <w:sz w:val="20"/>
          <w:szCs w:val="20"/>
          <w:color w:val="auto"/>
        </w:rPr>
      </w:pPr>
    </w:p>
    <w:p>
      <w:pPr>
        <w:ind w:left="6640"/>
        <w:spacing w:after="0"/>
        <w:rPr>
          <w:sz w:val="20"/>
          <w:szCs w:val="20"/>
          <w:color w:val="auto"/>
        </w:rPr>
      </w:pPr>
      <w:r>
        <w:rPr>
          <w:rFonts w:ascii="Times New Roman" w:cs="Times New Roman" w:eastAsia="Times New Roman" w:hAnsi="Times New Roman"/>
          <w:sz w:val="18"/>
          <w:szCs w:val="18"/>
          <w:color w:val="auto"/>
        </w:rPr>
        <w:t>My Commission Expires: 7-8-2013</w:t>
      </w:r>
    </w:p>
    <w:p>
      <w:pPr>
        <w:spacing w:after="0" w:line="225" w:lineRule="exact"/>
        <w:rPr>
          <w:sz w:val="20"/>
          <w:szCs w:val="20"/>
          <w:color w:val="auto"/>
        </w:rPr>
      </w:pPr>
    </w:p>
    <w:p>
      <w:pPr>
        <w:ind w:left="6640"/>
        <w:spacing w:after="0"/>
        <w:rPr>
          <w:sz w:val="20"/>
          <w:szCs w:val="20"/>
          <w:color w:val="auto"/>
        </w:rPr>
      </w:pPr>
      <w:r>
        <w:rPr>
          <w:rFonts w:ascii="Times New Roman" w:cs="Times New Roman" w:eastAsia="Times New Roman" w:hAnsi="Times New Roman"/>
          <w:sz w:val="18"/>
          <w:szCs w:val="18"/>
          <w:color w:val="auto"/>
        </w:rPr>
        <w:t>Notary Registration No.: 213938</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remainder of this page intentionally left blank)</w:t>
      </w:r>
    </w:p>
    <w:p>
      <w:pPr>
        <w:spacing w:after="0" w:line="306" w:lineRule="exact"/>
        <w:rPr>
          <w:sz w:val="20"/>
          <w:szCs w:val="20"/>
          <w:color w:val="auto"/>
        </w:rPr>
      </w:pPr>
    </w:p>
    <w:p>
      <w:pPr>
        <w:spacing w:after="0"/>
        <w:tabs>
          <w:tab w:leader="none" w:pos="5460" w:val="left"/>
        </w:tabs>
        <w:rPr>
          <w:sz w:val="20"/>
          <w:szCs w:val="20"/>
          <w:color w:val="auto"/>
        </w:rPr>
      </w:pPr>
      <w:r>
        <w:rPr>
          <w:rFonts w:ascii="Times New Roman" w:cs="Times New Roman" w:eastAsia="Times New Roman" w:hAnsi="Times New Roman"/>
          <w:sz w:val="18"/>
          <w:szCs w:val="18"/>
          <w:color w:val="auto"/>
        </w:rPr>
        <w:t>C345 Ed 12 09 modified for GLCC</w:t>
      </w:r>
      <w:r>
        <w:rPr>
          <w:sz w:val="20"/>
          <w:szCs w:val="20"/>
          <w:color w:val="auto"/>
        </w:rPr>
        <w:tab/>
      </w:r>
      <w:r>
        <w:rPr>
          <w:rFonts w:ascii="Times New Roman" w:cs="Times New Roman" w:eastAsia="Times New Roman" w:hAnsi="Times New Roman"/>
          <w:sz w:val="16"/>
          <w:szCs w:val="16"/>
          <w:color w:val="auto"/>
        </w:rPr>
        <w:t>page 14 of 16</w:t>
      </w:r>
    </w:p>
    <w:p>
      <w:pPr>
        <w:sectPr>
          <w:pgSz w:w="11900" w:h="16838" w:orient="portrait"/>
          <w:cols w:equalWidth="0" w:num="1">
            <w:col w:w="11420"/>
          </w:cols>
          <w:pgMar w:left="240" w:top="272" w:right="239" w:bottom="1440" w:gutter="0" w:footer="0" w:header="0"/>
        </w:sectPr>
      </w:pPr>
    </w:p>
    <w:bookmarkStart w:id="155" w:name="page156"/>
    <w:bookmarkEnd w:id="155"/>
    <w:p>
      <w:pPr>
        <w:spacing w:after="0" w:line="259"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I/WE HAVE CAREFULLY READ THIS AGREEMENT OF INDEMNITY (OF WHICH THIS SIGNATURE PAGE IS A PART) AND FULLY UNDERSTAND MY/OUR OBLIGATIONS AS A CONTRACTOR AND INDEMNITOR HEREUNDER. THERE ARE NO SEPARATE AGREEMENTS OR UNDERSTANDINGS, EITHER WRITTEN OR ORAL, THAT IN ANY WAY LESSEN OR ALTER MY/OUR OBLIGATIONS AS ABOVE SET FORTH. IN WITNESS WHEREOF I/we have signed and sealed the day and year first above written.</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Sign below if entity is a Corporation, Limited Liability Company, Partnership or Trust:</w:t>
      </w:r>
    </w:p>
    <w:p>
      <w:pPr>
        <w:spacing w:after="0" w:line="23" w:lineRule="exact"/>
        <w:rPr>
          <w:sz w:val="20"/>
          <w:szCs w:val="20"/>
          <w:color w:val="auto"/>
        </w:rPr>
      </w:pPr>
    </w:p>
    <w:p>
      <w:pPr>
        <w:jc w:val="both"/>
        <w:ind w:right="200"/>
        <w:spacing w:after="0" w:line="255" w:lineRule="auto"/>
        <w:rPr>
          <w:sz w:val="20"/>
          <w:szCs w:val="20"/>
          <w:color w:val="auto"/>
        </w:rPr>
      </w:pPr>
      <w:r>
        <w:rPr>
          <w:rFonts w:ascii="Times New Roman" w:cs="Times New Roman" w:eastAsia="Times New Roman" w:hAnsi="Times New Roman"/>
          <w:sz w:val="18"/>
          <w:szCs w:val="18"/>
          <w:color w:val="auto"/>
        </w:rPr>
        <w:t>Instructions: If the entity is : 1) a corporation, the secretary and an authorized officer should sign on behalf of the corporation, 2) a limited liability corporation, the manager or member(s) should sign on behalf of the LLC, 3) a trust, the trustee(s) should sign on behalf of the trust, or 4) a partnership, the partner(s) should sign on behalf of the partnership. Two signatures are required for all entities and all signatures must be notarized and dated.</w:t>
      </w:r>
    </w:p>
    <w:p>
      <w:pPr>
        <w:spacing w:after="0" w:line="136" w:lineRule="exact"/>
        <w:rPr>
          <w:sz w:val="20"/>
          <w:szCs w:val="20"/>
          <w:color w:val="auto"/>
        </w:rPr>
      </w:pPr>
    </w:p>
    <w:p>
      <w:pPr>
        <w:ind w:right="20"/>
        <w:spacing w:after="0" w:line="293" w:lineRule="auto"/>
        <w:rPr>
          <w:sz w:val="20"/>
          <w:szCs w:val="20"/>
          <w:color w:val="auto"/>
        </w:rPr>
      </w:pPr>
      <w:r>
        <w:rPr>
          <w:rFonts w:ascii="Times New Roman" w:cs="Times New Roman" w:eastAsia="Times New Roman" w:hAnsi="Times New Roman"/>
          <w:sz w:val="16"/>
          <w:szCs w:val="16"/>
          <w:b w:val="1"/>
          <w:bCs w:val="1"/>
          <w:color w:val="auto"/>
        </w:rPr>
        <w:t>Each of the undersigned hereby affirms to the Surety that he or she is a secretary or a duly authorized officer, manager, trustee or official of the business entity for which he or she executes the foregoing Agreement as a Contractor and Indemnitor. In such capacity the undersigned is familiar with all of the documents which establish the rights which govern the affairs, power and authority of such entity including, to the extent applicable, the (1) certificate or articles of incorporation, (2) bylaws, (3) corporate resolutions, (4) trust agreements and (5) partnership, and operating or limited liability agreements of such business entity. Having reviewed all such applicable documents and instruments and such other facts as deemed appropriate, the undersigned hereby affirms that such entity has the power and authority to enter into such Agreement and that he or she is duly authorized to do so.</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820" w:type="dxa"/>
            <w:vAlign w:val="bottom"/>
          </w:tcPr>
          <w:p>
            <w:pPr>
              <w:spacing w:after="0"/>
              <w:rPr>
                <w:sz w:val="20"/>
                <w:szCs w:val="20"/>
                <w:color w:val="auto"/>
              </w:rPr>
            </w:pPr>
            <w:r>
              <w:rPr>
                <w:rFonts w:ascii="Times New Roman" w:cs="Times New Roman" w:eastAsia="Times New Roman" w:hAnsi="Times New Roman"/>
                <w:sz w:val="18"/>
                <w:szCs w:val="18"/>
                <w:color w:val="auto"/>
                <w:w w:val="97"/>
              </w:rPr>
              <w:t>ATTEST OR WITNESS:</w:t>
            </w:r>
          </w:p>
        </w:tc>
        <w:tc>
          <w:tcPr>
            <w:tcW w:w="162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4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YANKEE ENVIRONMENTAL SERVICES, LLC</w:t>
            </w:r>
          </w:p>
        </w:tc>
      </w:tr>
      <w:tr>
        <w:trPr>
          <w:trHeight w:val="216"/>
        </w:trPr>
        <w:tc>
          <w:tcPr>
            <w:tcW w:w="18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2200" w:type="dxa"/>
            <w:vAlign w:val="bottom"/>
          </w:tcPr>
          <w:p>
            <w:pPr>
              <w:spacing w:after="0"/>
              <w:rPr>
                <w:sz w:val="20"/>
                <w:szCs w:val="20"/>
                <w:color w:val="auto"/>
              </w:rPr>
            </w:pPr>
            <w:r>
              <w:rPr>
                <w:rFonts w:ascii="Times New Roman" w:cs="Times New Roman" w:eastAsia="Times New Roman" w:hAnsi="Times New Roman"/>
                <w:sz w:val="18"/>
                <w:szCs w:val="18"/>
                <w:color w:val="auto"/>
              </w:rPr>
              <w:t>2122 York Road, Suite 200</w:t>
            </w:r>
          </w:p>
        </w:tc>
        <w:tc>
          <w:tcPr>
            <w:tcW w:w="2140" w:type="dxa"/>
            <w:vAlign w:val="bottom"/>
          </w:tcPr>
          <w:p>
            <w:pPr>
              <w:spacing w:after="0"/>
              <w:rPr>
                <w:sz w:val="18"/>
                <w:szCs w:val="18"/>
                <w:color w:val="auto"/>
              </w:rPr>
            </w:pPr>
          </w:p>
        </w:tc>
      </w:tr>
      <w:tr>
        <w:trPr>
          <w:trHeight w:val="228"/>
        </w:trPr>
        <w:tc>
          <w:tcPr>
            <w:tcW w:w="18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3640" w:type="dxa"/>
            <w:vAlign w:val="bottom"/>
          </w:tcPr>
          <w:p>
            <w:pPr>
              <w:spacing w:after="0"/>
              <w:rPr>
                <w:sz w:val="19"/>
                <w:szCs w:val="19"/>
                <w:color w:val="auto"/>
              </w:rPr>
            </w:pPr>
          </w:p>
        </w:tc>
        <w:tc>
          <w:tcPr>
            <w:tcW w:w="2200" w:type="dxa"/>
            <w:vAlign w:val="bottom"/>
          </w:tcPr>
          <w:p>
            <w:pPr>
              <w:spacing w:after="0"/>
              <w:rPr>
                <w:sz w:val="20"/>
                <w:szCs w:val="20"/>
                <w:color w:val="auto"/>
              </w:rPr>
            </w:pPr>
            <w:r>
              <w:rPr>
                <w:rFonts w:ascii="Times New Roman" w:cs="Times New Roman" w:eastAsia="Times New Roman" w:hAnsi="Times New Roman"/>
                <w:sz w:val="18"/>
                <w:szCs w:val="18"/>
                <w:color w:val="auto"/>
              </w:rPr>
              <w:t>Oak Brook, IL 60523</w:t>
            </w:r>
          </w:p>
        </w:tc>
        <w:tc>
          <w:tcPr>
            <w:tcW w:w="2140" w:type="dxa"/>
            <w:vAlign w:val="bottom"/>
          </w:tcPr>
          <w:p>
            <w:pPr>
              <w:spacing w:after="0"/>
              <w:rPr>
                <w:sz w:val="19"/>
                <w:szCs w:val="19"/>
                <w:color w:val="auto"/>
              </w:rPr>
            </w:pPr>
          </w:p>
        </w:tc>
      </w:tr>
      <w:tr>
        <w:trPr>
          <w:trHeight w:val="230"/>
        </w:trPr>
        <w:tc>
          <w:tcPr>
            <w:tcW w:w="18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3640" w:type="dxa"/>
            <w:vAlign w:val="bottom"/>
          </w:tcPr>
          <w:p>
            <w:pPr>
              <w:spacing w:after="0"/>
              <w:rPr>
                <w:sz w:val="19"/>
                <w:szCs w:val="19"/>
                <w:color w:val="auto"/>
              </w:rPr>
            </w:pPr>
          </w:p>
        </w:tc>
        <w:tc>
          <w:tcPr>
            <w:tcW w:w="4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CONTRACTOR AND INDEMNITOR</w:t>
            </w:r>
          </w:p>
        </w:tc>
      </w:tr>
      <w:tr>
        <w:trPr>
          <w:trHeight w:val="433"/>
        </w:trPr>
        <w:tc>
          <w:tcPr>
            <w:tcW w:w="1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Katherine M. Hayes</w:t>
            </w:r>
          </w:p>
        </w:tc>
        <w:tc>
          <w:tcPr>
            <w:tcW w:w="1620" w:type="dxa"/>
            <w:vAlign w:val="bottom"/>
            <w:tcBorders>
              <w:bottom w:val="single" w:sz="8" w:color="auto"/>
            </w:tcBorders>
          </w:tcPr>
          <w:p>
            <w:pPr>
              <w:spacing w:after="0"/>
              <w:rPr>
                <w:sz w:val="24"/>
                <w:szCs w:val="24"/>
                <w:color w:val="auto"/>
              </w:rPr>
            </w:pPr>
          </w:p>
        </w:tc>
        <w:tc>
          <w:tcPr>
            <w:tcW w:w="3640" w:type="dxa"/>
            <w:vAlign w:val="bottom"/>
          </w:tcPr>
          <w:p>
            <w:pPr>
              <w:spacing w:after="0"/>
              <w:rPr>
                <w:sz w:val="24"/>
                <w:szCs w:val="24"/>
                <w:color w:val="auto"/>
              </w:rPr>
            </w:pPr>
          </w:p>
        </w:tc>
        <w:tc>
          <w:tcPr>
            <w:tcW w:w="2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Jonathan W. Berger</w:t>
            </w:r>
          </w:p>
        </w:tc>
        <w:tc>
          <w:tcPr>
            <w:tcW w:w="214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(SEAL)</w:t>
            </w:r>
          </w:p>
        </w:tc>
      </w:tr>
      <w:tr>
        <w:trPr>
          <w:trHeight w:val="223"/>
        </w:trPr>
        <w:tc>
          <w:tcPr>
            <w:tcW w:w="3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Katherine M. Hayes, Treasurer</w:t>
            </w:r>
          </w:p>
        </w:tc>
        <w:tc>
          <w:tcPr>
            <w:tcW w:w="3640" w:type="dxa"/>
            <w:vAlign w:val="bottom"/>
          </w:tcPr>
          <w:p>
            <w:pPr>
              <w:spacing w:after="0"/>
              <w:rPr>
                <w:sz w:val="19"/>
                <w:szCs w:val="19"/>
                <w:color w:val="auto"/>
              </w:rPr>
            </w:pPr>
          </w:p>
        </w:tc>
        <w:tc>
          <w:tcPr>
            <w:tcW w:w="4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Jonathan W. Berger, Chief Executive Officer</w:t>
            </w:r>
          </w:p>
        </w:tc>
      </w:tr>
      <w:tr>
        <w:trPr>
          <w:trHeight w:val="458"/>
        </w:trPr>
        <w:tc>
          <w:tcPr>
            <w:tcW w:w="3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ACKNOWLEDGEMENT</w:t>
            </w:r>
          </w:p>
        </w:tc>
        <w:tc>
          <w:tcPr>
            <w:tcW w:w="364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2140" w:type="dxa"/>
            <w:vAlign w:val="bottom"/>
          </w:tcPr>
          <w:p>
            <w:pPr>
              <w:spacing w:after="0"/>
              <w:rPr>
                <w:sz w:val="24"/>
                <w:szCs w:val="24"/>
                <w:color w:val="auto"/>
              </w:rPr>
            </w:pPr>
          </w:p>
        </w:tc>
      </w:tr>
      <w:tr>
        <w:trPr>
          <w:trHeight w:val="297"/>
        </w:trPr>
        <w:tc>
          <w:tcPr>
            <w:tcW w:w="1820" w:type="dxa"/>
            <w:vAlign w:val="bottom"/>
          </w:tcPr>
          <w:p>
            <w:pPr>
              <w:spacing w:after="0"/>
              <w:rPr>
                <w:sz w:val="20"/>
                <w:szCs w:val="20"/>
                <w:color w:val="auto"/>
              </w:rPr>
            </w:pPr>
            <w:r>
              <w:rPr>
                <w:rFonts w:ascii="Times New Roman" w:cs="Times New Roman" w:eastAsia="Times New Roman" w:hAnsi="Times New Roman"/>
                <w:sz w:val="18"/>
                <w:szCs w:val="18"/>
                <w:color w:val="auto"/>
              </w:rPr>
              <w:t>STATE OF Illinois</w:t>
            </w:r>
          </w:p>
        </w:tc>
        <w:tc>
          <w:tcPr>
            <w:tcW w:w="1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County of Cook</w:t>
            </w:r>
          </w:p>
        </w:tc>
        <w:tc>
          <w:tcPr>
            <w:tcW w:w="364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2140" w:type="dxa"/>
            <w:vAlign w:val="bottom"/>
          </w:tcPr>
          <w:p>
            <w:pPr>
              <w:spacing w:after="0"/>
              <w:rPr>
                <w:sz w:val="24"/>
                <w:szCs w:val="24"/>
                <w:color w:val="auto"/>
              </w:rPr>
            </w:pPr>
          </w:p>
        </w:tc>
      </w:tr>
    </w:tbl>
    <w:p>
      <w:pPr>
        <w:spacing w:after="0" w:line="150"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 xml:space="preserve">On this </w:t>
      </w:r>
      <w:r>
        <w:rPr>
          <w:rFonts w:ascii="Times New Roman" w:cs="Times New Roman" w:eastAsia="Times New Roman" w:hAnsi="Times New Roman"/>
          <w:sz w:val="18"/>
          <w:szCs w:val="18"/>
          <w:u w:val="single" w:color="auto"/>
          <w:color w:val="auto"/>
        </w:rPr>
        <w:t>7th</w:t>
      </w:r>
      <w:r>
        <w:rPr>
          <w:rFonts w:ascii="Times New Roman" w:cs="Times New Roman" w:eastAsia="Times New Roman" w:hAnsi="Times New Roman"/>
          <w:sz w:val="18"/>
          <w:szCs w:val="18"/>
          <w:color w:val="auto"/>
        </w:rPr>
        <w:t xml:space="preserve"> day of </w:t>
      </w:r>
      <w:r>
        <w:rPr>
          <w:rFonts w:ascii="Times New Roman" w:cs="Times New Roman" w:eastAsia="Times New Roman" w:hAnsi="Times New Roman"/>
          <w:sz w:val="18"/>
          <w:szCs w:val="18"/>
          <w:u w:val="single" w:color="auto"/>
          <w:color w:val="auto"/>
        </w:rPr>
        <w:t>September, 2011</w:t>
      </w:r>
      <w:r>
        <w:rPr>
          <w:rFonts w:ascii="Times New Roman" w:cs="Times New Roman" w:eastAsia="Times New Roman" w:hAnsi="Times New Roman"/>
          <w:sz w:val="18"/>
          <w:szCs w:val="18"/>
          <w:color w:val="auto"/>
        </w:rPr>
        <w:t xml:space="preserve"> before me personally appeared Jonathan W. Berger known or proven to me to be the Chief Executive Officer of the entity executing the foregoing instrument (“Entity”) and Katherine M. Hayes known or proven to me to be the Treasurer of the Entity and they acknowledge said instrument to be the free and voluntary act and deed of said Entity, for the uses and purposes therein mentioned and on oath stated that the seal affixed is the seal of said Entity and that it was affixed and that they executed said instrument by authority of the Entity IN WITNESS WHEREOF, I have hereunto set my hand and affixed my OFFICIAL SEAL the day and year first above written.</w:t>
      </w:r>
    </w:p>
    <w:p>
      <w:pPr>
        <w:spacing w:after="0" w:line="179"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Notary Public: Donna Jean Rice</w:t>
      </w:r>
    </w:p>
    <w:p>
      <w:pPr>
        <w:spacing w:after="0" w:line="21"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My Commission Expires: 7-8-2013</w:t>
      </w:r>
    </w:p>
    <w:p>
      <w:pPr>
        <w:spacing w:after="0" w:line="9"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Notary Registration No.: 213938</w:t>
      </w:r>
    </w:p>
    <w:p>
      <w:pPr>
        <w:spacing w:after="0" w:line="321"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18"/>
          <w:szCs w:val="18"/>
          <w:color w:val="auto"/>
        </w:rPr>
        <w:t>(The remainder of this page intentionally left blank)</w:t>
      </w:r>
    </w:p>
    <w:p>
      <w:pPr>
        <w:spacing w:after="0" w:line="158" w:lineRule="exact"/>
        <w:rPr>
          <w:sz w:val="20"/>
          <w:szCs w:val="20"/>
          <w:color w:val="auto"/>
        </w:rPr>
      </w:pPr>
    </w:p>
    <w:p>
      <w:pPr>
        <w:spacing w:after="0"/>
        <w:tabs>
          <w:tab w:leader="none" w:pos="5460" w:val="left"/>
        </w:tabs>
        <w:rPr>
          <w:sz w:val="20"/>
          <w:szCs w:val="20"/>
          <w:color w:val="auto"/>
        </w:rPr>
      </w:pPr>
      <w:r>
        <w:rPr>
          <w:rFonts w:ascii="Times New Roman" w:cs="Times New Roman" w:eastAsia="Times New Roman" w:hAnsi="Times New Roman"/>
          <w:sz w:val="18"/>
          <w:szCs w:val="18"/>
          <w:color w:val="auto"/>
        </w:rPr>
        <w:t>C345 Ed 12 09 modified for GLCC</w:t>
      </w:r>
      <w:r>
        <w:rPr>
          <w:sz w:val="20"/>
          <w:szCs w:val="20"/>
          <w:color w:val="auto"/>
        </w:rPr>
        <w:tab/>
      </w:r>
      <w:r>
        <w:rPr>
          <w:rFonts w:ascii="Times New Roman" w:cs="Times New Roman" w:eastAsia="Times New Roman" w:hAnsi="Times New Roman"/>
          <w:sz w:val="16"/>
          <w:szCs w:val="16"/>
          <w:color w:val="auto"/>
        </w:rPr>
        <w:t>page 15 of 16</w:t>
      </w:r>
    </w:p>
    <w:p>
      <w:pPr>
        <w:sectPr>
          <w:pgSz w:w="11900" w:h="16838" w:orient="portrait"/>
          <w:cols w:equalWidth="0" w:num="1">
            <w:col w:w="11420"/>
          </w:cols>
          <w:pgMar w:left="240" w:top="272" w:right="239" w:bottom="1440" w:gutter="0" w:footer="0" w:header="0"/>
        </w:sectPr>
      </w:pPr>
    </w:p>
    <w:bookmarkStart w:id="156" w:name="page157"/>
    <w:bookmarkEnd w:id="156"/>
    <w:p>
      <w:pPr>
        <w:spacing w:after="0" w:line="259"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I/WE HAVE CAREFULLY READ THIS AGREEMENT OF INDEMNITY (OF WHICH THIS SIGNATURE PAGE IS A PART) AND FULLY UNDERSTAND MY/OUR OBLIGATIONS AS A CONTRACTOR AND INDEMNITOR HEREUNDER. THERE ARE NO SEPARATE AGREEMENTS OR UNDERSTANDINGS, EITHER WRITTEN OR ORAL, THAT IN ANY WAY LESSEN OR ALTER MY/OUR OBLIGATIONS AS ABOVE SET FORTH. IN WITNESS WHEREOF I/we have signed and sealed the day and year first above written.</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Sign below if entity is a Corporation, Limited Liability Company, Partnership or Trust:</w:t>
      </w:r>
    </w:p>
    <w:p>
      <w:pPr>
        <w:spacing w:after="0" w:line="92" w:lineRule="exact"/>
        <w:rPr>
          <w:sz w:val="20"/>
          <w:szCs w:val="20"/>
          <w:color w:val="auto"/>
        </w:rPr>
      </w:pPr>
    </w:p>
    <w:p>
      <w:pPr>
        <w:jc w:val="both"/>
        <w:ind w:right="200"/>
        <w:spacing w:after="0" w:line="262" w:lineRule="auto"/>
        <w:rPr>
          <w:sz w:val="20"/>
          <w:szCs w:val="20"/>
          <w:color w:val="auto"/>
        </w:rPr>
      </w:pPr>
      <w:r>
        <w:rPr>
          <w:rFonts w:ascii="Times New Roman" w:cs="Times New Roman" w:eastAsia="Times New Roman" w:hAnsi="Times New Roman"/>
          <w:sz w:val="18"/>
          <w:szCs w:val="18"/>
          <w:color w:val="auto"/>
        </w:rPr>
        <w:t>Instructions: If the entity is : 1) a corporation, the secretary and an authorized officer should sign on behalf of the corporation, 2) a limited liability corporation, the manager or member(s) should sign on behalf of the LLC, 3) a trust, the trustee(s) should sign on behalf of the trust, or 4) a partnership, the partner(s) should sign on behalf of the partnership. Two signatures are required for all entities and all signatures must be notarized and dated.</w:t>
      </w:r>
    </w:p>
    <w:p>
      <w:pPr>
        <w:spacing w:after="0" w:line="130" w:lineRule="exact"/>
        <w:rPr>
          <w:sz w:val="20"/>
          <w:szCs w:val="20"/>
          <w:color w:val="auto"/>
        </w:rPr>
      </w:pPr>
    </w:p>
    <w:p>
      <w:pPr>
        <w:ind w:right="20"/>
        <w:spacing w:after="0" w:line="293" w:lineRule="auto"/>
        <w:rPr>
          <w:sz w:val="20"/>
          <w:szCs w:val="20"/>
          <w:color w:val="auto"/>
        </w:rPr>
      </w:pPr>
      <w:r>
        <w:rPr>
          <w:rFonts w:ascii="Times New Roman" w:cs="Times New Roman" w:eastAsia="Times New Roman" w:hAnsi="Times New Roman"/>
          <w:sz w:val="16"/>
          <w:szCs w:val="16"/>
          <w:b w:val="1"/>
          <w:bCs w:val="1"/>
          <w:color w:val="auto"/>
        </w:rPr>
        <w:t>Each of the undersigned hereby affirms to the Surety that he or she is a secretary or a duly authorized officer, manager, trustee or official of the business entity for which he or she executes the foregoing Agreement as a Contractor and Indemnitor. In such capacity the undersigned is familiar with all of the documents which establish the rights which govern the affairs, power and authority of such entity including, to the extent applicable, the (1) certificate or articles of incorporation, (2) bylaws, (3) corporate resolutions, (4) trust agreements and (5) partnership, and operating or limited liability agreements of such business entity. Having reviewed all such applicable documents and instruments and such other facts as deemed appropriate, the undersigned hereby affirms that such entity has the power and authority to enter into such Agreement and that he or she is duly authorized to do so.</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820" w:type="dxa"/>
            <w:vAlign w:val="bottom"/>
          </w:tcPr>
          <w:p>
            <w:pPr>
              <w:spacing w:after="0"/>
              <w:rPr>
                <w:sz w:val="20"/>
                <w:szCs w:val="20"/>
                <w:color w:val="auto"/>
              </w:rPr>
            </w:pPr>
            <w:r>
              <w:rPr>
                <w:rFonts w:ascii="Times New Roman" w:cs="Times New Roman" w:eastAsia="Times New Roman" w:hAnsi="Times New Roman"/>
                <w:sz w:val="18"/>
                <w:szCs w:val="18"/>
                <w:color w:val="auto"/>
                <w:w w:val="97"/>
              </w:rPr>
              <w:t>ATTEST OR WITNESS:</w:t>
            </w:r>
          </w:p>
        </w:tc>
        <w:tc>
          <w:tcPr>
            <w:tcW w:w="35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GREAT LAKES DREDGE &amp; DOCK (BAHAMAS) LTD.</w:t>
            </w:r>
          </w:p>
        </w:tc>
      </w:tr>
      <w:tr>
        <w:trPr>
          <w:trHeight w:val="216"/>
        </w:trPr>
        <w:tc>
          <w:tcPr>
            <w:tcW w:w="182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2122 York Road, Suite 200</w:t>
            </w:r>
          </w:p>
        </w:tc>
        <w:tc>
          <w:tcPr>
            <w:tcW w:w="2340" w:type="dxa"/>
            <w:vAlign w:val="bottom"/>
          </w:tcPr>
          <w:p>
            <w:pPr>
              <w:spacing w:after="0"/>
              <w:rPr>
                <w:sz w:val="18"/>
                <w:szCs w:val="18"/>
                <w:color w:val="auto"/>
              </w:rPr>
            </w:pPr>
          </w:p>
        </w:tc>
      </w:tr>
      <w:tr>
        <w:trPr>
          <w:trHeight w:val="216"/>
        </w:trPr>
        <w:tc>
          <w:tcPr>
            <w:tcW w:w="182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Oak Brook, IL 60523</w:t>
            </w:r>
          </w:p>
        </w:tc>
        <w:tc>
          <w:tcPr>
            <w:tcW w:w="2340" w:type="dxa"/>
            <w:vAlign w:val="bottom"/>
          </w:tcPr>
          <w:p>
            <w:pPr>
              <w:spacing w:after="0"/>
              <w:rPr>
                <w:sz w:val="18"/>
                <w:szCs w:val="18"/>
                <w:color w:val="auto"/>
              </w:rPr>
            </w:pPr>
          </w:p>
        </w:tc>
      </w:tr>
      <w:tr>
        <w:trPr>
          <w:trHeight w:val="228"/>
        </w:trPr>
        <w:tc>
          <w:tcPr>
            <w:tcW w:w="1820" w:type="dxa"/>
            <w:vAlign w:val="bottom"/>
          </w:tcPr>
          <w:p>
            <w:pPr>
              <w:spacing w:after="0"/>
              <w:rPr>
                <w:sz w:val="19"/>
                <w:szCs w:val="19"/>
                <w:color w:val="auto"/>
              </w:rPr>
            </w:pPr>
          </w:p>
        </w:tc>
        <w:tc>
          <w:tcPr>
            <w:tcW w:w="35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w w:val="97"/>
              </w:rPr>
              <w:t>CONTRACTOR AND INDEMNITOR</w:t>
            </w:r>
          </w:p>
        </w:tc>
        <w:tc>
          <w:tcPr>
            <w:tcW w:w="2340" w:type="dxa"/>
            <w:vAlign w:val="bottom"/>
          </w:tcPr>
          <w:p>
            <w:pPr>
              <w:spacing w:after="0"/>
              <w:rPr>
                <w:sz w:val="19"/>
                <w:szCs w:val="19"/>
                <w:color w:val="auto"/>
              </w:rPr>
            </w:pPr>
          </w:p>
        </w:tc>
      </w:tr>
      <w:tr>
        <w:trPr>
          <w:trHeight w:val="447"/>
        </w:trPr>
        <w:tc>
          <w:tcPr>
            <w:tcW w:w="1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Ellen Parker Burke</w:t>
            </w:r>
          </w:p>
        </w:tc>
        <w:tc>
          <w:tcPr>
            <w:tcW w:w="3560" w:type="dxa"/>
            <w:vAlign w:val="bottom"/>
            <w:tcBorders>
              <w:bottom w:val="single" w:sz="8" w:color="auto"/>
            </w:tcBorders>
          </w:tcPr>
          <w:p>
            <w:pPr>
              <w:spacing w:after="0"/>
              <w:rPr>
                <w:sz w:val="24"/>
                <w:szCs w:val="24"/>
                <w:color w:val="auto"/>
              </w:rPr>
            </w:pPr>
          </w:p>
        </w:tc>
        <w:tc>
          <w:tcPr>
            <w:tcW w:w="900" w:type="dxa"/>
            <w:vAlign w:val="bottom"/>
          </w:tcPr>
          <w:p>
            <w:pPr>
              <w:spacing w:after="0"/>
              <w:rPr>
                <w:sz w:val="24"/>
                <w:szCs w:val="24"/>
                <w:color w:val="auto"/>
              </w:rPr>
            </w:pPr>
          </w:p>
        </w:tc>
        <w:tc>
          <w:tcPr>
            <w:tcW w:w="2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Jonathan W. Berger</w:t>
            </w:r>
          </w:p>
        </w:tc>
        <w:tc>
          <w:tcPr>
            <w:tcW w:w="23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(SEAL)</w:t>
            </w:r>
          </w:p>
        </w:tc>
      </w:tr>
      <w:tr>
        <w:trPr>
          <w:trHeight w:val="223"/>
        </w:trPr>
        <w:tc>
          <w:tcPr>
            <w:tcW w:w="5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Ellen Parker Burke, Secretary</w:t>
            </w:r>
          </w:p>
        </w:tc>
        <w:tc>
          <w:tcPr>
            <w:tcW w:w="900" w:type="dxa"/>
            <w:vAlign w:val="bottom"/>
          </w:tcPr>
          <w:p>
            <w:pPr>
              <w:spacing w:after="0"/>
              <w:rPr>
                <w:sz w:val="19"/>
                <w:szCs w:val="19"/>
                <w:color w:val="auto"/>
              </w:rPr>
            </w:pPr>
          </w:p>
        </w:tc>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Jonathan W. Berger, President</w:t>
            </w:r>
          </w:p>
        </w:tc>
        <w:tc>
          <w:tcPr>
            <w:tcW w:w="2340" w:type="dxa"/>
            <w:vAlign w:val="bottom"/>
          </w:tcPr>
          <w:p>
            <w:pPr>
              <w:spacing w:after="0"/>
              <w:rPr>
                <w:sz w:val="19"/>
                <w:szCs w:val="19"/>
                <w:color w:val="auto"/>
              </w:rPr>
            </w:pPr>
          </w:p>
        </w:tc>
      </w:tr>
      <w:tr>
        <w:trPr>
          <w:trHeight w:val="458"/>
        </w:trPr>
        <w:tc>
          <w:tcPr>
            <w:tcW w:w="5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ACKNOWLEDGEMENT</w:t>
            </w:r>
          </w:p>
        </w:tc>
        <w:tc>
          <w:tcPr>
            <w:tcW w:w="90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2340" w:type="dxa"/>
            <w:vAlign w:val="bottom"/>
          </w:tcPr>
          <w:p>
            <w:pPr>
              <w:spacing w:after="0"/>
              <w:rPr>
                <w:sz w:val="24"/>
                <w:szCs w:val="24"/>
                <w:color w:val="auto"/>
              </w:rPr>
            </w:pPr>
          </w:p>
        </w:tc>
      </w:tr>
      <w:tr>
        <w:trPr>
          <w:trHeight w:val="297"/>
        </w:trPr>
        <w:tc>
          <w:tcPr>
            <w:tcW w:w="1820" w:type="dxa"/>
            <w:vAlign w:val="bottom"/>
          </w:tcPr>
          <w:p>
            <w:pPr>
              <w:spacing w:after="0"/>
              <w:rPr>
                <w:sz w:val="20"/>
                <w:szCs w:val="20"/>
                <w:color w:val="auto"/>
              </w:rPr>
            </w:pPr>
            <w:r>
              <w:rPr>
                <w:rFonts w:ascii="Times New Roman" w:cs="Times New Roman" w:eastAsia="Times New Roman" w:hAnsi="Times New Roman"/>
                <w:sz w:val="18"/>
                <w:szCs w:val="18"/>
                <w:color w:val="auto"/>
              </w:rPr>
              <w:t>STATE OF Illinois</w:t>
            </w:r>
          </w:p>
        </w:tc>
        <w:tc>
          <w:tcPr>
            <w:tcW w:w="35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County of Cook</w:t>
            </w:r>
          </w:p>
        </w:tc>
        <w:tc>
          <w:tcPr>
            <w:tcW w:w="90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2340" w:type="dxa"/>
            <w:vAlign w:val="bottom"/>
          </w:tcPr>
          <w:p>
            <w:pPr>
              <w:spacing w:after="0"/>
              <w:rPr>
                <w:sz w:val="24"/>
                <w:szCs w:val="24"/>
                <w:color w:val="auto"/>
              </w:rPr>
            </w:pPr>
          </w:p>
        </w:tc>
      </w:tr>
    </w:tbl>
    <w:p>
      <w:pPr>
        <w:spacing w:after="0" w:line="150"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 xml:space="preserve">On this </w:t>
      </w:r>
      <w:r>
        <w:rPr>
          <w:rFonts w:ascii="Times New Roman" w:cs="Times New Roman" w:eastAsia="Times New Roman" w:hAnsi="Times New Roman"/>
          <w:sz w:val="18"/>
          <w:szCs w:val="18"/>
          <w:u w:val="single" w:color="auto"/>
          <w:color w:val="auto"/>
        </w:rPr>
        <w:t>7th</w:t>
      </w:r>
      <w:r>
        <w:rPr>
          <w:rFonts w:ascii="Times New Roman" w:cs="Times New Roman" w:eastAsia="Times New Roman" w:hAnsi="Times New Roman"/>
          <w:sz w:val="18"/>
          <w:szCs w:val="18"/>
          <w:color w:val="auto"/>
        </w:rPr>
        <w:t xml:space="preserve"> day of </w:t>
      </w:r>
      <w:r>
        <w:rPr>
          <w:rFonts w:ascii="Times New Roman" w:cs="Times New Roman" w:eastAsia="Times New Roman" w:hAnsi="Times New Roman"/>
          <w:sz w:val="18"/>
          <w:szCs w:val="18"/>
          <w:u w:val="single" w:color="auto"/>
          <w:color w:val="auto"/>
        </w:rPr>
        <w:t>September, 2011</w:t>
      </w:r>
      <w:r>
        <w:rPr>
          <w:rFonts w:ascii="Times New Roman" w:cs="Times New Roman" w:eastAsia="Times New Roman" w:hAnsi="Times New Roman"/>
          <w:sz w:val="18"/>
          <w:szCs w:val="18"/>
          <w:color w:val="auto"/>
        </w:rPr>
        <w:t>before me personally appeared Jonathan W. Berger known or proven to me to be the President of the entity executing the foregoing instrument (“Entity”) and Ellen Parker Burke known or proven to me to be the Secretary of the Entity and they acknowledge said instrument to be the free and voluntary act and deed of said Entity, for the uses and purposes therein mentioned and on oath stated that the seal affixed is the seal of said Entity and that it was affixed and that they executed said instrument by authority of the Entity IN WITNESS WHEREOF, I have hereunto set my hand and affixed my OFFICIAL SEAL the day and year first above written.</w:t>
      </w:r>
    </w:p>
    <w:p>
      <w:pPr>
        <w:spacing w:after="0" w:line="287"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Notary Public: Donna Jean Rice</w:t>
      </w:r>
    </w:p>
    <w:p>
      <w:pPr>
        <w:spacing w:after="0" w:line="117"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My Commission Expires: 7-8-2013</w:t>
      </w:r>
    </w:p>
    <w:p>
      <w:pPr>
        <w:spacing w:after="0" w:line="117"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Notary Registration No.: 213938</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remainder of this page intentionally left blank)</w:t>
      </w:r>
    </w:p>
    <w:p>
      <w:pPr>
        <w:sectPr>
          <w:pgSz w:w="11900" w:h="16838" w:orient="portrait"/>
          <w:cols w:equalWidth="0" w:num="1">
            <w:col w:w="11420"/>
          </w:cols>
          <w:pgMar w:left="240" w:top="272" w:right="239" w:bottom="1440" w:gutter="0" w:footer="0" w:header="0"/>
        </w:sectPr>
      </w:pPr>
    </w:p>
    <w:bookmarkStart w:id="157" w:name="page158"/>
    <w:bookmarkEnd w:id="157"/>
    <w:p>
      <w:pPr>
        <w:jc w:val="right"/>
        <w:spacing w:after="0"/>
        <w:rPr>
          <w:sz w:val="20"/>
          <w:szCs w:val="20"/>
          <w:color w:val="auto"/>
        </w:rPr>
      </w:pPr>
      <w:r>
        <w:rPr>
          <w:rFonts w:ascii="Times New Roman" w:cs="Times New Roman" w:eastAsia="Times New Roman" w:hAnsi="Times New Roman"/>
          <w:sz w:val="18"/>
          <w:szCs w:val="18"/>
          <w:b w:val="1"/>
          <w:bCs w:val="1"/>
          <w:color w:val="auto"/>
        </w:rPr>
        <w:t>Exhibit 10.43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67945</wp:posOffset>
            </wp:positionV>
            <wp:extent cx="3824605" cy="9607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3824605" cy="960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August 9, 2012</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Bill Steckel</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4025 Solitude Court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Westfield, IN 46062</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Bill,</w:t>
      </w:r>
    </w:p>
    <w:p>
      <w:pPr>
        <w:spacing w:after="0" w:line="171" w:lineRule="exact"/>
        <w:rPr>
          <w:sz w:val="20"/>
          <w:szCs w:val="20"/>
          <w:color w:val="auto"/>
        </w:rPr>
      </w:pPr>
    </w:p>
    <w:p>
      <w:pPr>
        <w:ind w:right="720"/>
        <w:spacing w:after="0" w:line="275" w:lineRule="auto"/>
        <w:rPr>
          <w:sz w:val="20"/>
          <w:szCs w:val="20"/>
          <w:color w:val="auto"/>
        </w:rPr>
      </w:pPr>
      <w:r>
        <w:rPr>
          <w:rFonts w:ascii="Times New Roman" w:cs="Times New Roman" w:eastAsia="Times New Roman" w:hAnsi="Times New Roman"/>
          <w:sz w:val="18"/>
          <w:szCs w:val="18"/>
          <w:color w:val="auto"/>
        </w:rPr>
        <w:t>This letter confirms our recent discussions regarding your employment with Great Lakes Dredge &amp; Dock Company, LLC (GLDD). Listed below are the particular terms of this offer:</w:t>
      </w:r>
    </w:p>
    <w:p>
      <w:pPr>
        <w:sectPr>
          <w:pgSz w:w="11900" w:h="16838" w:orient="portrait"/>
          <w:cols w:equalWidth="0" w:num="1">
            <w:col w:w="11420"/>
          </w:cols>
          <w:pgMar w:left="240" w:top="123" w:right="239" w:bottom="1440" w:gutter="0" w:footer="0" w:header="0"/>
        </w:sectPr>
      </w:pP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Position:</w:t>
      </w:r>
    </w:p>
    <w:p>
      <w:pPr>
        <w:spacing w:after="0" w:line="20" w:lineRule="exact"/>
        <w:rPr>
          <w:sz w:val="20"/>
          <w:szCs w:val="20"/>
          <w:color w:val="auto"/>
        </w:rPr>
      </w:pPr>
      <w:r>
        <w:rPr>
          <w:sz w:val="20"/>
          <w:szCs w:val="20"/>
          <w:color w:val="auto"/>
        </w:rPr>
        <w:br w:type="column"/>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Senior Vice President &amp; Chief Financial Officer</w:t>
      </w:r>
    </w:p>
    <w:p>
      <w:pPr>
        <w:spacing w:after="0" w:line="138" w:lineRule="exact"/>
        <w:rPr>
          <w:sz w:val="20"/>
          <w:szCs w:val="20"/>
          <w:color w:val="auto"/>
        </w:rPr>
      </w:pPr>
    </w:p>
    <w:p>
      <w:pPr>
        <w:sectPr>
          <w:pgSz w:w="11900" w:h="16838" w:orient="portrait"/>
          <w:cols w:equalWidth="0" w:num="2">
            <w:col w:w="1580" w:space="720"/>
            <w:col w:w="9120"/>
          </w:cols>
          <w:pgMar w:left="240" w:top="123" w:right="239" w:bottom="1440" w:gutter="0" w:footer="0" w:header="0"/>
          <w:type w:val="continuous"/>
        </w:sectPr>
      </w:pPr>
    </w:p>
    <w:p>
      <w:pPr>
        <w:spacing w:after="0"/>
        <w:rPr>
          <w:sz w:val="20"/>
          <w:szCs w:val="20"/>
          <w:color w:val="auto"/>
        </w:rPr>
      </w:pPr>
      <w:r>
        <w:rPr>
          <w:rFonts w:ascii="Times New Roman" w:cs="Times New Roman" w:eastAsia="Times New Roman" w:hAnsi="Times New Roman"/>
          <w:sz w:val="16"/>
          <w:szCs w:val="16"/>
          <w:b w:val="1"/>
          <w:bCs w:val="1"/>
          <w:color w:val="auto"/>
        </w:rPr>
        <w:t>Report 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6"/>
          <w:szCs w:val="16"/>
          <w:color w:val="auto"/>
        </w:rPr>
        <w:t>Bruce Biemeck – President and COO through December 31, 2012 Jon Berger – CEO, effective January 1, 2013</w:t>
      </w:r>
    </w:p>
    <w:p>
      <w:pPr>
        <w:spacing w:after="0" w:line="138" w:lineRule="exact"/>
        <w:rPr>
          <w:sz w:val="20"/>
          <w:szCs w:val="20"/>
          <w:color w:val="auto"/>
        </w:rPr>
      </w:pPr>
    </w:p>
    <w:p>
      <w:pPr>
        <w:sectPr>
          <w:pgSz w:w="11900" w:h="16838" w:orient="portrait"/>
          <w:cols w:equalWidth="0" w:num="2">
            <w:col w:w="1580" w:space="720"/>
            <w:col w:w="9120"/>
          </w:cols>
          <w:pgMar w:left="240" w:top="123" w:right="239" w:bottom="1440" w:gutter="0" w:footer="0" w:header="0"/>
          <w:type w:val="continuous"/>
        </w:sectPr>
      </w:pPr>
    </w:p>
    <w:p>
      <w:pPr>
        <w:spacing w:after="0"/>
        <w:rPr>
          <w:sz w:val="20"/>
          <w:szCs w:val="20"/>
          <w:color w:val="auto"/>
        </w:rPr>
      </w:pPr>
      <w:r>
        <w:rPr>
          <w:rFonts w:ascii="Times New Roman" w:cs="Times New Roman" w:eastAsia="Times New Roman" w:hAnsi="Times New Roman"/>
          <w:sz w:val="16"/>
          <w:szCs w:val="16"/>
          <w:b w:val="1"/>
          <w:bCs w:val="1"/>
          <w:color w:val="auto"/>
        </w:rPr>
        <w:t>Start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6"/>
          <w:szCs w:val="16"/>
          <w:color w:val="auto"/>
        </w:rPr>
        <w:t>To be determined</w:t>
      </w:r>
    </w:p>
    <w:p>
      <w:pPr>
        <w:spacing w:after="0" w:line="138" w:lineRule="exact"/>
        <w:rPr>
          <w:sz w:val="20"/>
          <w:szCs w:val="20"/>
          <w:color w:val="auto"/>
        </w:rPr>
      </w:pPr>
    </w:p>
    <w:p>
      <w:pPr>
        <w:sectPr>
          <w:pgSz w:w="11900" w:h="16838" w:orient="portrait"/>
          <w:cols w:equalWidth="0" w:num="2">
            <w:col w:w="1580" w:space="720"/>
            <w:col w:w="9120"/>
          </w:cols>
          <w:pgMar w:left="240" w:top="123" w:right="239" w:bottom="1440" w:gutter="0" w:footer="0" w:header="0"/>
          <w:type w:val="continuous"/>
        </w:sectPr>
      </w:pPr>
    </w:p>
    <w:p>
      <w:pPr>
        <w:spacing w:after="0"/>
        <w:rPr>
          <w:sz w:val="20"/>
          <w:szCs w:val="20"/>
          <w:color w:val="auto"/>
        </w:rPr>
      </w:pPr>
      <w:r>
        <w:rPr>
          <w:rFonts w:ascii="Times New Roman" w:cs="Times New Roman" w:eastAsia="Times New Roman" w:hAnsi="Times New Roman"/>
          <w:sz w:val="16"/>
          <w:szCs w:val="16"/>
          <w:b w:val="1"/>
          <w:bCs w:val="1"/>
          <w:color w:val="auto"/>
        </w:rPr>
        <w:t>Base Salary:</w:t>
      </w:r>
    </w:p>
    <w:p>
      <w:pPr>
        <w:spacing w:after="0" w:line="20" w:lineRule="exact"/>
        <w:rPr>
          <w:sz w:val="20"/>
          <w:szCs w:val="20"/>
          <w:color w:val="auto"/>
        </w:rPr>
      </w:pPr>
      <w:r>
        <w:rPr>
          <w:sz w:val="20"/>
          <w:szCs w:val="20"/>
          <w:color w:val="auto"/>
        </w:rPr>
        <w:br w:type="column"/>
      </w:r>
    </w:p>
    <w:p>
      <w:pPr>
        <w:ind w:right="320"/>
        <w:spacing w:after="0" w:line="275" w:lineRule="auto"/>
        <w:rPr>
          <w:sz w:val="20"/>
          <w:szCs w:val="20"/>
          <w:color w:val="auto"/>
        </w:rPr>
      </w:pPr>
      <w:r>
        <w:rPr>
          <w:rFonts w:ascii="Times New Roman" w:cs="Times New Roman" w:eastAsia="Times New Roman" w:hAnsi="Times New Roman"/>
          <w:sz w:val="18"/>
          <w:szCs w:val="18"/>
          <w:color w:val="auto"/>
        </w:rPr>
        <w:t>Great Lakes Dredge and Dock Company will pay you an annual salary of $300,000 to be paid on GLDD’s regular paydays in accordance with its practices regarding payment of personnel.</w:t>
      </w:r>
    </w:p>
    <w:p>
      <w:pPr>
        <w:spacing w:after="0" w:line="64" w:lineRule="exact"/>
        <w:rPr>
          <w:sz w:val="20"/>
          <w:szCs w:val="20"/>
          <w:color w:val="auto"/>
        </w:rPr>
      </w:pPr>
    </w:p>
    <w:p>
      <w:pPr>
        <w:sectPr>
          <w:pgSz w:w="11900" w:h="16838" w:orient="portrait"/>
          <w:cols w:equalWidth="0" w:num="2">
            <w:col w:w="1580" w:space="720"/>
            <w:col w:w="9120"/>
          </w:cols>
          <w:pgMar w:left="240" w:top="123" w:right="239" w:bottom="1440" w:gutter="0" w:footer="0" w:header="0"/>
          <w:type w:val="continuous"/>
        </w:sectPr>
      </w:pPr>
    </w:p>
    <w:p>
      <w:pPr>
        <w:spacing w:after="0"/>
        <w:rPr>
          <w:sz w:val="20"/>
          <w:szCs w:val="20"/>
          <w:color w:val="auto"/>
        </w:rPr>
      </w:pPr>
      <w:r>
        <w:rPr>
          <w:rFonts w:ascii="Times New Roman" w:cs="Times New Roman" w:eastAsia="Times New Roman" w:hAnsi="Times New Roman"/>
          <w:sz w:val="16"/>
          <w:szCs w:val="16"/>
          <w:b w:val="1"/>
          <w:bCs w:val="1"/>
          <w:color w:val="auto"/>
        </w:rPr>
        <w:t>Cash Bonus:</w:t>
      </w:r>
    </w:p>
    <w:p>
      <w:pPr>
        <w:spacing w:after="0" w:line="20" w:lineRule="exact"/>
        <w:rPr>
          <w:sz w:val="20"/>
          <w:szCs w:val="20"/>
          <w:color w:val="auto"/>
        </w:rPr>
      </w:pPr>
      <w:r>
        <w:rPr>
          <w:sz w:val="20"/>
          <w:szCs w:val="20"/>
          <w:color w:val="auto"/>
        </w:rPr>
        <w:br w:type="column"/>
      </w:r>
    </w:p>
    <w:p>
      <w:pPr>
        <w:ind w:right="80"/>
        <w:spacing w:after="0" w:line="258" w:lineRule="auto"/>
        <w:rPr>
          <w:sz w:val="20"/>
          <w:szCs w:val="20"/>
          <w:color w:val="auto"/>
        </w:rPr>
      </w:pPr>
      <w:r>
        <w:rPr>
          <w:rFonts w:ascii="Times New Roman" w:cs="Times New Roman" w:eastAsia="Times New Roman" w:hAnsi="Times New Roman"/>
          <w:sz w:val="18"/>
          <w:szCs w:val="18"/>
          <w:color w:val="auto"/>
        </w:rPr>
        <w:t>You are eligible to participate in the Annual Cash Bonus Plan or similar or successor plans as the Company may establish. Your target bonus is 40% of your base salary based upon a full year’s participation. Bonuses are determined based on company performance and individual performance, and are at management’s discretion. Bonuses are paid in March of the subsequent year. The earned bonus for 2012 will be prorated.</w:t>
      </w:r>
    </w:p>
    <w:p>
      <w:pPr>
        <w:spacing w:after="0" w:line="80" w:lineRule="exact"/>
        <w:rPr>
          <w:sz w:val="20"/>
          <w:szCs w:val="20"/>
          <w:color w:val="auto"/>
        </w:rPr>
      </w:pPr>
    </w:p>
    <w:p>
      <w:pPr>
        <w:sectPr>
          <w:pgSz w:w="11900" w:h="16838" w:orient="portrait"/>
          <w:cols w:equalWidth="0" w:num="2">
            <w:col w:w="1580" w:space="720"/>
            <w:col w:w="9120"/>
          </w:cols>
          <w:pgMar w:left="240" w:top="123" w:right="239" w:bottom="1440" w:gutter="0" w:footer="0" w:header="0"/>
          <w:type w:val="continuous"/>
        </w:sectPr>
      </w:pPr>
    </w:p>
    <w:p>
      <w:pPr>
        <w:spacing w:after="0"/>
        <w:rPr>
          <w:sz w:val="20"/>
          <w:szCs w:val="20"/>
          <w:color w:val="auto"/>
        </w:rPr>
      </w:pPr>
      <w:r>
        <w:rPr>
          <w:rFonts w:ascii="Times New Roman" w:cs="Times New Roman" w:eastAsia="Times New Roman" w:hAnsi="Times New Roman"/>
          <w:sz w:val="16"/>
          <w:szCs w:val="16"/>
          <w:b w:val="1"/>
          <w:bCs w:val="1"/>
          <w:color w:val="auto"/>
        </w:rPr>
        <w:t>Equity:</w:t>
      </w:r>
    </w:p>
    <w:p>
      <w:pPr>
        <w:spacing w:after="0" w:line="20" w:lineRule="exact"/>
        <w:rPr>
          <w:sz w:val="20"/>
          <w:szCs w:val="20"/>
          <w:color w:val="auto"/>
        </w:rPr>
      </w:pPr>
      <w:r>
        <w:rPr>
          <w:sz w:val="20"/>
          <w:szCs w:val="20"/>
          <w:color w:val="auto"/>
        </w:rPr>
        <w:br w:type="column"/>
      </w:r>
    </w:p>
    <w:p>
      <w:pPr>
        <w:jc w:val="both"/>
        <w:ind w:right="60"/>
        <w:spacing w:after="0" w:line="262" w:lineRule="auto"/>
        <w:rPr>
          <w:sz w:val="20"/>
          <w:szCs w:val="20"/>
          <w:color w:val="auto"/>
        </w:rPr>
      </w:pPr>
      <w:r>
        <w:rPr>
          <w:rFonts w:ascii="Times New Roman" w:cs="Times New Roman" w:eastAsia="Times New Roman" w:hAnsi="Times New Roman"/>
          <w:sz w:val="18"/>
          <w:szCs w:val="18"/>
          <w:color w:val="auto"/>
        </w:rPr>
        <w:t>You are eligible to participate in any equity based compensation plans established or maintained by the company per the terms of the plan then in effect including the Company’s 2007 Long-Term Incentive Plan and any successor thereto. The value of granted equity awards is targeted at 40% of your base salary.</w:t>
      </w:r>
    </w:p>
    <w:p>
      <w:pPr>
        <w:spacing w:after="0" w:line="76" w:lineRule="exact"/>
        <w:rPr>
          <w:sz w:val="20"/>
          <w:szCs w:val="20"/>
          <w:color w:val="auto"/>
        </w:rPr>
      </w:pPr>
    </w:p>
    <w:p>
      <w:pPr>
        <w:sectPr>
          <w:pgSz w:w="11900" w:h="16838" w:orient="portrait"/>
          <w:cols w:equalWidth="0" w:num="2">
            <w:col w:w="1580" w:space="720"/>
            <w:col w:w="9120"/>
          </w:cols>
          <w:pgMar w:left="240" w:top="123" w:right="239" w:bottom="1440" w:gutter="0" w:footer="0" w:header="0"/>
          <w:type w:val="continuous"/>
        </w:sectPr>
      </w:pPr>
    </w:p>
    <w:p>
      <w:pPr>
        <w:spacing w:after="0"/>
        <w:rPr>
          <w:sz w:val="20"/>
          <w:szCs w:val="20"/>
          <w:color w:val="auto"/>
        </w:rPr>
      </w:pPr>
      <w:r>
        <w:rPr>
          <w:rFonts w:ascii="Times New Roman" w:cs="Times New Roman" w:eastAsia="Times New Roman" w:hAnsi="Times New Roman"/>
          <w:sz w:val="16"/>
          <w:szCs w:val="16"/>
          <w:b w:val="1"/>
          <w:bCs w:val="1"/>
          <w:color w:val="auto"/>
        </w:rPr>
        <w:t>Performance Reviews:</w:t>
      </w:r>
    </w:p>
    <w:p>
      <w:pPr>
        <w:spacing w:after="0" w:line="20" w:lineRule="exact"/>
        <w:rPr>
          <w:sz w:val="20"/>
          <w:szCs w:val="20"/>
          <w:color w:val="auto"/>
        </w:rPr>
      </w:pPr>
      <w:r>
        <w:rPr>
          <w:sz w:val="20"/>
          <w:szCs w:val="20"/>
          <w:color w:val="auto"/>
        </w:rPr>
        <w:br w:type="column"/>
      </w:r>
    </w:p>
    <w:p>
      <w:pPr>
        <w:ind w:right="160"/>
        <w:spacing w:after="0" w:line="339" w:lineRule="auto"/>
        <w:rPr>
          <w:sz w:val="20"/>
          <w:szCs w:val="20"/>
          <w:color w:val="auto"/>
        </w:rPr>
      </w:pPr>
      <w:r>
        <w:rPr>
          <w:rFonts w:ascii="Times New Roman" w:cs="Times New Roman" w:eastAsia="Times New Roman" w:hAnsi="Times New Roman"/>
          <w:sz w:val="16"/>
          <w:szCs w:val="16"/>
          <w:color w:val="auto"/>
        </w:rPr>
        <w:t>A personal performance and salary review will be completed near the end of each year. Salary increases resulting from these processes are largely based on your yearly Personal Performance Review and the company’s overall performance / profitability.</w:t>
      </w:r>
    </w:p>
    <w:p>
      <w:pPr>
        <w:spacing w:after="0" w:line="18" w:lineRule="exact"/>
        <w:rPr>
          <w:sz w:val="20"/>
          <w:szCs w:val="20"/>
          <w:color w:val="auto"/>
        </w:rPr>
      </w:pPr>
    </w:p>
    <w:p>
      <w:pPr>
        <w:sectPr>
          <w:pgSz w:w="11900" w:h="16838" w:orient="portrait"/>
          <w:cols w:equalWidth="0" w:num="2">
            <w:col w:w="1700" w:space="600"/>
            <w:col w:w="9120"/>
          </w:cols>
          <w:pgMar w:left="240" w:top="123" w:right="239" w:bottom="1440" w:gutter="0" w:footer="0" w:header="0"/>
          <w:type w:val="continuous"/>
        </w:sectPr>
      </w:pPr>
    </w:p>
    <w:p>
      <w:pPr>
        <w:spacing w:after="0"/>
        <w:rPr>
          <w:sz w:val="20"/>
          <w:szCs w:val="20"/>
          <w:color w:val="auto"/>
        </w:rPr>
      </w:pPr>
      <w:r>
        <w:rPr>
          <w:rFonts w:ascii="Times New Roman" w:cs="Times New Roman" w:eastAsia="Times New Roman" w:hAnsi="Times New Roman"/>
          <w:sz w:val="16"/>
          <w:szCs w:val="16"/>
          <w:b w:val="1"/>
          <w:bCs w:val="1"/>
          <w:color w:val="auto"/>
        </w:rPr>
        <w:t>Relocation: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6"/>
          <w:szCs w:val="16"/>
          <w:color w:val="auto"/>
        </w:rPr>
        <w:t>The following relocation assistance will be provided:</w:t>
      </w:r>
    </w:p>
    <w:p>
      <w:pPr>
        <w:spacing w:after="0" w:line="140" w:lineRule="exact"/>
        <w:rPr>
          <w:sz w:val="20"/>
          <w:szCs w:val="20"/>
          <w:color w:val="auto"/>
        </w:rPr>
      </w:pPr>
    </w:p>
    <w:p>
      <w:pPr>
        <w:sectPr>
          <w:pgSz w:w="11900" w:h="16838" w:orient="portrait"/>
          <w:cols w:equalWidth="0" w:num="2">
            <w:col w:w="1580" w:space="720"/>
            <w:col w:w="9120"/>
          </w:cols>
          <w:pgMar w:left="240" w:top="123" w:right="239" w:bottom="1440" w:gutter="0" w:footer="0" w:header="0"/>
          <w:type w:val="continuous"/>
        </w:sectPr>
      </w:pPr>
    </w:p>
    <w:p>
      <w:pPr>
        <w:ind w:left="2740" w:hanging="233"/>
        <w:spacing w:after="0"/>
        <w:tabs>
          <w:tab w:leader="none" w:pos="274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Reasonable house hunting trips with spouse.</w:t>
      </w:r>
    </w:p>
    <w:p>
      <w:pPr>
        <w:spacing w:after="0" w:line="117" w:lineRule="exact"/>
        <w:rPr>
          <w:rFonts w:ascii="Times New Roman" w:cs="Times New Roman" w:eastAsia="Times New Roman" w:hAnsi="Times New Roman"/>
          <w:sz w:val="18"/>
          <w:szCs w:val="18"/>
          <w:color w:val="auto"/>
        </w:rPr>
      </w:pPr>
    </w:p>
    <w:p>
      <w:pPr>
        <w:ind w:left="2720" w:right="20" w:hanging="213"/>
        <w:spacing w:after="0" w:line="262" w:lineRule="auto"/>
        <w:tabs>
          <w:tab w:leader="none" w:pos="2741"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Reimbursement of reasonable and customary legal and closing costs incurred in the sale of your present home and the purchase of a new home. The company will not pay for loan origination fees, points or up front costs which are viewed as a mechanism to secure below market financing.</w:t>
      </w:r>
    </w:p>
    <w:p>
      <w:pPr>
        <w:sectPr>
          <w:pgSz w:w="11900" w:h="16838" w:orient="portrait"/>
          <w:cols w:equalWidth="0" w:num="1">
            <w:col w:w="11420"/>
          </w:cols>
          <w:pgMar w:left="240" w:top="123" w:right="239" w:bottom="1440" w:gutter="0" w:footer="0" w:header="0"/>
          <w:type w:val="continuous"/>
        </w:sectPr>
      </w:pPr>
    </w:p>
    <w:bookmarkStart w:id="158" w:name="page159"/>
    <w:bookmarkEnd w:id="158"/>
    <w:p>
      <w:pPr>
        <w:ind w:left="2500"/>
        <w:spacing w:after="0"/>
        <w:tabs>
          <w:tab w:leader="none" w:pos="272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sz w:val="20"/>
          <w:szCs w:val="20"/>
          <w:color w:val="auto"/>
        </w:rPr>
        <w:tab/>
      </w:r>
      <w:r>
        <w:rPr>
          <w:rFonts w:ascii="Times New Roman" w:cs="Times New Roman" w:eastAsia="Times New Roman" w:hAnsi="Times New Roman"/>
          <w:sz w:val="16"/>
          <w:szCs w:val="16"/>
          <w:color w:val="auto"/>
        </w:rPr>
        <w:t>Normal commission fees of an established realtor used for the sale of your house.</w:t>
      </w:r>
    </w:p>
    <w:p>
      <w:pPr>
        <w:spacing w:after="0" w:line="117" w:lineRule="exact"/>
        <w:rPr>
          <w:sz w:val="20"/>
          <w:szCs w:val="20"/>
          <w:color w:val="auto"/>
        </w:rPr>
      </w:pPr>
    </w:p>
    <w:p>
      <w:pPr>
        <w:ind w:left="2500"/>
        <w:spacing w:after="0"/>
        <w:tabs>
          <w:tab w:leader="none" w:pos="272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6"/>
          <w:szCs w:val="16"/>
          <w:color w:val="auto"/>
        </w:rPr>
        <w:t>Household goods shipment.</w:t>
      </w:r>
    </w:p>
    <w:p>
      <w:pPr>
        <w:spacing w:after="0" w:line="117" w:lineRule="exact"/>
        <w:rPr>
          <w:sz w:val="20"/>
          <w:szCs w:val="20"/>
          <w:color w:val="auto"/>
        </w:rPr>
      </w:pPr>
    </w:p>
    <w:p>
      <w:pPr>
        <w:ind w:left="2500"/>
        <w:spacing w:after="0"/>
        <w:tabs>
          <w:tab w:leader="none" w:pos="272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6"/>
          <w:szCs w:val="16"/>
          <w:color w:val="auto"/>
        </w:rPr>
        <w:t>Tax assistance (gross up for reimbursed expenses subject to income tax).</w:t>
      </w:r>
    </w:p>
    <w:p>
      <w:pPr>
        <w:spacing w:after="0" w:line="117" w:lineRule="exact"/>
        <w:rPr>
          <w:sz w:val="20"/>
          <w:szCs w:val="20"/>
          <w:color w:val="auto"/>
        </w:rPr>
      </w:pPr>
    </w:p>
    <w:p>
      <w:pPr>
        <w:ind w:left="2500"/>
        <w:spacing w:after="0"/>
        <w:tabs>
          <w:tab w:leader="none" w:pos="272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6"/>
          <w:szCs w:val="16"/>
          <w:color w:val="auto"/>
        </w:rPr>
        <w:t>Temporary living expenses as approved in advance by the President.</w:t>
      </w:r>
    </w:p>
    <w:p>
      <w:pPr>
        <w:spacing w:after="0" w:line="117" w:lineRule="exact"/>
        <w:rPr>
          <w:sz w:val="20"/>
          <w:szCs w:val="20"/>
          <w:color w:val="auto"/>
        </w:rPr>
      </w:pPr>
    </w:p>
    <w:p>
      <w:pPr>
        <w:ind w:left="2500"/>
        <w:spacing w:after="0"/>
        <w:tabs>
          <w:tab w:leader="none" w:pos="272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6"/>
          <w:szCs w:val="16"/>
          <w:color w:val="auto"/>
        </w:rPr>
        <w:t>One month salary for incidental moving expenses.</w:t>
      </w:r>
    </w:p>
    <w:p>
      <w:pPr>
        <w:sectPr>
          <w:pgSz w:w="11900" w:h="16838" w:orient="portrait"/>
          <w:cols w:equalWidth="0" w:num="1">
            <w:col w:w="11420"/>
          </w:cols>
          <w:pgMar w:left="240" w:top="382" w:right="239" w:bottom="1440" w:gutter="0" w:footer="0" w:header="0"/>
        </w:sectPr>
      </w:pP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Benefits:</w:t>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18"/>
          <w:szCs w:val="18"/>
          <w:color w:val="auto"/>
        </w:rPr>
        <w:t>Effective on the first day of your employment, you will be eligible to participate in our Cigna OAP medical &amp; dental plan. You will also have the opportunity to participate in the GLDD 401(k) plan that matches your contributions dollar for dollar up to 6% of your salary, as well as a profit sharing plan. The profit sharing award can range from 0 to 10% of base salary dependent upon the company’s performance and profitability throughout the calendar year and is deposited into your 401(k) account. The profit sharing payout has been at or exceeded 7% the last five years. The profit sharing portion of the plan has a three year vesting schedule. Please see the attached document for a summary of our benefits. Should you have any questions about our benefits please feel free to contact Maureen Kinn, Benefits &amp; Payroll Manager, at 630-574-3454.</w:t>
      </w:r>
    </w:p>
    <w:p>
      <w:pPr>
        <w:spacing w:after="0" w:line="85" w:lineRule="exact"/>
        <w:rPr>
          <w:sz w:val="20"/>
          <w:szCs w:val="20"/>
          <w:color w:val="auto"/>
        </w:rPr>
      </w:pPr>
    </w:p>
    <w:p>
      <w:pPr>
        <w:sectPr>
          <w:pgSz w:w="11900" w:h="16838" w:orient="portrait"/>
          <w:cols w:equalWidth="0" w:num="2">
            <w:col w:w="1580" w:space="720"/>
            <w:col w:w="9120"/>
          </w:cols>
          <w:pgMar w:left="240" w:top="382" w:right="239" w:bottom="1440" w:gutter="0" w:footer="0" w:header="0"/>
          <w:type w:val="continuous"/>
        </w:sectPr>
      </w:pPr>
    </w:p>
    <w:p>
      <w:pPr>
        <w:spacing w:after="0"/>
        <w:rPr>
          <w:sz w:val="20"/>
          <w:szCs w:val="20"/>
          <w:color w:val="auto"/>
        </w:rPr>
      </w:pPr>
      <w:r>
        <w:rPr>
          <w:rFonts w:ascii="Times New Roman" w:cs="Times New Roman" w:eastAsia="Times New Roman" w:hAnsi="Times New Roman"/>
          <w:sz w:val="16"/>
          <w:szCs w:val="16"/>
          <w:b w:val="1"/>
          <w:bCs w:val="1"/>
          <w:color w:val="auto"/>
        </w:rPr>
        <w:t>Vacation:</w:t>
      </w:r>
    </w:p>
    <w:p>
      <w:pPr>
        <w:spacing w:after="0" w:line="20" w:lineRule="exact"/>
        <w:rPr>
          <w:sz w:val="20"/>
          <w:szCs w:val="20"/>
          <w:color w:val="auto"/>
        </w:rPr>
      </w:pPr>
      <w:r>
        <w:rPr>
          <w:sz w:val="20"/>
          <w:szCs w:val="20"/>
          <w:color w:val="auto"/>
        </w:rPr>
        <w:br w:type="column"/>
      </w:r>
    </w:p>
    <w:p>
      <w:pPr>
        <w:ind w:right="120"/>
        <w:spacing w:after="0" w:line="275" w:lineRule="auto"/>
        <w:rPr>
          <w:sz w:val="20"/>
          <w:szCs w:val="20"/>
          <w:color w:val="auto"/>
        </w:rPr>
      </w:pPr>
      <w:r>
        <w:rPr>
          <w:rFonts w:ascii="Times New Roman" w:cs="Times New Roman" w:eastAsia="Times New Roman" w:hAnsi="Times New Roman"/>
          <w:sz w:val="18"/>
          <w:szCs w:val="18"/>
          <w:color w:val="auto"/>
        </w:rPr>
        <w:t>You will be eligible for fifteen (15) days of vacation annually. After five years of continuous employment, you will earn twenty-two (22) days of paid vacation per year.</w:t>
      </w:r>
    </w:p>
    <w:p>
      <w:pPr>
        <w:spacing w:after="0" w:line="64" w:lineRule="exact"/>
        <w:rPr>
          <w:sz w:val="20"/>
          <w:szCs w:val="20"/>
          <w:color w:val="auto"/>
        </w:rPr>
      </w:pPr>
    </w:p>
    <w:p>
      <w:pPr>
        <w:sectPr>
          <w:pgSz w:w="11900" w:h="16838" w:orient="portrait"/>
          <w:cols w:equalWidth="0" w:num="2">
            <w:col w:w="1580" w:space="720"/>
            <w:col w:w="9120"/>
          </w:cols>
          <w:pgMar w:left="240" w:top="382" w:right="239" w:bottom="1440" w:gutter="0" w:footer="0" w:header="0"/>
          <w:type w:val="continuous"/>
        </w:sectPr>
      </w:pPr>
    </w:p>
    <w:p>
      <w:pPr>
        <w:spacing w:after="0"/>
        <w:rPr>
          <w:sz w:val="20"/>
          <w:szCs w:val="20"/>
          <w:color w:val="auto"/>
        </w:rPr>
      </w:pPr>
      <w:r>
        <w:rPr>
          <w:rFonts w:ascii="Times New Roman" w:cs="Times New Roman" w:eastAsia="Times New Roman" w:hAnsi="Times New Roman"/>
          <w:sz w:val="16"/>
          <w:szCs w:val="16"/>
          <w:b w:val="1"/>
          <w:bCs w:val="1"/>
          <w:color w:val="auto"/>
        </w:rPr>
        <w:t>Holidays:</w:t>
      </w:r>
    </w:p>
    <w:p>
      <w:pPr>
        <w:spacing w:after="0" w:line="20" w:lineRule="exact"/>
        <w:rPr>
          <w:sz w:val="20"/>
          <w:szCs w:val="20"/>
          <w:color w:val="auto"/>
        </w:rPr>
      </w:pPr>
      <w:r>
        <w:rPr>
          <w:sz w:val="20"/>
          <w:szCs w:val="20"/>
          <w:color w:val="auto"/>
        </w:rPr>
        <w:br w:type="column"/>
      </w:r>
    </w:p>
    <w:p>
      <w:pPr>
        <w:spacing w:after="0" w:line="256" w:lineRule="auto"/>
        <w:rPr>
          <w:sz w:val="20"/>
          <w:szCs w:val="20"/>
          <w:color w:val="auto"/>
        </w:rPr>
      </w:pPr>
      <w:r>
        <w:rPr>
          <w:rFonts w:ascii="Times New Roman" w:cs="Times New Roman" w:eastAsia="Times New Roman" w:hAnsi="Times New Roman"/>
          <w:sz w:val="18"/>
          <w:szCs w:val="18"/>
          <w:color w:val="auto"/>
        </w:rPr>
        <w:t>Great Lakes Dredge and Dock Company recognizes eight (8) holidays. Those holidays are New Year’s Day, Memorial Day, Independence Day, Labor Day, Thanksgiving Day, Day after Thanksgiving, Christmas Eve &amp; Christmas Day. In addition, salaried employees on the payroll on January 1</w:t>
      </w:r>
      <w:r>
        <w:rPr>
          <w:rFonts w:ascii="Times New Roman" w:cs="Times New Roman" w:eastAsia="Times New Roman" w:hAnsi="Times New Roman"/>
          <w:sz w:val="11"/>
          <w:szCs w:val="11"/>
          <w:color w:val="auto"/>
        </w:rPr>
        <w:t>st</w:t>
      </w:r>
      <w:r>
        <w:rPr>
          <w:rFonts w:ascii="Times New Roman" w:cs="Times New Roman" w:eastAsia="Times New Roman" w:hAnsi="Times New Roman"/>
          <w:sz w:val="18"/>
          <w:szCs w:val="18"/>
          <w:color w:val="auto"/>
        </w:rPr>
        <w:t xml:space="preserve"> shall be entitled to Two (2) floating holidays to be taken within the calendar year and subject to the approval of the employee’s supervisor. Salaried employees hired subsequent to January 1</w:t>
      </w:r>
      <w:r>
        <w:rPr>
          <w:rFonts w:ascii="Times New Roman" w:cs="Times New Roman" w:eastAsia="Times New Roman" w:hAnsi="Times New Roman"/>
          <w:sz w:val="11"/>
          <w:szCs w:val="11"/>
          <w:color w:val="auto"/>
        </w:rPr>
        <w:t>st</w:t>
      </w:r>
      <w:r>
        <w:rPr>
          <w:rFonts w:ascii="Times New Roman" w:cs="Times New Roman" w:eastAsia="Times New Roman" w:hAnsi="Times New Roman"/>
          <w:sz w:val="18"/>
          <w:szCs w:val="18"/>
          <w:color w:val="auto"/>
        </w:rPr>
        <w:t xml:space="preserve"> and prior to July 1</w:t>
      </w:r>
      <w:r>
        <w:rPr>
          <w:rFonts w:ascii="Times New Roman" w:cs="Times New Roman" w:eastAsia="Times New Roman" w:hAnsi="Times New Roman"/>
          <w:sz w:val="11"/>
          <w:szCs w:val="11"/>
          <w:color w:val="auto"/>
        </w:rPr>
        <w:t>st</w:t>
      </w:r>
      <w:r>
        <w:rPr>
          <w:rFonts w:ascii="Times New Roman" w:cs="Times New Roman" w:eastAsia="Times New Roman" w:hAnsi="Times New Roman"/>
          <w:sz w:val="18"/>
          <w:szCs w:val="18"/>
          <w:color w:val="auto"/>
        </w:rPr>
        <w:t xml:space="preserve"> shall be entitled to One (1) Floating Holiday.</w:t>
      </w:r>
    </w:p>
    <w:p>
      <w:pPr>
        <w:spacing w:after="0" w:line="83" w:lineRule="exact"/>
        <w:rPr>
          <w:sz w:val="20"/>
          <w:szCs w:val="20"/>
          <w:color w:val="auto"/>
        </w:rPr>
      </w:pPr>
    </w:p>
    <w:p>
      <w:pPr>
        <w:sectPr>
          <w:pgSz w:w="11900" w:h="16838" w:orient="portrait"/>
          <w:cols w:equalWidth="0" w:num="2">
            <w:col w:w="1580" w:space="720"/>
            <w:col w:w="9120"/>
          </w:cols>
          <w:pgMar w:left="240" w:top="382" w:right="239" w:bottom="1440" w:gutter="0" w:footer="0" w:header="0"/>
          <w:type w:val="continuous"/>
        </w:sectPr>
      </w:pPr>
    </w:p>
    <w:p>
      <w:pPr>
        <w:spacing w:after="0"/>
        <w:rPr>
          <w:sz w:val="20"/>
          <w:szCs w:val="20"/>
          <w:color w:val="auto"/>
        </w:rPr>
      </w:pPr>
      <w:r>
        <w:rPr>
          <w:rFonts w:ascii="Times New Roman" w:cs="Times New Roman" w:eastAsia="Times New Roman" w:hAnsi="Times New Roman"/>
          <w:sz w:val="16"/>
          <w:szCs w:val="16"/>
          <w:b w:val="1"/>
          <w:bCs w:val="1"/>
          <w:color w:val="auto"/>
        </w:rPr>
        <w:t>Conditions:</w:t>
      </w:r>
    </w:p>
    <w:p>
      <w:pPr>
        <w:spacing w:after="0" w:line="20" w:lineRule="exact"/>
        <w:rPr>
          <w:sz w:val="20"/>
          <w:szCs w:val="20"/>
          <w:color w:val="auto"/>
        </w:rPr>
      </w:pPr>
      <w:r>
        <w:rPr>
          <w:sz w:val="20"/>
          <w:szCs w:val="20"/>
          <w:color w:val="auto"/>
        </w:rPr>
        <w:br w:type="column"/>
      </w:r>
    </w:p>
    <w:p>
      <w:pPr>
        <w:ind w:right="180"/>
        <w:spacing w:after="0" w:line="301" w:lineRule="auto"/>
        <w:rPr>
          <w:sz w:val="20"/>
          <w:szCs w:val="20"/>
          <w:color w:val="auto"/>
        </w:rPr>
      </w:pPr>
      <w:r>
        <w:rPr>
          <w:rFonts w:ascii="Times New Roman" w:cs="Times New Roman" w:eastAsia="Times New Roman" w:hAnsi="Times New Roman"/>
          <w:sz w:val="16"/>
          <w:szCs w:val="16"/>
          <w:color w:val="auto"/>
        </w:rPr>
        <w:t>This is a pre-employment offer and is contingent on the successful completion of a reference and background check. We must also be able to confirm your eligibility for employment in the US under the Immigration Reform and Control Act. On your first day of employment, please bring appropriate documentation for the completion of the I-9 Form. You must have at least one document from list A or one document from list B and C. Attached is a list of acceptable documents for I-9 purposes.</w:t>
      </w:r>
    </w:p>
    <w:p>
      <w:pPr>
        <w:spacing w:after="0" w:line="103" w:lineRule="exact"/>
        <w:rPr>
          <w:sz w:val="20"/>
          <w:szCs w:val="20"/>
          <w:color w:val="auto"/>
        </w:rPr>
      </w:pPr>
    </w:p>
    <w:p>
      <w:pPr>
        <w:sectPr>
          <w:pgSz w:w="11900" w:h="16838" w:orient="portrait"/>
          <w:cols w:equalWidth="0" w:num="2">
            <w:col w:w="1580" w:space="720"/>
            <w:col w:w="9120"/>
          </w:cols>
          <w:pgMar w:left="240" w:top="382" w:right="239" w:bottom="1440" w:gutter="0" w:footer="0" w:header="0"/>
          <w:type w:val="continuous"/>
        </w:sectPr>
      </w:pPr>
    </w:p>
    <w:p>
      <w:pPr>
        <w:ind w:right="340"/>
        <w:spacing w:after="0" w:line="275" w:lineRule="auto"/>
        <w:rPr>
          <w:sz w:val="20"/>
          <w:szCs w:val="20"/>
          <w:color w:val="auto"/>
        </w:rPr>
      </w:pPr>
      <w:r>
        <w:rPr>
          <w:rFonts w:ascii="Times New Roman" w:cs="Times New Roman" w:eastAsia="Times New Roman" w:hAnsi="Times New Roman"/>
          <w:sz w:val="18"/>
          <w:szCs w:val="18"/>
          <w:color w:val="auto"/>
        </w:rPr>
        <w:t>Please be advised that GLDD is an at-will company and your acceptance of this offer by no means constitutes a contract between GLDD and you. Please also treat this offer as “Company Proprietary”.</w:t>
      </w:r>
    </w:p>
    <w:p>
      <w:pPr>
        <w:sectPr>
          <w:pgSz w:w="11900" w:h="16838" w:orient="portrait"/>
          <w:cols w:equalWidth="0" w:num="1">
            <w:col w:w="11420"/>
          </w:cols>
          <w:pgMar w:left="240" w:top="382" w:right="239" w:bottom="1440" w:gutter="0" w:footer="0" w:header="0"/>
          <w:type w:val="continuous"/>
        </w:sectPr>
      </w:pPr>
    </w:p>
    <w:bookmarkStart w:id="159" w:name="page160"/>
    <w:bookmarkEnd w:id="159"/>
    <w:p>
      <w:pPr>
        <w:ind w:right="40"/>
        <w:spacing w:after="0" w:line="27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We are very excited about you joining the company. I feel confident that you will find your career with Great Lakes Dredge &amp; Dock Company both challenging and rewarding. Should you require any additional information please contact me at (630)574-2948.</w:t>
      </w:r>
    </w:p>
    <w:p>
      <w:pPr>
        <w:spacing w:after="0" w:line="120"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8"/>
          <w:szCs w:val="18"/>
          <w:color w:val="auto"/>
        </w:rPr>
        <w:t>Please confirm receipt of this offer at your earliest convenience. It is requested that you consider this offer carefully and, regardless of your decision, please sign and return a copy of this letter as soon as possible.</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Sincerely,</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Bruce J. Biemeck</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Bruce J. Biemeck</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President and CFO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Great Lakes Dredge and Dock Company, LLC</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0" w:type="dxa"/>
            <w:vAlign w:val="bottom"/>
          </w:tcPr>
          <w:p>
            <w:pPr>
              <w:spacing w:after="0"/>
              <w:rPr>
                <w:sz w:val="13"/>
                <w:szCs w:val="13"/>
                <w:color w:val="auto"/>
              </w:rPr>
            </w:pPr>
          </w:p>
        </w:tc>
        <w:tc>
          <w:tcPr>
            <w:tcW w:w="5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w w:val="93"/>
              </w:rPr>
              <w:t>ACCEPT</w:t>
            </w:r>
          </w:p>
        </w:tc>
        <w:tc>
          <w:tcPr>
            <w:tcW w:w="3660" w:type="dxa"/>
            <w:vAlign w:val="bottom"/>
          </w:tcPr>
          <w:p>
            <w:pPr>
              <w:spacing w:after="0"/>
              <w:rPr>
                <w:sz w:val="13"/>
                <w:szCs w:val="13"/>
                <w:color w:val="auto"/>
              </w:rPr>
            </w:pPr>
          </w:p>
        </w:tc>
        <w:tc>
          <w:tcPr>
            <w:tcW w:w="3540" w:type="dxa"/>
            <w:vAlign w:val="bottom"/>
          </w:tcPr>
          <w:p>
            <w:pPr>
              <w:spacing w:after="0"/>
              <w:rPr>
                <w:sz w:val="13"/>
                <w:szCs w:val="13"/>
                <w:color w:val="auto"/>
              </w:rPr>
            </w:pPr>
          </w:p>
        </w:tc>
        <w:tc>
          <w:tcPr>
            <w:tcW w:w="7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3"/>
              </w:rPr>
              <w:t>DECLINE</w:t>
            </w:r>
          </w:p>
        </w:tc>
      </w:tr>
      <w:tr>
        <w:trPr>
          <w:trHeight w:val="20"/>
        </w:trPr>
        <w:tc>
          <w:tcPr>
            <w:tcW w:w="6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303"/>
        </w:trPr>
        <w:tc>
          <w:tcPr>
            <w:tcW w:w="49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William S. Steckel</w:t>
            </w:r>
          </w:p>
        </w:tc>
        <w:tc>
          <w:tcPr>
            <w:tcW w:w="35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28"/>
        </w:trPr>
        <w:tc>
          <w:tcPr>
            <w:tcW w:w="490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Printed Name</w:t>
            </w:r>
          </w:p>
        </w:tc>
        <w:tc>
          <w:tcPr>
            <w:tcW w:w="4320" w:type="dxa"/>
            <w:vAlign w:val="bottom"/>
            <w:gridSpan w:val="3"/>
          </w:tcPr>
          <w:p>
            <w:pPr>
              <w:jc w:val="center"/>
              <w:ind w:left="3272"/>
              <w:spacing w:after="0"/>
              <w:rPr>
                <w:sz w:val="20"/>
                <w:szCs w:val="20"/>
                <w:color w:val="auto"/>
              </w:rPr>
            </w:pPr>
            <w:r>
              <w:rPr>
                <w:rFonts w:ascii="Times New Roman" w:cs="Times New Roman" w:eastAsia="Times New Roman" w:hAnsi="Times New Roman"/>
                <w:sz w:val="18"/>
                <w:szCs w:val="18"/>
                <w:color w:val="auto"/>
                <w:w w:val="96"/>
              </w:rPr>
              <w:t>Printed Name</w:t>
            </w:r>
          </w:p>
        </w:tc>
      </w:tr>
      <w:tr>
        <w:trPr>
          <w:trHeight w:val="312"/>
        </w:trPr>
        <w:tc>
          <w:tcPr>
            <w:tcW w:w="49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 William S. Steckel</w:t>
            </w:r>
          </w:p>
        </w:tc>
        <w:tc>
          <w:tcPr>
            <w:tcW w:w="35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28"/>
        </w:trPr>
        <w:tc>
          <w:tcPr>
            <w:tcW w:w="490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Signature</w:t>
            </w:r>
          </w:p>
        </w:tc>
        <w:tc>
          <w:tcPr>
            <w:tcW w:w="4320" w:type="dxa"/>
            <w:vAlign w:val="bottom"/>
            <w:gridSpan w:val="3"/>
          </w:tcPr>
          <w:p>
            <w:pPr>
              <w:jc w:val="center"/>
              <w:ind w:left="3272"/>
              <w:spacing w:after="0"/>
              <w:rPr>
                <w:sz w:val="20"/>
                <w:szCs w:val="20"/>
                <w:color w:val="auto"/>
              </w:rPr>
            </w:pPr>
            <w:r>
              <w:rPr>
                <w:rFonts w:ascii="Times New Roman" w:cs="Times New Roman" w:eastAsia="Times New Roman" w:hAnsi="Times New Roman"/>
                <w:sz w:val="18"/>
                <w:szCs w:val="18"/>
                <w:color w:val="auto"/>
                <w:w w:val="98"/>
              </w:rPr>
              <w:t>Signature</w:t>
            </w:r>
          </w:p>
        </w:tc>
      </w:tr>
      <w:tr>
        <w:trPr>
          <w:trHeight w:val="312"/>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8/16/12</w:t>
            </w:r>
          </w:p>
        </w:tc>
        <w:tc>
          <w:tcPr>
            <w:tcW w:w="56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28"/>
        </w:trPr>
        <w:tc>
          <w:tcPr>
            <w:tcW w:w="4900" w:type="dxa"/>
            <w:vAlign w:val="bottom"/>
            <w:gridSpan w:val="3"/>
          </w:tcPr>
          <w:p>
            <w:pPr>
              <w:ind w:left="540"/>
              <w:spacing w:after="0"/>
              <w:rPr>
                <w:sz w:val="20"/>
                <w:szCs w:val="20"/>
                <w:color w:val="auto"/>
              </w:rPr>
            </w:pPr>
            <w:r>
              <w:rPr>
                <w:rFonts w:ascii="Times New Roman" w:cs="Times New Roman" w:eastAsia="Times New Roman" w:hAnsi="Times New Roman"/>
                <w:sz w:val="18"/>
                <w:szCs w:val="18"/>
                <w:color w:val="auto"/>
              </w:rPr>
              <w:t>Date</w:t>
            </w:r>
          </w:p>
        </w:tc>
        <w:tc>
          <w:tcPr>
            <w:tcW w:w="3540" w:type="dxa"/>
            <w:vAlign w:val="bottom"/>
          </w:tcPr>
          <w:p>
            <w:pPr>
              <w:spacing w:after="0"/>
              <w:rPr>
                <w:sz w:val="19"/>
                <w:szCs w:val="19"/>
                <w:color w:val="auto"/>
              </w:rPr>
            </w:pPr>
          </w:p>
        </w:tc>
        <w:tc>
          <w:tcPr>
            <w:tcW w:w="7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4"/>
              </w:rPr>
              <w:t>Date</w:t>
            </w:r>
          </w:p>
        </w:tc>
      </w:tr>
    </w:tbl>
    <w:p>
      <w:pPr>
        <w:sectPr>
          <w:pgSz w:w="11900" w:h="16838" w:orient="portrait"/>
          <w:cols w:equalWidth="0" w:num="1">
            <w:col w:w="11280"/>
          </w:cols>
          <w:pgMar w:left="240" w:top="274" w:right="379" w:bottom="1440" w:gutter="0" w:footer="0" w:header="0"/>
        </w:sectPr>
      </w:pPr>
    </w:p>
    <w:bookmarkStart w:id="160" w:name="page161"/>
    <w:bookmarkEnd w:id="16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8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6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w w:val="94"/>
              </w:rPr>
              <w:t>Exhibit 12.1</w:t>
            </w:r>
          </w:p>
        </w:tc>
        <w:tc>
          <w:tcPr>
            <w:tcW w:w="0" w:type="dxa"/>
            <w:vAlign w:val="bottom"/>
          </w:tcPr>
          <w:p>
            <w:pPr>
              <w:spacing w:after="0"/>
              <w:rPr>
                <w:sz w:val="1"/>
                <w:szCs w:val="1"/>
                <w:color w:val="auto"/>
              </w:rPr>
            </w:pPr>
          </w:p>
        </w:tc>
      </w:tr>
      <w:tr>
        <w:trPr>
          <w:trHeight w:val="366"/>
        </w:trPr>
        <w:tc>
          <w:tcPr>
            <w:tcW w:w="4080" w:type="dxa"/>
            <w:vAlign w:val="bottom"/>
          </w:tcPr>
          <w:p>
            <w:pPr>
              <w:spacing w:after="0"/>
              <w:rPr>
                <w:sz w:val="24"/>
                <w:szCs w:val="24"/>
                <w:color w:val="auto"/>
              </w:rPr>
            </w:pPr>
          </w:p>
        </w:tc>
        <w:tc>
          <w:tcPr>
            <w:tcW w:w="3160" w:type="dxa"/>
            <w:vAlign w:val="bottom"/>
            <w:gridSpan w:val="2"/>
          </w:tcPr>
          <w:p>
            <w:pPr>
              <w:jc w:val="center"/>
              <w:ind w:left="32"/>
              <w:spacing w:after="0"/>
              <w:rPr>
                <w:sz w:val="20"/>
                <w:szCs w:val="20"/>
                <w:color w:val="auto"/>
              </w:rPr>
            </w:pPr>
            <w:r>
              <w:rPr>
                <w:rFonts w:ascii="Times New Roman" w:cs="Times New Roman" w:eastAsia="Times New Roman" w:hAnsi="Times New Roman"/>
                <w:sz w:val="18"/>
                <w:szCs w:val="18"/>
                <w:color w:val="auto"/>
                <w:w w:val="97"/>
              </w:rPr>
              <w:t>Ratio of Earnings to Fixed Charges</w:t>
            </w: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080" w:type="dxa"/>
            <w:vAlign w:val="bottom"/>
          </w:tcPr>
          <w:p>
            <w:pPr>
              <w:spacing w:after="0"/>
              <w:rPr>
                <w:sz w:val="18"/>
                <w:szCs w:val="18"/>
                <w:color w:val="auto"/>
              </w:rPr>
            </w:pPr>
          </w:p>
        </w:tc>
        <w:tc>
          <w:tcPr>
            <w:tcW w:w="3160" w:type="dxa"/>
            <w:vAlign w:val="bottom"/>
            <w:gridSpan w:val="2"/>
          </w:tcPr>
          <w:p>
            <w:pPr>
              <w:jc w:val="center"/>
              <w:ind w:left="12"/>
              <w:spacing w:after="0"/>
              <w:rPr>
                <w:sz w:val="20"/>
                <w:szCs w:val="20"/>
                <w:color w:val="auto"/>
              </w:rPr>
            </w:pPr>
            <w:r>
              <w:rPr>
                <w:rFonts w:ascii="Times New Roman" w:cs="Times New Roman" w:eastAsia="Times New Roman" w:hAnsi="Times New Roman"/>
                <w:sz w:val="18"/>
                <w:szCs w:val="18"/>
                <w:color w:val="auto"/>
                <w:w w:val="97"/>
              </w:rPr>
              <w:t>Great Lakes Dredge &amp; Dock Corporation</w:t>
            </w: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4080" w:type="dxa"/>
            <w:vAlign w:val="bottom"/>
          </w:tcPr>
          <w:p>
            <w:pPr>
              <w:spacing w:after="0"/>
              <w:rPr>
                <w:sz w:val="19"/>
                <w:szCs w:val="19"/>
                <w:color w:val="auto"/>
              </w:rPr>
            </w:pPr>
          </w:p>
        </w:tc>
        <w:tc>
          <w:tcPr>
            <w:tcW w:w="3160" w:type="dxa"/>
            <w:vAlign w:val="bottom"/>
            <w:gridSpan w:val="2"/>
          </w:tcPr>
          <w:p>
            <w:pPr>
              <w:jc w:val="center"/>
              <w:ind w:left="32"/>
              <w:spacing w:after="0"/>
              <w:rPr>
                <w:sz w:val="20"/>
                <w:szCs w:val="20"/>
                <w:color w:val="auto"/>
              </w:rPr>
            </w:pPr>
            <w:r>
              <w:rPr>
                <w:rFonts w:ascii="Times New Roman" w:cs="Times New Roman" w:eastAsia="Times New Roman" w:hAnsi="Times New Roman"/>
                <w:sz w:val="18"/>
                <w:szCs w:val="18"/>
                <w:color w:val="auto"/>
                <w:w w:val="97"/>
              </w:rPr>
              <w:t>(dollars in thousands)</w:t>
            </w:r>
          </w:p>
        </w:tc>
        <w:tc>
          <w:tcPr>
            <w:tcW w:w="4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3"/>
        </w:trPr>
        <w:tc>
          <w:tcPr>
            <w:tcW w:w="408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jc w:val="right"/>
              <w:ind w:right="74"/>
              <w:spacing w:after="0"/>
              <w:rPr>
                <w:sz w:val="20"/>
                <w:szCs w:val="20"/>
                <w:color w:val="auto"/>
              </w:rPr>
            </w:pPr>
            <w:r>
              <w:rPr>
                <w:rFonts w:ascii="Times New Roman" w:cs="Times New Roman" w:eastAsia="Times New Roman" w:hAnsi="Times New Roman"/>
                <w:sz w:val="14"/>
                <w:szCs w:val="14"/>
                <w:b w:val="1"/>
                <w:bCs w:val="1"/>
                <w:color w:val="auto"/>
              </w:rPr>
              <w:t>2008</w:t>
            </w:r>
          </w:p>
        </w:tc>
        <w:tc>
          <w:tcPr>
            <w:tcW w:w="320" w:type="dxa"/>
            <w:vAlign w:val="bottom"/>
          </w:tcPr>
          <w:p>
            <w:pPr>
              <w:spacing w:after="0"/>
              <w:rPr>
                <w:sz w:val="24"/>
                <w:szCs w:val="24"/>
                <w:color w:val="auto"/>
              </w:rPr>
            </w:pPr>
          </w:p>
        </w:tc>
        <w:tc>
          <w:tcPr>
            <w:tcW w:w="580" w:type="dxa"/>
            <w:vAlign w:val="bottom"/>
          </w:tcPr>
          <w:p>
            <w:pPr>
              <w:jc w:val="right"/>
              <w:ind w:right="74"/>
              <w:spacing w:after="0"/>
              <w:rPr>
                <w:sz w:val="20"/>
                <w:szCs w:val="20"/>
                <w:color w:val="auto"/>
              </w:rPr>
            </w:pPr>
            <w:r>
              <w:rPr>
                <w:rFonts w:ascii="Times New Roman" w:cs="Times New Roman" w:eastAsia="Times New Roman" w:hAnsi="Times New Roman"/>
                <w:sz w:val="14"/>
                <w:szCs w:val="14"/>
                <w:b w:val="1"/>
                <w:bCs w:val="1"/>
                <w:color w:val="auto"/>
              </w:rPr>
              <w:t>2009</w:t>
            </w:r>
          </w:p>
        </w:tc>
        <w:tc>
          <w:tcPr>
            <w:tcW w:w="320" w:type="dxa"/>
            <w:vAlign w:val="bottom"/>
          </w:tcPr>
          <w:p>
            <w:pPr>
              <w:spacing w:after="0"/>
              <w:rPr>
                <w:sz w:val="24"/>
                <w:szCs w:val="24"/>
                <w:color w:val="auto"/>
              </w:rPr>
            </w:pPr>
          </w:p>
        </w:tc>
        <w:tc>
          <w:tcPr>
            <w:tcW w:w="580" w:type="dxa"/>
            <w:vAlign w:val="bottom"/>
          </w:tcPr>
          <w:p>
            <w:pPr>
              <w:jc w:val="right"/>
              <w:ind w:right="74"/>
              <w:spacing w:after="0"/>
              <w:rPr>
                <w:sz w:val="20"/>
                <w:szCs w:val="20"/>
                <w:color w:val="auto"/>
              </w:rPr>
            </w:pPr>
            <w:r>
              <w:rPr>
                <w:rFonts w:ascii="Times New Roman" w:cs="Times New Roman" w:eastAsia="Times New Roman" w:hAnsi="Times New Roman"/>
                <w:sz w:val="14"/>
                <w:szCs w:val="14"/>
                <w:b w:val="1"/>
                <w:bCs w:val="1"/>
                <w:color w:val="auto"/>
              </w:rPr>
              <w:t>2010</w:t>
            </w:r>
          </w:p>
        </w:tc>
        <w:tc>
          <w:tcPr>
            <w:tcW w:w="180" w:type="dxa"/>
            <w:vAlign w:val="bottom"/>
          </w:tcPr>
          <w:p>
            <w:pPr>
              <w:spacing w:after="0"/>
              <w:rPr>
                <w:sz w:val="24"/>
                <w:szCs w:val="24"/>
                <w:color w:val="auto"/>
              </w:rPr>
            </w:pPr>
          </w:p>
        </w:tc>
        <w:tc>
          <w:tcPr>
            <w:tcW w:w="720" w:type="dxa"/>
            <w:vAlign w:val="bottom"/>
            <w:gridSpan w:val="2"/>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2011</w:t>
            </w:r>
          </w:p>
        </w:tc>
        <w:tc>
          <w:tcPr>
            <w:tcW w:w="40" w:type="dxa"/>
            <w:vAlign w:val="bottom"/>
          </w:tcPr>
          <w:p>
            <w:pPr>
              <w:spacing w:after="0"/>
              <w:rPr>
                <w:sz w:val="24"/>
                <w:szCs w:val="24"/>
                <w:color w:val="auto"/>
              </w:rPr>
            </w:pPr>
          </w:p>
        </w:tc>
        <w:tc>
          <w:tcPr>
            <w:tcW w:w="860" w:type="dxa"/>
            <w:vAlign w:val="bottom"/>
            <w:gridSpan w:val="2"/>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2012</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40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Pretax income (loss) from continuing operations (1)</w:t>
            </w:r>
          </w:p>
        </w:tc>
        <w:tc>
          <w:tcPr>
            <w:tcW w:w="30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9,126</w:t>
            </w:r>
          </w:p>
        </w:tc>
        <w:tc>
          <w:tcPr>
            <w:tcW w:w="3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$26,102</w:t>
            </w:r>
          </w:p>
        </w:tc>
        <w:tc>
          <w:tcPr>
            <w:tcW w:w="3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$54,888</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$27,201</w:t>
            </w:r>
          </w:p>
        </w:tc>
        <w:tc>
          <w:tcPr>
            <w:tcW w:w="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4"/>
              </w:rPr>
              <w:t>$ (5,535)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Fixed charges</w:t>
            </w:r>
          </w:p>
        </w:tc>
        <w:tc>
          <w:tcPr>
            <w:tcW w:w="3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w w:val="92"/>
              </w:rPr>
              <w:t>24,931</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24,338</w:t>
            </w:r>
          </w:p>
        </w:tc>
        <w:tc>
          <w:tcPr>
            <w:tcW w:w="32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21,079</w:t>
            </w:r>
          </w:p>
        </w:tc>
        <w:tc>
          <w:tcPr>
            <w:tcW w:w="7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29,086</w:t>
            </w:r>
          </w:p>
        </w:tc>
        <w:tc>
          <w:tcPr>
            <w:tcW w:w="9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27,596</w:t>
            </w: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Capitalized Interest</w:t>
            </w:r>
          </w:p>
        </w:tc>
        <w:tc>
          <w:tcPr>
            <w:tcW w:w="3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(259)</w:t>
            </w:r>
          </w:p>
        </w:tc>
        <w:tc>
          <w:tcPr>
            <w:tcW w:w="9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(162)</w:t>
            </w: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(34)</w:t>
            </w: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Distributed income of equity investees</w:t>
            </w:r>
          </w:p>
        </w:tc>
        <w:tc>
          <w:tcPr>
            <w:tcW w:w="30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625</w:t>
            </w:r>
          </w:p>
        </w:tc>
        <w:tc>
          <w:tcPr>
            <w:tcW w:w="32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621</w:t>
            </w:r>
          </w:p>
        </w:tc>
        <w:tc>
          <w:tcPr>
            <w:tcW w:w="320" w:type="dxa"/>
            <w:vAlign w:val="bottom"/>
          </w:tcPr>
          <w:p>
            <w:pPr>
              <w:spacing w:after="0"/>
              <w:rPr>
                <w:sz w:val="19"/>
                <w:szCs w:val="19"/>
                <w:color w:val="auto"/>
              </w:rPr>
            </w:pPr>
          </w:p>
        </w:tc>
        <w:tc>
          <w:tcPr>
            <w:tcW w:w="58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8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spacing w:after="0"/>
              <w:rPr>
                <w:sz w:val="18"/>
                <w:szCs w:val="18"/>
                <w:color w:val="auto"/>
              </w:rPr>
            </w:pPr>
          </w:p>
        </w:tc>
        <w:tc>
          <w:tcPr>
            <w:tcW w:w="3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8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w w:val="92"/>
              </w:rPr>
              <w:t>34,423</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95"/>
              </w:rPr>
              <w:t>$</w:t>
            </w:r>
            <w:r>
              <w:rPr>
                <w:rFonts w:ascii="Times New Roman" w:cs="Times New Roman" w:eastAsia="Times New Roman" w:hAnsi="Times New Roman"/>
                <w:sz w:val="18"/>
                <w:szCs w:val="18"/>
                <w:color w:val="auto"/>
                <w:w w:val="95"/>
              </w:rPr>
              <w:t>50,899</w:t>
            </w:r>
          </w:p>
        </w:tc>
        <w:tc>
          <w:tcPr>
            <w:tcW w:w="3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u w:val="single" w:color="auto"/>
                <w:color w:val="auto"/>
                <w:w w:val="95"/>
              </w:rPr>
              <w:t>$</w:t>
            </w:r>
            <w:r>
              <w:rPr>
                <w:rFonts w:ascii="Times New Roman" w:cs="Times New Roman" w:eastAsia="Times New Roman" w:hAnsi="Times New Roman"/>
                <w:sz w:val="18"/>
                <w:szCs w:val="18"/>
                <w:color w:val="auto"/>
                <w:w w:val="95"/>
              </w:rPr>
              <w:t>75,933</w:t>
            </w:r>
          </w:p>
        </w:tc>
        <w:tc>
          <w:tcPr>
            <w:tcW w:w="7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56,287</w:t>
            </w:r>
          </w:p>
        </w:tc>
        <w:tc>
          <w:tcPr>
            <w:tcW w:w="9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22,061</w:t>
            </w:r>
          </w:p>
        </w:tc>
        <w:tc>
          <w:tcPr>
            <w:tcW w:w="0" w:type="dxa"/>
            <w:vAlign w:val="bottom"/>
          </w:tcPr>
          <w:p>
            <w:pPr>
              <w:spacing w:after="0"/>
              <w:rPr>
                <w:sz w:val="1"/>
                <w:szCs w:val="1"/>
                <w:color w:val="auto"/>
              </w:rPr>
            </w:pPr>
          </w:p>
        </w:tc>
      </w:tr>
      <w:tr>
        <w:trPr>
          <w:trHeight w:val="20"/>
        </w:trPr>
        <w:tc>
          <w:tcPr>
            <w:tcW w:w="40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Fixed charges:</w:t>
            </w:r>
          </w:p>
        </w:tc>
        <w:tc>
          <w:tcPr>
            <w:tcW w:w="30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080" w:type="dxa"/>
            <w:vAlign w:val="bottom"/>
            <w:vMerge w:val="continue"/>
          </w:tcPr>
          <w:p>
            <w:pPr>
              <w:spacing w:after="0"/>
              <w:rPr>
                <w:sz w:val="18"/>
                <w:szCs w:val="18"/>
                <w:color w:val="auto"/>
              </w:rPr>
            </w:pPr>
          </w:p>
        </w:tc>
        <w:tc>
          <w:tcPr>
            <w:tcW w:w="3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 and amortized deferred financing costs</w:t>
            </w:r>
          </w:p>
        </w:tc>
        <w:tc>
          <w:tcPr>
            <w:tcW w:w="3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w w:val="92"/>
              </w:rPr>
              <w:t>17,395</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$16,393</w:t>
            </w:r>
          </w:p>
        </w:tc>
        <w:tc>
          <w:tcPr>
            <w:tcW w:w="3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95"/>
              </w:rPr>
              <w:t>$13,592</w:t>
            </w:r>
          </w:p>
        </w:tc>
        <w:tc>
          <w:tcPr>
            <w:tcW w:w="7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$21,665</w:t>
            </w:r>
          </w:p>
        </w:tc>
        <w:tc>
          <w:tcPr>
            <w:tcW w:w="9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$20,922</w:t>
            </w:r>
          </w:p>
        </w:tc>
        <w:tc>
          <w:tcPr>
            <w:tcW w:w="0" w:type="dxa"/>
            <w:vAlign w:val="bottom"/>
          </w:tcPr>
          <w:p>
            <w:pPr>
              <w:spacing w:after="0"/>
              <w:rPr>
                <w:sz w:val="1"/>
                <w:szCs w:val="1"/>
                <w:color w:val="auto"/>
              </w:rPr>
            </w:pPr>
          </w:p>
        </w:tc>
      </w:tr>
      <w:tr>
        <w:trPr>
          <w:trHeight w:val="216"/>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Estimated interest expense in operating leases</w:t>
            </w:r>
          </w:p>
        </w:tc>
        <w:tc>
          <w:tcPr>
            <w:tcW w:w="3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7,536</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7,945</w:t>
            </w:r>
          </w:p>
        </w:tc>
        <w:tc>
          <w:tcPr>
            <w:tcW w:w="32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7,487</w:t>
            </w:r>
          </w:p>
        </w:tc>
        <w:tc>
          <w:tcPr>
            <w:tcW w:w="7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7,421</w:t>
            </w:r>
          </w:p>
        </w:tc>
        <w:tc>
          <w:tcPr>
            <w:tcW w:w="9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6,674</w:t>
            </w: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Preference security dividend requirements</w:t>
            </w:r>
          </w:p>
        </w:tc>
        <w:tc>
          <w:tcPr>
            <w:tcW w:w="3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Total fixed charges</w:t>
            </w:r>
          </w:p>
        </w:tc>
        <w:tc>
          <w:tcPr>
            <w:tcW w:w="30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u w:val="single" w:color="auto"/>
                <w:color w:val="auto"/>
                <w:w w:val="74"/>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2"/>
              </w:rPr>
              <w:t>24,931</w:t>
            </w:r>
          </w:p>
        </w:tc>
        <w:tc>
          <w:tcPr>
            <w:tcW w:w="32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5"/>
              </w:rPr>
              <w:t>$</w:t>
            </w:r>
            <w:r>
              <w:rPr>
                <w:rFonts w:ascii="Times New Roman" w:cs="Times New Roman" w:eastAsia="Times New Roman" w:hAnsi="Times New Roman"/>
                <w:sz w:val="18"/>
                <w:szCs w:val="18"/>
                <w:color w:val="auto"/>
                <w:w w:val="95"/>
              </w:rPr>
              <w:t>24,338</w:t>
            </w:r>
          </w:p>
        </w:tc>
        <w:tc>
          <w:tcPr>
            <w:tcW w:w="32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5"/>
              </w:rPr>
              <w:t>$</w:t>
            </w:r>
            <w:r>
              <w:rPr>
                <w:rFonts w:ascii="Times New Roman" w:cs="Times New Roman" w:eastAsia="Times New Roman" w:hAnsi="Times New Roman"/>
                <w:sz w:val="18"/>
                <w:szCs w:val="18"/>
                <w:color w:val="auto"/>
                <w:w w:val="95"/>
              </w:rPr>
              <w:t>21,079</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5"/>
              </w:rPr>
              <w:t>$</w:t>
            </w:r>
            <w:r>
              <w:rPr>
                <w:rFonts w:ascii="Times New Roman" w:cs="Times New Roman" w:eastAsia="Times New Roman" w:hAnsi="Times New Roman"/>
                <w:sz w:val="18"/>
                <w:szCs w:val="18"/>
                <w:color w:val="auto"/>
                <w:w w:val="95"/>
              </w:rPr>
              <w:t>29,086</w:t>
            </w: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5"/>
              </w:rPr>
              <w:t>$</w:t>
            </w:r>
            <w:r>
              <w:rPr>
                <w:rFonts w:ascii="Times New Roman" w:cs="Times New Roman" w:eastAsia="Times New Roman" w:hAnsi="Times New Roman"/>
                <w:sz w:val="18"/>
                <w:szCs w:val="18"/>
                <w:color w:val="auto"/>
                <w:w w:val="95"/>
              </w:rPr>
              <w:t>27,596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Ratio of earnings to fixed charges</w:t>
            </w:r>
          </w:p>
        </w:tc>
        <w:tc>
          <w:tcPr>
            <w:tcW w:w="3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1.4</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3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3.6</w:t>
            </w:r>
          </w:p>
        </w:tc>
        <w:tc>
          <w:tcPr>
            <w:tcW w:w="7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1.9</w:t>
            </w:r>
          </w:p>
        </w:tc>
        <w:tc>
          <w:tcPr>
            <w:tcW w:w="9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0.8</w:t>
            </w: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460" w:hanging="452"/>
        <w:spacing w:after="0"/>
        <w:tabs>
          <w:tab w:leader="none" w:pos="46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Before adjustment for noncontrolling interests in consolidated subsidiaries and income (loss) from equity investees.</w:t>
      </w:r>
    </w:p>
    <w:p>
      <w:pPr>
        <w:sectPr>
          <w:pgSz w:w="11900" w:h="16838" w:orient="portrait"/>
          <w:cols w:equalWidth="0" w:num="1">
            <w:col w:w="11420"/>
          </w:cols>
          <w:pgMar w:left="240" w:top="123" w:right="239" w:bottom="1440" w:gutter="0" w:footer="0" w:header="0"/>
        </w:sectPr>
      </w:pPr>
    </w:p>
    <w:bookmarkStart w:id="161" w:name="page162"/>
    <w:bookmarkEnd w:id="161"/>
    <w:tbl>
      <w:tblPr>
        <w:tblLayout w:type="fixed"/>
        <w:tblInd w:w="0" w:type="dxa"/>
        <w:tblCellMar>
          <w:top w:w="0" w:type="dxa"/>
          <w:left w:w="0" w:type="dxa"/>
          <w:bottom w:w="0" w:type="dxa"/>
          <w:right w:w="0" w:type="dxa"/>
        </w:tblCellMar>
      </w:tblPr>
      <w:tr>
        <w:trPr>
          <w:trHeight w:val="230"/>
        </w:trPr>
        <w:tc>
          <w:tcPr>
            <w:tcW w:w="38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5980" w:type="dxa"/>
            <w:vAlign w:val="bottom"/>
          </w:tcPr>
          <w:p>
            <w:pPr>
              <w:spacing w:after="0"/>
              <w:rPr>
                <w:sz w:val="20"/>
                <w:szCs w:val="20"/>
                <w:color w:val="auto"/>
              </w:rPr>
            </w:pPr>
          </w:p>
        </w:tc>
        <w:tc>
          <w:tcPr>
            <w:tcW w:w="1640" w:type="dxa"/>
            <w:vAlign w:val="bottom"/>
            <w:gridSpan w:val="2"/>
          </w:tcPr>
          <w:p>
            <w:pPr>
              <w:ind w:left="740"/>
              <w:spacing w:after="0"/>
              <w:rPr>
                <w:sz w:val="20"/>
                <w:szCs w:val="20"/>
                <w:color w:val="auto"/>
              </w:rPr>
            </w:pPr>
            <w:r>
              <w:rPr>
                <w:rFonts w:ascii="Times New Roman" w:cs="Times New Roman" w:eastAsia="Times New Roman" w:hAnsi="Times New Roman"/>
                <w:sz w:val="18"/>
                <w:szCs w:val="18"/>
                <w:b w:val="1"/>
                <w:bCs w:val="1"/>
                <w:color w:val="auto"/>
                <w:w w:val="94"/>
              </w:rPr>
              <w:t>Exhibit 21.1</w:t>
            </w:r>
          </w:p>
        </w:tc>
      </w:tr>
      <w:tr>
        <w:trPr>
          <w:trHeight w:val="378"/>
        </w:trPr>
        <w:tc>
          <w:tcPr>
            <w:tcW w:w="38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7620" w:type="dxa"/>
            <w:vAlign w:val="bottom"/>
            <w:gridSpan w:val="3"/>
          </w:tcPr>
          <w:p>
            <w:pPr>
              <w:ind w:left="340"/>
              <w:spacing w:after="0"/>
              <w:rPr>
                <w:sz w:val="20"/>
                <w:szCs w:val="20"/>
                <w:color w:val="auto"/>
              </w:rPr>
            </w:pPr>
            <w:r>
              <w:rPr>
                <w:rFonts w:ascii="Times New Roman" w:cs="Times New Roman" w:eastAsia="Times New Roman" w:hAnsi="Times New Roman"/>
                <w:sz w:val="18"/>
                <w:szCs w:val="18"/>
                <w:b w:val="1"/>
                <w:bCs w:val="1"/>
                <w:color w:val="auto"/>
              </w:rPr>
              <w:t>SUBSIDIARIES OF THE REGISTRANT</w:t>
            </w:r>
          </w:p>
        </w:tc>
      </w:tr>
      <w:tr>
        <w:trPr>
          <w:trHeight w:val="353"/>
        </w:trPr>
        <w:tc>
          <w:tcPr>
            <w:tcW w:w="38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5980" w:type="dxa"/>
            <w:vAlign w:val="bottom"/>
          </w:tcPr>
          <w:p>
            <w:pPr>
              <w:spacing w:after="0"/>
              <w:rPr>
                <w:sz w:val="24"/>
                <w:szCs w:val="24"/>
                <w:color w:val="auto"/>
              </w:rPr>
            </w:pPr>
          </w:p>
        </w:tc>
        <w:tc>
          <w:tcPr>
            <w:tcW w:w="16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Jurisdiction of Incorporation</w:t>
            </w:r>
          </w:p>
        </w:tc>
      </w:tr>
      <w:tr>
        <w:trPr>
          <w:trHeight w:val="195"/>
        </w:trPr>
        <w:tc>
          <w:tcPr>
            <w:tcW w:w="380" w:type="dxa"/>
            <w:vAlign w:val="bottom"/>
            <w:tcBorders>
              <w:top w:val="single" w:sz="8" w:color="auto"/>
            </w:tcBorders>
          </w:tcPr>
          <w:p>
            <w:pPr>
              <w:spacing w:after="0" w:line="195" w:lineRule="exact"/>
              <w:rPr>
                <w:sz w:val="20"/>
                <w:szCs w:val="20"/>
                <w:color w:val="auto"/>
              </w:rPr>
            </w:pPr>
            <w:r>
              <w:rPr>
                <w:rFonts w:ascii="Times New Roman" w:cs="Times New Roman" w:eastAsia="Times New Roman" w:hAnsi="Times New Roman"/>
                <w:sz w:val="18"/>
                <w:szCs w:val="18"/>
                <w:color w:val="auto"/>
                <w:w w:val="89"/>
              </w:rPr>
              <w:t>Great</w:t>
            </w:r>
          </w:p>
        </w:tc>
        <w:tc>
          <w:tcPr>
            <w:tcW w:w="3420" w:type="dxa"/>
            <w:vAlign w:val="bottom"/>
          </w:tcPr>
          <w:p>
            <w:pPr>
              <w:ind w:left="60"/>
              <w:spacing w:after="0" w:line="195" w:lineRule="exact"/>
              <w:rPr>
                <w:sz w:val="20"/>
                <w:szCs w:val="20"/>
                <w:color w:val="auto"/>
              </w:rPr>
            </w:pPr>
            <w:r>
              <w:rPr>
                <w:rFonts w:ascii="Times New Roman" w:cs="Times New Roman" w:eastAsia="Times New Roman" w:hAnsi="Times New Roman"/>
                <w:sz w:val="18"/>
                <w:szCs w:val="18"/>
                <w:color w:val="auto"/>
              </w:rPr>
              <w:t>Lakes Dredge &amp; Dock Company, LLC</w:t>
            </w:r>
          </w:p>
        </w:tc>
        <w:tc>
          <w:tcPr>
            <w:tcW w:w="5980" w:type="dxa"/>
            <w:vAlign w:val="bottom"/>
          </w:tcPr>
          <w:p>
            <w:pPr>
              <w:spacing w:after="0"/>
              <w:rPr>
                <w:sz w:val="16"/>
                <w:szCs w:val="16"/>
                <w:color w:val="auto"/>
              </w:rPr>
            </w:pPr>
          </w:p>
        </w:tc>
        <w:tc>
          <w:tcPr>
            <w:tcW w:w="1620" w:type="dxa"/>
            <w:vAlign w:val="bottom"/>
            <w:tcBorders>
              <w:top w:val="single" w:sz="8" w:color="auto"/>
            </w:tcBorders>
          </w:tcPr>
          <w:p>
            <w:pPr>
              <w:spacing w:after="0" w:line="195" w:lineRule="exact"/>
              <w:rPr>
                <w:sz w:val="20"/>
                <w:szCs w:val="20"/>
                <w:color w:val="auto"/>
              </w:rPr>
            </w:pPr>
            <w:r>
              <w:rPr>
                <w:rFonts w:ascii="Times New Roman" w:cs="Times New Roman" w:eastAsia="Times New Roman" w:hAnsi="Times New Roman"/>
                <w:sz w:val="18"/>
                <w:szCs w:val="18"/>
                <w:color w:val="auto"/>
              </w:rPr>
              <w:t>Delaware</w:t>
            </w:r>
          </w:p>
        </w:tc>
        <w:tc>
          <w:tcPr>
            <w:tcW w:w="20" w:type="dxa"/>
            <w:vAlign w:val="bottom"/>
          </w:tcPr>
          <w:p>
            <w:pPr>
              <w:spacing w:after="0"/>
              <w:rPr>
                <w:sz w:val="16"/>
                <w:szCs w:val="16"/>
                <w:color w:val="auto"/>
              </w:rPr>
            </w:pPr>
          </w:p>
        </w:tc>
      </w:tr>
      <w:tr>
        <w:trPr>
          <w:trHeight w:val="216"/>
        </w:trPr>
        <w:tc>
          <w:tcPr>
            <w:tcW w:w="3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Dawson Marine Services Company</w:t>
            </w:r>
          </w:p>
        </w:tc>
        <w:tc>
          <w:tcPr>
            <w:tcW w:w="5980" w:type="dxa"/>
            <w:vAlign w:val="bottom"/>
          </w:tcPr>
          <w:p>
            <w:pPr>
              <w:spacing w:after="0"/>
              <w:rPr>
                <w:sz w:val="18"/>
                <w:szCs w:val="18"/>
                <w:color w:val="auto"/>
              </w:rPr>
            </w:pPr>
          </w:p>
        </w:tc>
        <w:tc>
          <w:tcPr>
            <w:tcW w:w="1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3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Great Lakes Dredge &amp; Dock Environmental, Inc.</w:t>
            </w:r>
          </w:p>
        </w:tc>
        <w:tc>
          <w:tcPr>
            <w:tcW w:w="5980" w:type="dxa"/>
            <w:vAlign w:val="bottom"/>
          </w:tcPr>
          <w:p>
            <w:pPr>
              <w:spacing w:after="0"/>
              <w:rPr>
                <w:sz w:val="18"/>
                <w:szCs w:val="18"/>
                <w:color w:val="auto"/>
              </w:rPr>
            </w:pPr>
          </w:p>
        </w:tc>
        <w:tc>
          <w:tcPr>
            <w:tcW w:w="1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3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Fifty-Three Dredging Corporation</w:t>
            </w:r>
          </w:p>
        </w:tc>
        <w:tc>
          <w:tcPr>
            <w:tcW w:w="5980" w:type="dxa"/>
            <w:vAlign w:val="bottom"/>
          </w:tcPr>
          <w:p>
            <w:pPr>
              <w:spacing w:after="0"/>
              <w:rPr>
                <w:sz w:val="18"/>
                <w:szCs w:val="18"/>
                <w:color w:val="auto"/>
              </w:rPr>
            </w:pPr>
          </w:p>
        </w:tc>
        <w:tc>
          <w:tcPr>
            <w:tcW w:w="1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New Jersey</w:t>
            </w:r>
          </w:p>
        </w:tc>
      </w:tr>
      <w:tr>
        <w:trPr>
          <w:trHeight w:val="216"/>
        </w:trPr>
        <w:tc>
          <w:tcPr>
            <w:tcW w:w="3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Great Lakes Dredge &amp; Dock Australia Pty Ltd.</w:t>
            </w:r>
          </w:p>
        </w:tc>
        <w:tc>
          <w:tcPr>
            <w:tcW w:w="5980" w:type="dxa"/>
            <w:vAlign w:val="bottom"/>
          </w:tcPr>
          <w:p>
            <w:pPr>
              <w:spacing w:after="0"/>
              <w:rPr>
                <w:sz w:val="18"/>
                <w:szCs w:val="18"/>
                <w:color w:val="auto"/>
              </w:rPr>
            </w:pPr>
          </w:p>
        </w:tc>
        <w:tc>
          <w:tcPr>
            <w:tcW w:w="1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Australia</w:t>
            </w:r>
          </w:p>
        </w:tc>
      </w:tr>
      <w:tr>
        <w:trPr>
          <w:trHeight w:val="216"/>
        </w:trPr>
        <w:tc>
          <w:tcPr>
            <w:tcW w:w="3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Great Lakes Dredge &amp; Dock Co Brasil Ltda.</w:t>
            </w:r>
          </w:p>
        </w:tc>
        <w:tc>
          <w:tcPr>
            <w:tcW w:w="5980" w:type="dxa"/>
            <w:vAlign w:val="bottom"/>
          </w:tcPr>
          <w:p>
            <w:pPr>
              <w:spacing w:after="0"/>
              <w:rPr>
                <w:sz w:val="18"/>
                <w:szCs w:val="18"/>
                <w:color w:val="auto"/>
              </w:rPr>
            </w:pPr>
          </w:p>
        </w:tc>
        <w:tc>
          <w:tcPr>
            <w:tcW w:w="1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Brazil</w:t>
            </w:r>
          </w:p>
        </w:tc>
      </w:tr>
      <w:tr>
        <w:trPr>
          <w:trHeight w:val="216"/>
        </w:trPr>
        <w:tc>
          <w:tcPr>
            <w:tcW w:w="3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Great Lakes Dredge &amp; Dock India Private Ltd.</w:t>
            </w:r>
          </w:p>
        </w:tc>
        <w:tc>
          <w:tcPr>
            <w:tcW w:w="5980" w:type="dxa"/>
            <w:vAlign w:val="bottom"/>
          </w:tcPr>
          <w:p>
            <w:pPr>
              <w:spacing w:after="0"/>
              <w:rPr>
                <w:sz w:val="18"/>
                <w:szCs w:val="18"/>
                <w:color w:val="auto"/>
              </w:rPr>
            </w:pPr>
          </w:p>
        </w:tc>
        <w:tc>
          <w:tcPr>
            <w:tcW w:w="1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India</w:t>
            </w:r>
          </w:p>
        </w:tc>
      </w:tr>
      <w:tr>
        <w:trPr>
          <w:trHeight w:val="216"/>
        </w:trPr>
        <w:tc>
          <w:tcPr>
            <w:tcW w:w="3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Lydon Dredging &amp; Construction Co. Ltd.</w:t>
            </w:r>
          </w:p>
        </w:tc>
        <w:tc>
          <w:tcPr>
            <w:tcW w:w="5980" w:type="dxa"/>
            <w:vAlign w:val="bottom"/>
          </w:tcPr>
          <w:p>
            <w:pPr>
              <w:spacing w:after="0"/>
              <w:rPr>
                <w:sz w:val="18"/>
                <w:szCs w:val="18"/>
                <w:color w:val="auto"/>
              </w:rPr>
            </w:pPr>
          </w:p>
        </w:tc>
        <w:tc>
          <w:tcPr>
            <w:tcW w:w="1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Canada</w:t>
            </w:r>
          </w:p>
        </w:tc>
      </w:tr>
      <w:tr>
        <w:trPr>
          <w:trHeight w:val="216"/>
        </w:trPr>
        <w:tc>
          <w:tcPr>
            <w:tcW w:w="3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Great Lakes Dredge &amp; Dock (Bahamas) Ltd.</w:t>
            </w:r>
          </w:p>
        </w:tc>
        <w:tc>
          <w:tcPr>
            <w:tcW w:w="5980" w:type="dxa"/>
            <w:vAlign w:val="bottom"/>
          </w:tcPr>
          <w:p>
            <w:pPr>
              <w:spacing w:after="0"/>
              <w:rPr>
                <w:sz w:val="18"/>
                <w:szCs w:val="18"/>
                <w:color w:val="auto"/>
              </w:rPr>
            </w:pPr>
          </w:p>
        </w:tc>
        <w:tc>
          <w:tcPr>
            <w:tcW w:w="1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Bahamas</w:t>
            </w:r>
          </w:p>
        </w:tc>
      </w:tr>
      <w:tr>
        <w:trPr>
          <w:trHeight w:val="216"/>
        </w:trPr>
        <w:tc>
          <w:tcPr>
            <w:tcW w:w="3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GLDD Mexicana, S. de R.L. de C.V.</w:t>
            </w:r>
          </w:p>
        </w:tc>
        <w:tc>
          <w:tcPr>
            <w:tcW w:w="5980" w:type="dxa"/>
            <w:vAlign w:val="bottom"/>
          </w:tcPr>
          <w:p>
            <w:pPr>
              <w:spacing w:after="0"/>
              <w:rPr>
                <w:sz w:val="18"/>
                <w:szCs w:val="18"/>
                <w:color w:val="auto"/>
              </w:rPr>
            </w:pPr>
          </w:p>
        </w:tc>
        <w:tc>
          <w:tcPr>
            <w:tcW w:w="1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Mexico</w:t>
            </w:r>
          </w:p>
        </w:tc>
      </w:tr>
      <w:tr>
        <w:trPr>
          <w:trHeight w:val="216"/>
        </w:trPr>
        <w:tc>
          <w:tcPr>
            <w:tcW w:w="3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NASDI Holdings Corporation</w:t>
            </w:r>
          </w:p>
        </w:tc>
        <w:tc>
          <w:tcPr>
            <w:tcW w:w="5980" w:type="dxa"/>
            <w:vAlign w:val="bottom"/>
          </w:tcPr>
          <w:p>
            <w:pPr>
              <w:spacing w:after="0"/>
              <w:rPr>
                <w:sz w:val="18"/>
                <w:szCs w:val="18"/>
                <w:color w:val="auto"/>
              </w:rPr>
            </w:pPr>
          </w:p>
        </w:tc>
        <w:tc>
          <w:tcPr>
            <w:tcW w:w="1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3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NASDI, LLC</w:t>
            </w:r>
          </w:p>
        </w:tc>
        <w:tc>
          <w:tcPr>
            <w:tcW w:w="5980" w:type="dxa"/>
            <w:vAlign w:val="bottom"/>
          </w:tcPr>
          <w:p>
            <w:pPr>
              <w:spacing w:after="0"/>
              <w:rPr>
                <w:sz w:val="18"/>
                <w:szCs w:val="18"/>
                <w:color w:val="auto"/>
              </w:rPr>
            </w:pPr>
          </w:p>
        </w:tc>
        <w:tc>
          <w:tcPr>
            <w:tcW w:w="1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3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Terra Contracting Services, LLC</w:t>
            </w:r>
          </w:p>
        </w:tc>
        <w:tc>
          <w:tcPr>
            <w:tcW w:w="5980" w:type="dxa"/>
            <w:vAlign w:val="bottom"/>
          </w:tcPr>
          <w:p>
            <w:pPr>
              <w:spacing w:after="0"/>
              <w:rPr>
                <w:sz w:val="18"/>
                <w:szCs w:val="18"/>
                <w:color w:val="auto"/>
              </w:rPr>
            </w:pPr>
          </w:p>
        </w:tc>
        <w:tc>
          <w:tcPr>
            <w:tcW w:w="1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28"/>
        </w:trPr>
        <w:tc>
          <w:tcPr>
            <w:tcW w:w="3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Yankee Environmental Services, LLC</w:t>
            </w:r>
          </w:p>
        </w:tc>
        <w:tc>
          <w:tcPr>
            <w:tcW w:w="5980" w:type="dxa"/>
            <w:vAlign w:val="bottom"/>
          </w:tcPr>
          <w:p>
            <w:pPr>
              <w:spacing w:after="0"/>
              <w:rPr>
                <w:sz w:val="19"/>
                <w:szCs w:val="19"/>
                <w:color w:val="auto"/>
              </w:rPr>
            </w:pPr>
          </w:p>
        </w:tc>
        <w:tc>
          <w:tcPr>
            <w:tcW w:w="1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Delaware</w:t>
            </w:r>
          </w:p>
        </w:tc>
      </w:tr>
    </w:tbl>
    <w:p>
      <w:pPr>
        <w:sectPr>
          <w:pgSz w:w="11900" w:h="16838" w:orient="portrait"/>
          <w:cols w:equalWidth="0" w:num="1">
            <w:col w:w="11420"/>
          </w:cols>
          <w:pgMar w:left="240" w:top="123" w:right="239" w:bottom="1440" w:gutter="0" w:footer="0" w:header="0"/>
        </w:sectPr>
      </w:pPr>
    </w:p>
    <w:bookmarkStart w:id="162" w:name="page163"/>
    <w:bookmarkEnd w:id="162"/>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92" w:lineRule="exact"/>
        <w:rPr>
          <w:sz w:val="20"/>
          <w:szCs w:val="20"/>
          <w:color w:val="auto"/>
        </w:rPr>
      </w:pPr>
    </w:p>
    <w:p>
      <w:pPr>
        <w:ind w:right="300"/>
        <w:spacing w:after="0" w:line="256" w:lineRule="auto"/>
        <w:rPr>
          <w:sz w:val="20"/>
          <w:szCs w:val="20"/>
          <w:color w:val="auto"/>
        </w:rPr>
      </w:pPr>
      <w:r>
        <w:rPr>
          <w:rFonts w:ascii="Times New Roman" w:cs="Times New Roman" w:eastAsia="Times New Roman" w:hAnsi="Times New Roman"/>
          <w:sz w:val="18"/>
          <w:szCs w:val="18"/>
          <w:color w:val="auto"/>
        </w:rPr>
        <w:t>We consent to the incorporation by reference in Registration Statement No. 333-153207 on Form S-3 and Registration Statement Nos. 333-150067 and 333-185350 on Form S-8 of our reports dated March 29, 2013, relating to the consolidated financial statements and financial statement schedule of Great Lakes Dredge &amp; Dock Corporation and subsidiaries (the “Company”), and the effectiveness of the Company’s internal control over financial reporting (which report expressed an adverse opinion on the Company’s internal control over financial reporting because of a material weakness), appearing in this Annual Report on Form 10-K of Great Lakes Dredge &amp; Dock Corporation for the year ended December 31, 2012.</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Chicago, Illinois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29, 2013</w:t>
      </w:r>
    </w:p>
    <w:p>
      <w:pPr>
        <w:sectPr>
          <w:pgSz w:w="11900" w:h="16838" w:orient="portrait"/>
          <w:cols w:equalWidth="0" w:num="1">
            <w:col w:w="11420"/>
          </w:cols>
          <w:pgMar w:left="240" w:top="123" w:right="239" w:bottom="1440" w:gutter="0" w:footer="0" w:header="0"/>
        </w:sectPr>
      </w:pPr>
    </w:p>
    <w:bookmarkStart w:id="163" w:name="page164"/>
    <w:bookmarkEnd w:id="163"/>
    <w:p>
      <w:pPr>
        <w:jc w:val="right"/>
        <w:spacing w:after="0"/>
        <w:rPr>
          <w:sz w:val="20"/>
          <w:szCs w:val="20"/>
          <w:color w:val="auto"/>
        </w:rPr>
      </w:pPr>
      <w:r>
        <w:rPr>
          <w:rFonts w:ascii="Times New Roman" w:cs="Times New Roman" w:eastAsia="Times New Roman" w:hAnsi="Times New Roman"/>
          <w:sz w:val="18"/>
          <w:szCs w:val="18"/>
          <w:color w:val="auto"/>
        </w:rPr>
        <w:t>EXHIBIT 31.1</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CERTIFICATIONS PURSUANT TO</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302 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SARBANES-OXLEY ACT OF 2002</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CERTIFICATION</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Jonathan W. Berger, certify that:</w:t>
      </w:r>
    </w:p>
    <w:p>
      <w:pPr>
        <w:spacing w:after="0" w:line="90" w:lineRule="exact"/>
        <w:rPr>
          <w:sz w:val="20"/>
          <w:szCs w:val="20"/>
          <w:color w:val="auto"/>
        </w:rPr>
      </w:pPr>
    </w:p>
    <w:p>
      <w:pPr>
        <w:ind w:left="460" w:hanging="452"/>
        <w:spacing w:after="0"/>
        <w:tabs>
          <w:tab w:leader="none" w:pos="46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Great Lakes Dredge &amp; Dock Corporation;</w:t>
      </w:r>
    </w:p>
    <w:p>
      <w:pPr>
        <w:spacing w:after="0" w:line="90" w:lineRule="exact"/>
        <w:rPr>
          <w:rFonts w:ascii="Times New Roman" w:cs="Times New Roman" w:eastAsia="Times New Roman" w:hAnsi="Times New Roman"/>
          <w:sz w:val="18"/>
          <w:szCs w:val="18"/>
          <w:color w:val="auto"/>
        </w:rPr>
      </w:pPr>
    </w:p>
    <w:p>
      <w:pPr>
        <w:ind w:left="460" w:right="260" w:hanging="452"/>
        <w:spacing w:after="0" w:line="334" w:lineRule="auto"/>
        <w:tabs>
          <w:tab w:leader="none" w:pos="460" w:val="left"/>
        </w:tabs>
        <w:numPr>
          <w:ilvl w:val="0"/>
          <w:numId w:val="8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 w:lineRule="exact"/>
        <w:rPr>
          <w:rFonts w:ascii="Times New Roman" w:cs="Times New Roman" w:eastAsia="Times New Roman" w:hAnsi="Times New Roman"/>
          <w:sz w:val="16"/>
          <w:szCs w:val="16"/>
          <w:color w:val="auto"/>
        </w:rPr>
      </w:pPr>
    </w:p>
    <w:p>
      <w:pPr>
        <w:ind w:left="460" w:right="60" w:hanging="452"/>
        <w:spacing w:after="0" w:line="275" w:lineRule="auto"/>
        <w:tabs>
          <w:tab w:leader="none" w:pos="46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Times New Roman" w:cs="Times New Roman" w:eastAsia="Times New Roman" w:hAnsi="Times New Roman"/>
          <w:sz w:val="18"/>
          <w:szCs w:val="18"/>
          <w:color w:val="auto"/>
        </w:rPr>
      </w:pPr>
    </w:p>
    <w:p>
      <w:pPr>
        <w:ind w:left="460" w:right="200" w:hanging="452"/>
        <w:spacing w:after="0" w:line="262" w:lineRule="auto"/>
        <w:tabs>
          <w:tab w:leader="none" w:pos="46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1" w:lineRule="exact"/>
        <w:rPr>
          <w:rFonts w:ascii="Times New Roman" w:cs="Times New Roman" w:eastAsia="Times New Roman" w:hAnsi="Times New Roman"/>
          <w:sz w:val="18"/>
          <w:szCs w:val="18"/>
          <w:color w:val="auto"/>
        </w:rPr>
      </w:pPr>
    </w:p>
    <w:p>
      <w:pPr>
        <w:ind w:left="900" w:right="60" w:hanging="446"/>
        <w:spacing w:after="0" w:line="262" w:lineRule="auto"/>
        <w:tabs>
          <w:tab w:leader="none" w:pos="900"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1" w:lineRule="exact"/>
        <w:rPr>
          <w:rFonts w:ascii="Times New Roman" w:cs="Times New Roman" w:eastAsia="Times New Roman" w:hAnsi="Times New Roman"/>
          <w:sz w:val="18"/>
          <w:szCs w:val="18"/>
          <w:color w:val="auto"/>
        </w:rPr>
      </w:pPr>
    </w:p>
    <w:p>
      <w:pPr>
        <w:ind w:left="900" w:right="40" w:hanging="446"/>
        <w:spacing w:after="0" w:line="262" w:lineRule="auto"/>
        <w:tabs>
          <w:tab w:leader="none" w:pos="900"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1" w:lineRule="exact"/>
        <w:rPr>
          <w:rFonts w:ascii="Times New Roman" w:cs="Times New Roman" w:eastAsia="Times New Roman" w:hAnsi="Times New Roman"/>
          <w:sz w:val="18"/>
          <w:szCs w:val="18"/>
          <w:color w:val="auto"/>
        </w:rPr>
      </w:pPr>
    </w:p>
    <w:p>
      <w:pPr>
        <w:ind w:left="900" w:right="100" w:hanging="446"/>
        <w:spacing w:after="0" w:line="275" w:lineRule="auto"/>
        <w:tabs>
          <w:tab w:leader="none" w:pos="900"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8" w:lineRule="exact"/>
        <w:rPr>
          <w:rFonts w:ascii="Times New Roman" w:cs="Times New Roman" w:eastAsia="Times New Roman" w:hAnsi="Times New Roman"/>
          <w:sz w:val="18"/>
          <w:szCs w:val="18"/>
          <w:color w:val="auto"/>
        </w:rPr>
      </w:pPr>
    </w:p>
    <w:p>
      <w:pPr>
        <w:ind w:left="900" w:right="140" w:hanging="446"/>
        <w:spacing w:after="0" w:line="262" w:lineRule="auto"/>
        <w:tabs>
          <w:tab w:leader="none" w:pos="900"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1" w:lineRule="exact"/>
        <w:rPr>
          <w:rFonts w:ascii="Times New Roman" w:cs="Times New Roman" w:eastAsia="Times New Roman" w:hAnsi="Times New Roman"/>
          <w:sz w:val="18"/>
          <w:szCs w:val="18"/>
          <w:color w:val="auto"/>
        </w:rPr>
      </w:pPr>
    </w:p>
    <w:p>
      <w:pPr>
        <w:ind w:left="460" w:right="640" w:hanging="452"/>
        <w:spacing w:after="0" w:line="275" w:lineRule="auto"/>
        <w:tabs>
          <w:tab w:leader="none" w:pos="46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Times New Roman" w:cs="Times New Roman" w:eastAsia="Times New Roman" w:hAnsi="Times New Roman"/>
          <w:sz w:val="18"/>
          <w:szCs w:val="18"/>
          <w:color w:val="auto"/>
        </w:rPr>
      </w:pPr>
    </w:p>
    <w:p>
      <w:pPr>
        <w:ind w:left="900" w:right="20" w:hanging="446"/>
        <w:spacing w:after="0" w:line="275" w:lineRule="auto"/>
        <w:tabs>
          <w:tab w:leader="none" w:pos="900"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Times New Roman" w:cs="Times New Roman" w:eastAsia="Times New Roman" w:hAnsi="Times New Roman"/>
          <w:sz w:val="18"/>
          <w:szCs w:val="18"/>
          <w:color w:val="auto"/>
        </w:rPr>
      </w:pPr>
    </w:p>
    <w:p>
      <w:pPr>
        <w:ind w:left="900" w:right="60" w:hanging="446"/>
        <w:spacing w:after="0" w:line="275" w:lineRule="auto"/>
        <w:tabs>
          <w:tab w:leader="none" w:pos="900"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29, 2013</w:t>
      </w:r>
    </w:p>
    <w:p>
      <w:pPr>
        <w:spacing w:after="0" w:line="212"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/s/ Jonathan W. Berger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Jonathan W. Berger</w:t>
      </w:r>
    </w:p>
    <w:p>
      <w:pPr>
        <w:spacing w:after="0" w:line="21"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Chief Executive Officer</w:t>
      </w:r>
    </w:p>
    <w:p>
      <w:pPr>
        <w:sectPr>
          <w:pgSz w:w="11900" w:h="16838" w:orient="portrait"/>
          <w:cols w:equalWidth="0" w:num="1">
            <w:col w:w="11420"/>
          </w:cols>
          <w:pgMar w:left="240" w:top="125" w:right="239" w:bottom="1440" w:gutter="0" w:footer="0" w:header="0"/>
        </w:sectPr>
      </w:pPr>
    </w:p>
    <w:bookmarkStart w:id="164" w:name="page165"/>
    <w:bookmarkEnd w:id="164"/>
    <w:p>
      <w:pPr>
        <w:jc w:val="right"/>
        <w:spacing w:after="0"/>
        <w:rPr>
          <w:sz w:val="20"/>
          <w:szCs w:val="20"/>
          <w:color w:val="auto"/>
        </w:rPr>
      </w:pPr>
      <w:r>
        <w:rPr>
          <w:rFonts w:ascii="Times New Roman" w:cs="Times New Roman" w:eastAsia="Times New Roman" w:hAnsi="Times New Roman"/>
          <w:sz w:val="18"/>
          <w:szCs w:val="18"/>
          <w:color w:val="auto"/>
        </w:rPr>
        <w:t>EXHIBIT 31.2</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CERTIFICATION</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William S. Steckel, certify that:</w:t>
      </w:r>
    </w:p>
    <w:p>
      <w:pPr>
        <w:spacing w:after="0" w:line="90" w:lineRule="exact"/>
        <w:rPr>
          <w:sz w:val="20"/>
          <w:szCs w:val="20"/>
          <w:color w:val="auto"/>
        </w:rPr>
      </w:pPr>
    </w:p>
    <w:p>
      <w:pPr>
        <w:ind w:left="460" w:hanging="452"/>
        <w:spacing w:after="0"/>
        <w:tabs>
          <w:tab w:leader="none" w:pos="46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Great Lakes Dredge &amp; Dock Corporation;</w:t>
      </w:r>
    </w:p>
    <w:p>
      <w:pPr>
        <w:spacing w:after="0" w:line="90" w:lineRule="exact"/>
        <w:rPr>
          <w:rFonts w:ascii="Times New Roman" w:cs="Times New Roman" w:eastAsia="Times New Roman" w:hAnsi="Times New Roman"/>
          <w:sz w:val="18"/>
          <w:szCs w:val="18"/>
          <w:color w:val="auto"/>
        </w:rPr>
      </w:pPr>
    </w:p>
    <w:p>
      <w:pPr>
        <w:ind w:left="460" w:right="260" w:hanging="452"/>
        <w:spacing w:after="0" w:line="334" w:lineRule="auto"/>
        <w:tabs>
          <w:tab w:leader="none" w:pos="460" w:val="left"/>
        </w:tabs>
        <w:numPr>
          <w:ilvl w:val="0"/>
          <w:numId w:val="8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 w:lineRule="exact"/>
        <w:rPr>
          <w:rFonts w:ascii="Times New Roman" w:cs="Times New Roman" w:eastAsia="Times New Roman" w:hAnsi="Times New Roman"/>
          <w:sz w:val="16"/>
          <w:szCs w:val="16"/>
          <w:color w:val="auto"/>
        </w:rPr>
      </w:pPr>
    </w:p>
    <w:p>
      <w:pPr>
        <w:ind w:left="460" w:right="60" w:hanging="452"/>
        <w:spacing w:after="0" w:line="275" w:lineRule="auto"/>
        <w:tabs>
          <w:tab w:leader="none" w:pos="46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Times New Roman" w:cs="Times New Roman" w:eastAsia="Times New Roman" w:hAnsi="Times New Roman"/>
          <w:sz w:val="18"/>
          <w:szCs w:val="18"/>
          <w:color w:val="auto"/>
        </w:rPr>
      </w:pPr>
    </w:p>
    <w:p>
      <w:pPr>
        <w:ind w:left="460" w:right="200" w:hanging="452"/>
        <w:spacing w:after="0" w:line="262" w:lineRule="auto"/>
        <w:tabs>
          <w:tab w:leader="none" w:pos="46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1" w:lineRule="exact"/>
        <w:rPr>
          <w:rFonts w:ascii="Times New Roman" w:cs="Times New Roman" w:eastAsia="Times New Roman" w:hAnsi="Times New Roman"/>
          <w:sz w:val="18"/>
          <w:szCs w:val="18"/>
          <w:color w:val="auto"/>
        </w:rPr>
      </w:pPr>
    </w:p>
    <w:p>
      <w:pPr>
        <w:ind w:left="900" w:right="60" w:hanging="446"/>
        <w:spacing w:after="0" w:line="262" w:lineRule="auto"/>
        <w:tabs>
          <w:tab w:leader="none" w:pos="900" w:val="left"/>
        </w:tabs>
        <w:numPr>
          <w:ilvl w:val="1"/>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1" w:lineRule="exact"/>
        <w:rPr>
          <w:rFonts w:ascii="Times New Roman" w:cs="Times New Roman" w:eastAsia="Times New Roman" w:hAnsi="Times New Roman"/>
          <w:sz w:val="18"/>
          <w:szCs w:val="18"/>
          <w:color w:val="auto"/>
        </w:rPr>
      </w:pPr>
    </w:p>
    <w:p>
      <w:pPr>
        <w:ind w:left="900" w:right="40" w:hanging="446"/>
        <w:spacing w:after="0" w:line="262" w:lineRule="auto"/>
        <w:tabs>
          <w:tab w:leader="none" w:pos="900" w:val="left"/>
        </w:tabs>
        <w:numPr>
          <w:ilvl w:val="1"/>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1" w:lineRule="exact"/>
        <w:rPr>
          <w:rFonts w:ascii="Times New Roman" w:cs="Times New Roman" w:eastAsia="Times New Roman" w:hAnsi="Times New Roman"/>
          <w:sz w:val="18"/>
          <w:szCs w:val="18"/>
          <w:color w:val="auto"/>
        </w:rPr>
      </w:pPr>
    </w:p>
    <w:p>
      <w:pPr>
        <w:ind w:left="900" w:right="100" w:hanging="446"/>
        <w:spacing w:after="0" w:line="275" w:lineRule="auto"/>
        <w:tabs>
          <w:tab w:leader="none" w:pos="900" w:val="left"/>
        </w:tabs>
        <w:numPr>
          <w:ilvl w:val="1"/>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8" w:lineRule="exact"/>
        <w:rPr>
          <w:rFonts w:ascii="Times New Roman" w:cs="Times New Roman" w:eastAsia="Times New Roman" w:hAnsi="Times New Roman"/>
          <w:sz w:val="18"/>
          <w:szCs w:val="18"/>
          <w:color w:val="auto"/>
        </w:rPr>
      </w:pPr>
    </w:p>
    <w:p>
      <w:pPr>
        <w:ind w:left="900" w:right="140" w:hanging="446"/>
        <w:spacing w:after="0" w:line="262" w:lineRule="auto"/>
        <w:tabs>
          <w:tab w:leader="none" w:pos="900" w:val="left"/>
        </w:tabs>
        <w:numPr>
          <w:ilvl w:val="1"/>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1" w:lineRule="exact"/>
        <w:rPr>
          <w:rFonts w:ascii="Times New Roman" w:cs="Times New Roman" w:eastAsia="Times New Roman" w:hAnsi="Times New Roman"/>
          <w:sz w:val="18"/>
          <w:szCs w:val="18"/>
          <w:color w:val="auto"/>
        </w:rPr>
      </w:pPr>
    </w:p>
    <w:p>
      <w:pPr>
        <w:ind w:left="460" w:right="640" w:hanging="452"/>
        <w:spacing w:after="0" w:line="275" w:lineRule="auto"/>
        <w:tabs>
          <w:tab w:leader="none" w:pos="46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Times New Roman" w:cs="Times New Roman" w:eastAsia="Times New Roman" w:hAnsi="Times New Roman"/>
          <w:sz w:val="18"/>
          <w:szCs w:val="18"/>
          <w:color w:val="auto"/>
        </w:rPr>
      </w:pPr>
    </w:p>
    <w:p>
      <w:pPr>
        <w:ind w:left="900" w:right="20" w:hanging="446"/>
        <w:spacing w:after="0" w:line="275" w:lineRule="auto"/>
        <w:tabs>
          <w:tab w:leader="none" w:pos="900" w:val="left"/>
        </w:tabs>
        <w:numPr>
          <w:ilvl w:val="1"/>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Times New Roman" w:cs="Times New Roman" w:eastAsia="Times New Roman" w:hAnsi="Times New Roman"/>
          <w:sz w:val="18"/>
          <w:szCs w:val="18"/>
          <w:color w:val="auto"/>
        </w:rPr>
      </w:pPr>
    </w:p>
    <w:p>
      <w:pPr>
        <w:ind w:left="900" w:right="60" w:hanging="446"/>
        <w:spacing w:after="0" w:line="275" w:lineRule="auto"/>
        <w:tabs>
          <w:tab w:leader="none" w:pos="900" w:val="left"/>
        </w:tabs>
        <w:numPr>
          <w:ilvl w:val="1"/>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29, 2013</w:t>
      </w:r>
    </w:p>
    <w:p>
      <w:pPr>
        <w:spacing w:after="0" w:line="212"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/s/ William S. Steckel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William S. Steckel</w:t>
      </w:r>
    </w:p>
    <w:p>
      <w:pPr>
        <w:spacing w:after="0" w:line="21"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Senior Vice President and Chief Financial Officer</w:t>
      </w:r>
    </w:p>
    <w:p>
      <w:pPr>
        <w:sectPr>
          <w:pgSz w:w="11900" w:h="16838" w:orient="portrait"/>
          <w:cols w:equalWidth="0" w:num="1">
            <w:col w:w="11420"/>
          </w:cols>
          <w:pgMar w:left="240" w:top="125" w:right="239" w:bottom="1440" w:gutter="0" w:footer="0" w:header="0"/>
        </w:sectPr>
      </w:pPr>
    </w:p>
    <w:bookmarkStart w:id="165" w:name="page166"/>
    <w:bookmarkEnd w:id="165"/>
    <w:p>
      <w:pPr>
        <w:jc w:val="right"/>
        <w:spacing w:after="0"/>
        <w:rPr>
          <w:sz w:val="20"/>
          <w:szCs w:val="20"/>
          <w:color w:val="auto"/>
        </w:rPr>
      </w:pPr>
      <w:r>
        <w:rPr>
          <w:rFonts w:ascii="Times New Roman" w:cs="Times New Roman" w:eastAsia="Times New Roman" w:hAnsi="Times New Roman"/>
          <w:sz w:val="18"/>
          <w:szCs w:val="18"/>
          <w:color w:val="auto"/>
        </w:rPr>
        <w:t>EXHIBIT 32.1</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PURSUANT TO</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906 OF THE SARBANES-OXLEY ACT OF 2002</w:t>
      </w:r>
    </w:p>
    <w:p>
      <w:pPr>
        <w:spacing w:after="0" w:line="159" w:lineRule="exact"/>
        <w:rPr>
          <w:sz w:val="20"/>
          <w:szCs w:val="20"/>
          <w:color w:val="auto"/>
        </w:rPr>
      </w:pPr>
    </w:p>
    <w:p>
      <w:pPr>
        <w:jc w:val="both"/>
        <w:ind w:right="320"/>
        <w:spacing w:after="0" w:line="262" w:lineRule="auto"/>
        <w:rPr>
          <w:sz w:val="20"/>
          <w:szCs w:val="20"/>
          <w:color w:val="auto"/>
        </w:rPr>
      </w:pPr>
      <w:r>
        <w:rPr>
          <w:rFonts w:ascii="Times New Roman" w:cs="Times New Roman" w:eastAsia="Times New Roman" w:hAnsi="Times New Roman"/>
          <w:sz w:val="18"/>
          <w:szCs w:val="18"/>
          <w:color w:val="auto"/>
        </w:rPr>
        <w:t>In connection with the Annual Report of Great Lakes Dredge &amp; Dock Corporation (the “Company”) on Form 10-K for the year ended December 31, 2012, as filed with the Securities and Exchange Commission on the date hereof (the “Report”), I, Jonathan W. Berger, Chief Executive Officer of the Company, certify pursuant to 18 U.S.C. Section 1350, as adopted pursuant to Section 906 of the Sarbanes-Oxley Act of 2002, that:</w:t>
      </w:r>
    </w:p>
    <w:p>
      <w:pPr>
        <w:spacing w:after="0" w:line="51" w:lineRule="exact"/>
        <w:rPr>
          <w:sz w:val="20"/>
          <w:szCs w:val="20"/>
          <w:color w:val="auto"/>
        </w:rPr>
      </w:pPr>
    </w:p>
    <w:p>
      <w:pPr>
        <w:ind w:left="900" w:hanging="446"/>
        <w:spacing w:after="0"/>
        <w:tabs>
          <w:tab w:leader="none" w:pos="90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Section 15(d) of the Securities Exchange Act of 1934, as amended; and</w:t>
      </w:r>
    </w:p>
    <w:p>
      <w:pPr>
        <w:spacing w:after="0" w:line="9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71" w:lineRule="exact"/>
        <w:rPr>
          <w:sz w:val="20"/>
          <w:szCs w:val="20"/>
          <w:color w:val="auto"/>
        </w:rPr>
      </w:pPr>
    </w:p>
    <w:p>
      <w:pPr>
        <w:jc w:val="both"/>
        <w:ind w:right="40"/>
        <w:spacing w:after="0" w:line="339" w:lineRule="auto"/>
        <w:rPr>
          <w:sz w:val="20"/>
          <w:szCs w:val="20"/>
          <w:color w:val="auto"/>
        </w:rPr>
      </w:pPr>
      <w:r>
        <w:rPr>
          <w:rFonts w:ascii="Times New Roman" w:cs="Times New Roman" w:eastAsia="Times New Roman" w:hAnsi="Times New Roman"/>
          <w:sz w:val="16"/>
          <w:szCs w:val="16"/>
          <w:color w:val="auto"/>
        </w:rPr>
        <w:t>This certification accompanies the Report pursuant to Section 906 of the Sarbanes-Oxley Act of 2002 and shall not, except to the extent required by the Sarbanes-Oxley Act of 2002, be deemed filed by Great Lakes Dredge &amp; Dock Corporation for purposes of Section 18 of the Securities Exchange Act of 1934, as amended.</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Jonathan W. Berger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98775"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Jonathan W. Berger</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29, 2013</w:t>
      </w:r>
    </w:p>
    <w:p>
      <w:pPr>
        <w:spacing w:after="0" w:line="159" w:lineRule="exact"/>
        <w:rPr>
          <w:sz w:val="20"/>
          <w:szCs w:val="20"/>
          <w:color w:val="auto"/>
        </w:rPr>
      </w:pPr>
    </w:p>
    <w:p>
      <w:pPr>
        <w:ind w:right="60"/>
        <w:spacing w:after="0" w:line="310" w:lineRule="auto"/>
        <w:rPr>
          <w:sz w:val="20"/>
          <w:szCs w:val="20"/>
          <w:color w:val="auto"/>
        </w:rPr>
      </w:pPr>
      <w:r>
        <w:rPr>
          <w:rFonts w:ascii="Times New Roman" w:cs="Times New Roman" w:eastAsia="Times New Roman" w:hAnsi="Times New Roman"/>
          <w:sz w:val="16"/>
          <w:szCs w:val="16"/>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Great Lakes Dredge &amp; Dock Corporation and will be retained by Great Lakes Dredge &amp; Dock Corporation and furnished to the Securities and Exchange Commission or its staff upon request.</w:t>
      </w:r>
    </w:p>
    <w:p>
      <w:pPr>
        <w:sectPr>
          <w:pgSz w:w="11900" w:h="16838" w:orient="portrait"/>
          <w:cols w:equalWidth="0" w:num="1">
            <w:col w:w="11420"/>
          </w:cols>
          <w:pgMar w:left="240" w:top="125" w:right="239" w:bottom="1440" w:gutter="0" w:footer="0" w:header="0"/>
        </w:sectPr>
      </w:pPr>
    </w:p>
    <w:bookmarkStart w:id="166" w:name="page167"/>
    <w:bookmarkEnd w:id="166"/>
    <w:p>
      <w:pPr>
        <w:jc w:val="right"/>
        <w:spacing w:after="0"/>
        <w:rPr>
          <w:sz w:val="20"/>
          <w:szCs w:val="20"/>
          <w:color w:val="auto"/>
        </w:rPr>
      </w:pPr>
      <w:r>
        <w:rPr>
          <w:rFonts w:ascii="Times New Roman" w:cs="Times New Roman" w:eastAsia="Times New Roman" w:hAnsi="Times New Roman"/>
          <w:sz w:val="18"/>
          <w:szCs w:val="18"/>
          <w:color w:val="auto"/>
        </w:rPr>
        <w:t>EXHIBIT 32.2</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PURSUANT TO</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906 OF THE SARBANES-OXLEY ACT OF 2002</w:t>
      </w:r>
    </w:p>
    <w:p>
      <w:pPr>
        <w:spacing w:after="0" w:line="159" w:lineRule="exact"/>
        <w:rPr>
          <w:sz w:val="20"/>
          <w:szCs w:val="20"/>
          <w:color w:val="auto"/>
        </w:rPr>
      </w:pPr>
    </w:p>
    <w:p>
      <w:pPr>
        <w:ind w:right="100"/>
        <w:spacing w:after="0" w:line="262" w:lineRule="auto"/>
        <w:rPr>
          <w:sz w:val="20"/>
          <w:szCs w:val="20"/>
          <w:color w:val="auto"/>
        </w:rPr>
      </w:pPr>
      <w:r>
        <w:rPr>
          <w:rFonts w:ascii="Times New Roman" w:cs="Times New Roman" w:eastAsia="Times New Roman" w:hAnsi="Times New Roman"/>
          <w:sz w:val="18"/>
          <w:szCs w:val="18"/>
          <w:color w:val="auto"/>
        </w:rPr>
        <w:t>In connection with the Annual Report of Great Lakes Dredge &amp; Dock Corporation (the “Company”) on Form 10-K for the year ended December 31, 2012, as filed with the Securities and Exchange Commission on the date hereof (the “Report”), I, William S. Steckel, Senior Vice President and Chief Financial Officer of the Company, certify pursuant to 18 U.S.C. Section 1350, as adopted pursuant to Section 906 of the Sarbanes-Oxley Act of 2002, that:</w:t>
      </w:r>
    </w:p>
    <w:p>
      <w:pPr>
        <w:spacing w:after="0" w:line="51" w:lineRule="exact"/>
        <w:rPr>
          <w:sz w:val="20"/>
          <w:szCs w:val="20"/>
          <w:color w:val="auto"/>
        </w:rPr>
      </w:pPr>
    </w:p>
    <w:p>
      <w:pPr>
        <w:ind w:left="900" w:hanging="446"/>
        <w:spacing w:after="0"/>
        <w:tabs>
          <w:tab w:leader="none" w:pos="90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Section 15(d) of the Securities Exchange Act of 1934, as amended; and</w:t>
      </w:r>
    </w:p>
    <w:p>
      <w:pPr>
        <w:spacing w:after="0" w:line="9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71" w:lineRule="exact"/>
        <w:rPr>
          <w:sz w:val="20"/>
          <w:szCs w:val="20"/>
          <w:color w:val="auto"/>
        </w:rPr>
      </w:pPr>
    </w:p>
    <w:p>
      <w:pPr>
        <w:jc w:val="both"/>
        <w:ind w:right="40"/>
        <w:spacing w:after="0" w:line="339" w:lineRule="auto"/>
        <w:rPr>
          <w:sz w:val="20"/>
          <w:szCs w:val="20"/>
          <w:color w:val="auto"/>
        </w:rPr>
      </w:pPr>
      <w:r>
        <w:rPr>
          <w:rFonts w:ascii="Times New Roman" w:cs="Times New Roman" w:eastAsia="Times New Roman" w:hAnsi="Times New Roman"/>
          <w:sz w:val="16"/>
          <w:szCs w:val="16"/>
          <w:color w:val="auto"/>
        </w:rPr>
        <w:t>This certification accompanies the Report pursuant to Section 906 of the Sarbanes-Oxley Act of 2002 and shall not, except to the extent required by the Sarbanes-Oxley Act of 2002, be deemed filed by Great Lakes Dredge &amp; Dock Corporation for purposes of Section 18 of the Securities Exchange Act of 1934, as amended.</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William S. Steckel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98775"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William S. Steckel</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Senior Vice President and Chief Financial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29, 2013</w:t>
      </w:r>
    </w:p>
    <w:p>
      <w:pPr>
        <w:spacing w:after="0" w:line="159" w:lineRule="exact"/>
        <w:rPr>
          <w:sz w:val="20"/>
          <w:szCs w:val="20"/>
          <w:color w:val="auto"/>
        </w:rPr>
      </w:pPr>
    </w:p>
    <w:p>
      <w:pPr>
        <w:ind w:right="60"/>
        <w:spacing w:after="0" w:line="310" w:lineRule="auto"/>
        <w:rPr>
          <w:sz w:val="20"/>
          <w:szCs w:val="20"/>
          <w:color w:val="auto"/>
        </w:rPr>
      </w:pPr>
      <w:r>
        <w:rPr>
          <w:rFonts w:ascii="Times New Roman" w:cs="Times New Roman" w:eastAsia="Times New Roman" w:hAnsi="Times New Roman"/>
          <w:sz w:val="16"/>
          <w:szCs w:val="16"/>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Great Lakes Dredge &amp; Dock Corporation and will be retained by Great Lakes Dredge &amp; Dock Corporation and furnished to the Securities and Exchange Commission or its staff upon request.</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A2342EC"/>
    <w:multiLevelType w:val="hybridMultilevel"/>
    <w:lvl w:ilvl="0">
      <w:lvlJc w:val="left"/>
      <w:lvlText w:val="☒"/>
      <w:numFmt w:val="bullet"/>
      <w:start w:val="1"/>
    </w:lvl>
  </w:abstractNum>
  <w:abstractNum w:abstractNumId="1">
    <w:nsid w:val="2A487CB0"/>
    <w:multiLevelType w:val="hybridMultilevel"/>
    <w:lvl w:ilvl="0">
      <w:lvlJc w:val="left"/>
      <w:lvlText w:val="☐"/>
      <w:numFmt w:val="bullet"/>
      <w:start w:val="1"/>
    </w:lvl>
  </w:abstractNum>
  <w:abstractNum w:abstractNumId="2">
    <w:nsid w:val="1D4ED43B"/>
    <w:multiLevelType w:val="hybridMultilevel"/>
    <w:lvl w:ilvl="0">
      <w:lvlJc w:val="left"/>
      <w:lvlText w:val="•"/>
      <w:numFmt w:val="bullet"/>
      <w:start w:val="1"/>
    </w:lvl>
  </w:abstractNum>
  <w:abstractNum w:abstractNumId="3">
    <w:nsid w:val="725A06FB"/>
    <w:multiLevelType w:val="hybridMultilevel"/>
    <w:lvl w:ilvl="0">
      <w:lvlJc w:val="left"/>
      <w:lvlText w:val="•"/>
      <w:numFmt w:val="bullet"/>
      <w:start w:val="1"/>
    </w:lvl>
  </w:abstractNum>
  <w:abstractNum w:abstractNumId="4">
    <w:nsid w:val="2CD89A32"/>
    <w:multiLevelType w:val="hybridMultilevel"/>
    <w:lvl w:ilvl="0">
      <w:lvlJc w:val="left"/>
      <w:lvlText w:val="(%1)"/>
      <w:numFmt w:val="lowerRoman"/>
      <w:start w:val="1"/>
    </w:lvl>
  </w:abstractNum>
  <w:abstractNum w:abstractNumId="5">
    <w:nsid w:val="57E4CCAF"/>
    <w:multiLevelType w:val="hybridMultilevel"/>
    <w:lvl w:ilvl="0">
      <w:lvlJc w:val="left"/>
      <w:lvlText w:val="•"/>
      <w:numFmt w:val="bullet"/>
      <w:start w:val="1"/>
    </w:lvl>
  </w:abstractNum>
  <w:abstractNum w:abstractNumId="6">
    <w:nsid w:val="7A6D8D3C"/>
    <w:multiLevelType w:val="hybridMultilevel"/>
    <w:lvl w:ilvl="0">
      <w:lvlJc w:val="left"/>
      <w:lvlText w:val="•"/>
      <w:numFmt w:val="bullet"/>
      <w:start w:val="1"/>
    </w:lvl>
  </w:abstractNum>
  <w:abstractNum w:abstractNumId="7">
    <w:nsid w:val="4B588F54"/>
    <w:multiLevelType w:val="hybridMultilevel"/>
    <w:lvl w:ilvl="0">
      <w:lvlJc w:val="left"/>
      <w:lvlText w:val="•"/>
      <w:numFmt w:val="bullet"/>
      <w:start w:val="1"/>
    </w:lvl>
  </w:abstractNum>
  <w:abstractNum w:abstractNumId="8">
    <w:nsid w:val="542289EC"/>
    <w:multiLevelType w:val="hybridMultilevel"/>
    <w:lvl w:ilvl="0">
      <w:lvlJc w:val="left"/>
      <w:lvlText w:val="•"/>
      <w:numFmt w:val="bullet"/>
      <w:start w:val="1"/>
    </w:lvl>
  </w:abstractNum>
  <w:abstractNum w:abstractNumId="9">
    <w:nsid w:val="6DE91B18"/>
    <w:multiLevelType w:val="hybridMultilevel"/>
    <w:lvl w:ilvl="0">
      <w:lvlJc w:val="left"/>
      <w:lvlText w:val="•"/>
      <w:numFmt w:val="bullet"/>
      <w:start w:val="1"/>
    </w:lvl>
  </w:abstractNum>
  <w:abstractNum w:abstractNumId="10">
    <w:nsid w:val="38437FDB"/>
    <w:multiLevelType w:val="hybridMultilevel"/>
    <w:lvl w:ilvl="0">
      <w:lvlJc w:val="left"/>
      <w:lvlText w:val="•"/>
      <w:numFmt w:val="bullet"/>
      <w:start w:val="1"/>
    </w:lvl>
  </w:abstractNum>
  <w:abstractNum w:abstractNumId="11">
    <w:nsid w:val="7644A45C"/>
    <w:multiLevelType w:val="hybridMultilevel"/>
    <w:lvl w:ilvl="0">
      <w:lvlJc w:val="left"/>
      <w:lvlText w:val="•"/>
      <w:numFmt w:val="bullet"/>
      <w:start w:val="1"/>
    </w:lvl>
  </w:abstractNum>
  <w:abstractNum w:abstractNumId="12">
    <w:nsid w:val="32FFF902"/>
    <w:multiLevelType w:val="hybridMultilevel"/>
    <w:lvl w:ilvl="0">
      <w:lvlJc w:val="left"/>
      <w:lvlText w:val="•"/>
      <w:numFmt w:val="bullet"/>
      <w:start w:val="1"/>
    </w:lvl>
  </w:abstractNum>
  <w:abstractNum w:abstractNumId="13">
    <w:nsid w:val="684A481A"/>
    <w:multiLevelType w:val="hybridMultilevel"/>
    <w:lvl w:ilvl="0">
      <w:lvlJc w:val="left"/>
      <w:lvlText w:val="•"/>
      <w:numFmt w:val="bullet"/>
      <w:start w:val="1"/>
    </w:lvl>
  </w:abstractNum>
  <w:abstractNum w:abstractNumId="14">
    <w:nsid w:val="579478FE"/>
    <w:multiLevelType w:val="hybridMultilevel"/>
    <w:lvl w:ilvl="0">
      <w:lvlJc w:val="left"/>
      <w:lvlText w:val="*"/>
      <w:numFmt w:val="bullet"/>
      <w:start w:val="1"/>
    </w:lvl>
  </w:abstractNum>
  <w:abstractNum w:abstractNumId="15">
    <w:nsid w:val="749ABB43"/>
    <w:multiLevelType w:val="hybridMultilevel"/>
    <w:lvl w:ilvl="0">
      <w:lvlJc w:val="left"/>
      <w:lvlText w:val="*"/>
      <w:numFmt w:val="bullet"/>
      <w:start w:val="1"/>
    </w:lvl>
  </w:abstractNum>
  <w:abstractNum w:abstractNumId="16">
    <w:nsid w:val="3DC240FB"/>
    <w:multiLevelType w:val="hybridMultilevel"/>
    <w:lvl w:ilvl="0">
      <w:lvlJc w:val="left"/>
      <w:lvlText w:val="**"/>
      <w:numFmt w:val="bullet"/>
      <w:start w:val="1"/>
    </w:lvl>
  </w:abstractNum>
  <w:abstractNum w:abstractNumId="17">
    <w:nsid w:val="1BA026FA"/>
    <w:multiLevelType w:val="hybridMultilevel"/>
    <w:lvl w:ilvl="0">
      <w:lvlJc w:val="left"/>
      <w:lvlText w:val="(%1)"/>
      <w:numFmt w:val="decimal"/>
      <w:start w:val="1"/>
    </w:lvl>
  </w:abstractNum>
  <w:abstractNum w:abstractNumId="18">
    <w:nsid w:val="79A1DEAA"/>
    <w:multiLevelType w:val="hybridMultilevel"/>
    <w:lvl w:ilvl="0">
      <w:lvlJc w:val="left"/>
      <w:lvlText w:val="•"/>
      <w:numFmt w:val="bullet"/>
      <w:start w:val="1"/>
    </w:lvl>
  </w:abstractNum>
  <w:abstractNum w:abstractNumId="19">
    <w:nsid w:val="75C6C33A"/>
    <w:multiLevelType w:val="hybridMultilevel"/>
    <w:lvl w:ilvl="0">
      <w:lvlJc w:val="left"/>
      <w:lvlText w:val="•"/>
      <w:numFmt w:val="bullet"/>
      <w:start w:val="1"/>
    </w:lvl>
  </w:abstractNum>
  <w:abstractNum w:abstractNumId="20">
    <w:nsid w:val="12E685FB"/>
    <w:multiLevelType w:val="hybridMultilevel"/>
    <w:lvl w:ilvl="0">
      <w:lvlJc w:val="left"/>
      <w:lvlText w:val="*"/>
      <w:numFmt w:val="bullet"/>
      <w:start w:val="1"/>
    </w:lvl>
  </w:abstractNum>
  <w:abstractNum w:abstractNumId="21">
    <w:nsid w:val="70C6A529"/>
    <w:multiLevelType w:val="hybridMultilevel"/>
    <w:lvl w:ilvl="0">
      <w:lvlJc w:val="left"/>
      <w:lvlText w:val="(%1)"/>
      <w:numFmt w:val="decimal"/>
      <w:start w:val="1"/>
    </w:lvl>
  </w:abstractNum>
  <w:abstractNum w:abstractNumId="22">
    <w:nsid w:val="520EEDD1"/>
    <w:multiLevelType w:val="hybridMultilevel"/>
    <w:lvl w:ilvl="0">
      <w:lvlJc w:val="left"/>
      <w:lvlText w:val="•"/>
      <w:numFmt w:val="bullet"/>
      <w:start w:val="1"/>
    </w:lvl>
  </w:abstractNum>
  <w:abstractNum w:abstractNumId="23">
    <w:nsid w:val="374A3FE6"/>
    <w:multiLevelType w:val="hybridMultilevel"/>
    <w:lvl w:ilvl="0">
      <w:lvlJc w:val="left"/>
      <w:lvlText w:val="•"/>
      <w:numFmt w:val="bullet"/>
      <w:start w:val="1"/>
    </w:lvl>
  </w:abstractNum>
  <w:abstractNum w:abstractNumId="24">
    <w:nsid w:val="4F4EF005"/>
    <w:multiLevelType w:val="hybridMultilevel"/>
    <w:lvl w:ilvl="0">
      <w:lvlJc w:val="left"/>
      <w:lvlText w:val="•"/>
      <w:numFmt w:val="bullet"/>
      <w:start w:val="1"/>
    </w:lvl>
  </w:abstractNum>
  <w:abstractNum w:abstractNumId="25">
    <w:nsid w:val="23F9C13C"/>
    <w:multiLevelType w:val="hybridMultilevel"/>
    <w:lvl w:ilvl="0">
      <w:lvlJc w:val="left"/>
      <w:lvlText w:val="%1."/>
      <w:numFmt w:val="decimal"/>
      <w:start w:val="1"/>
    </w:lvl>
  </w:abstractNum>
  <w:abstractNum w:abstractNumId="26">
    <w:nsid w:val="649BB77C"/>
    <w:multiLevelType w:val="hybridMultilevel"/>
    <w:lvl w:ilvl="0">
      <w:lvlJc w:val="left"/>
      <w:lvlText w:val="%1."/>
      <w:numFmt w:val="decimal"/>
      <w:start w:val="3"/>
    </w:lvl>
  </w:abstractNum>
  <w:abstractNum w:abstractNumId="27">
    <w:nsid w:val="275AC794"/>
    <w:multiLevelType w:val="hybridMultilevel"/>
    <w:lvl w:ilvl="0">
      <w:lvlJc w:val="left"/>
      <w:lvlText w:val="(%1)"/>
      <w:numFmt w:val="decimal"/>
      <w:start w:val="1"/>
    </w:lvl>
  </w:abstractNum>
  <w:abstractNum w:abstractNumId="28">
    <w:nsid w:val="39386575"/>
    <w:multiLevelType w:val="hybridMultilevel"/>
    <w:lvl w:ilvl="0">
      <w:lvlJc w:val="left"/>
      <w:lvlText w:val="%1."/>
      <w:numFmt w:val="decimal"/>
      <w:start w:val="1"/>
    </w:lvl>
  </w:abstractNum>
  <w:abstractNum w:abstractNumId="29">
    <w:nsid w:val="1CF10FD8"/>
    <w:multiLevelType w:val="hybridMultilevel"/>
    <w:lvl w:ilvl="0">
      <w:lvlJc w:val="left"/>
      <w:lvlText w:val="%1."/>
      <w:numFmt w:val="decimal"/>
      <w:start w:val="2"/>
    </w:lvl>
  </w:abstractNum>
  <w:abstractNum w:abstractNumId="30">
    <w:nsid w:val="180115BE"/>
    <w:multiLevelType w:val="hybridMultilevel"/>
    <w:lvl w:ilvl="0">
      <w:lvlJc w:val="left"/>
      <w:lvlText w:val="%1."/>
      <w:numFmt w:val="decimal"/>
      <w:start w:val="3"/>
    </w:lvl>
  </w:abstractNum>
  <w:abstractNum w:abstractNumId="31">
    <w:nsid w:val="235BA861"/>
    <w:multiLevelType w:val="hybridMultilevel"/>
    <w:lvl w:ilvl="0">
      <w:lvlJc w:val="left"/>
      <w:lvlText w:val="%1."/>
      <w:numFmt w:val="decimal"/>
      <w:start w:val="6"/>
    </w:lvl>
  </w:abstractNum>
  <w:abstractNum w:abstractNumId="32">
    <w:nsid w:val="47398C89"/>
    <w:multiLevelType w:val="hybridMultilevel"/>
    <w:lvl w:ilvl="0">
      <w:lvlJc w:val="left"/>
      <w:lvlText w:val="%1."/>
      <w:numFmt w:val="decimal"/>
      <w:start w:val="7"/>
    </w:lvl>
  </w:abstractNum>
  <w:abstractNum w:abstractNumId="33">
    <w:nsid w:val="354FE9F9"/>
    <w:multiLevelType w:val="hybridMultilevel"/>
    <w:lvl w:ilvl="0">
      <w:lvlJc w:val="left"/>
      <w:lvlText w:val="%1."/>
      <w:numFmt w:val="decimal"/>
      <w:start w:val="8"/>
    </w:lvl>
  </w:abstractNum>
  <w:abstractNum w:abstractNumId="34">
    <w:nsid w:val="15B5AF5C"/>
    <w:multiLevelType w:val="hybridMultilevel"/>
    <w:lvl w:ilvl="0">
      <w:lvlJc w:val="left"/>
      <w:lvlText w:val="%1."/>
      <w:numFmt w:val="decimal"/>
      <w:start w:val="9"/>
    </w:lvl>
  </w:abstractNum>
  <w:abstractNum w:abstractNumId="35">
    <w:nsid w:val="741226BB"/>
    <w:multiLevelType w:val="hybridMultilevel"/>
    <w:lvl w:ilvl="0">
      <w:lvlJc w:val="left"/>
      <w:lvlText w:val="%1."/>
      <w:numFmt w:val="decimal"/>
      <w:start w:val="10"/>
    </w:lvl>
  </w:abstractNum>
  <w:abstractNum w:abstractNumId="36">
    <w:nsid w:val="D34B6A8"/>
    <w:multiLevelType w:val="hybridMultilevel"/>
    <w:lvl w:ilvl="0">
      <w:lvlJc w:val="left"/>
      <w:lvlText w:val="%1."/>
      <w:numFmt w:val="decimal"/>
      <w:start w:val="11"/>
    </w:lvl>
  </w:abstractNum>
  <w:abstractNum w:abstractNumId="37">
    <w:nsid w:val="10233C99"/>
    <w:multiLevelType w:val="hybridMultilevel"/>
    <w:lvl w:ilvl="0">
      <w:lvlJc w:val="left"/>
      <w:lvlText w:val="%1."/>
      <w:numFmt w:val="decimal"/>
      <w:start w:val="12"/>
    </w:lvl>
  </w:abstractNum>
  <w:abstractNum w:abstractNumId="38">
    <w:nsid w:val="3F6AB60F"/>
    <w:multiLevelType w:val="hybridMultilevel"/>
    <w:lvl w:ilvl="0">
      <w:lvlJc w:val="left"/>
      <w:lvlText w:val="%1."/>
      <w:numFmt w:val="decimal"/>
      <w:start w:val="13"/>
    </w:lvl>
  </w:abstractNum>
  <w:abstractNum w:abstractNumId="39">
    <w:nsid w:val="61574095"/>
    <w:multiLevelType w:val="hybridMultilevel"/>
    <w:lvl w:ilvl="0">
      <w:lvlJc w:val="left"/>
      <w:lvlText w:val="%1."/>
      <w:numFmt w:val="decimal"/>
      <w:start w:val="14"/>
    </w:lvl>
  </w:abstractNum>
  <w:abstractNum w:abstractNumId="40">
    <w:nsid w:val="7E0C57B1"/>
    <w:multiLevelType w:val="hybridMultilevel"/>
    <w:lvl w:ilvl="0">
      <w:lvlJc w:val="left"/>
      <w:lvlText w:val="%1."/>
      <w:numFmt w:val="decimal"/>
      <w:start w:val="15"/>
    </w:lvl>
  </w:abstractNum>
  <w:abstractNum w:abstractNumId="41">
    <w:nsid w:val="77AE35EB"/>
    <w:multiLevelType w:val="hybridMultilevel"/>
    <w:lvl w:ilvl="0">
      <w:lvlJc w:val="left"/>
      <w:lvlText w:val="%1."/>
      <w:numFmt w:val="decimal"/>
      <w:start w:val="16"/>
    </w:lvl>
  </w:abstractNum>
  <w:abstractNum w:abstractNumId="42">
    <w:nsid w:val="579BE4F1"/>
    <w:multiLevelType w:val="hybridMultilevel"/>
    <w:lvl w:ilvl="0">
      <w:lvlJc w:val="left"/>
      <w:lvlText w:val="(%1)"/>
      <w:numFmt w:val="lowerRoman"/>
      <w:start w:val="1"/>
    </w:lvl>
  </w:abstractNum>
  <w:abstractNum w:abstractNumId="43">
    <w:nsid w:val="310C50B3"/>
    <w:multiLevelType w:val="hybridMultilevel"/>
    <w:lvl w:ilvl="0">
      <w:lvlJc w:val="left"/>
      <w:lvlText w:val="(%1)"/>
      <w:numFmt w:val="decimal"/>
      <w:start w:val="1"/>
    </w:lvl>
  </w:abstractNum>
  <w:abstractNum w:abstractNumId="44">
    <w:nsid w:val="5FF87E05"/>
    <w:multiLevelType w:val="hybridMultilevel"/>
    <w:lvl w:ilvl="0">
      <w:lvlJc w:val="left"/>
      <w:lvlText w:val="(%1)"/>
      <w:numFmt w:val="decimal"/>
      <w:start w:val="3"/>
    </w:lvl>
  </w:abstractNum>
  <w:abstractNum w:abstractNumId="45">
    <w:nsid w:val="2F305DEF"/>
    <w:multiLevelType w:val="hybridMultilevel"/>
    <w:lvl w:ilvl="0">
      <w:lvlJc w:val="left"/>
      <w:lvlText w:val="(%1)"/>
      <w:numFmt w:val="decimal"/>
      <w:start w:val="29"/>
    </w:lvl>
  </w:abstractNum>
  <w:abstractNum w:abstractNumId="46">
    <w:nsid w:val="25A70BF7"/>
    <w:multiLevelType w:val="hybridMultilevel"/>
    <w:lvl w:ilvl="0">
      <w:lvlJc w:val="left"/>
      <w:lvlText w:val="*"/>
      <w:numFmt w:val="bullet"/>
      <w:start w:val="1"/>
    </w:lvl>
  </w:abstractNum>
  <w:abstractNum w:abstractNumId="47">
    <w:nsid w:val="1DBABF00"/>
    <w:multiLevelType w:val="hybridMultilevel"/>
    <w:lvl w:ilvl="0">
      <w:lvlJc w:val="left"/>
      <w:lvlText w:val="†"/>
      <w:numFmt w:val="bullet"/>
      <w:start w:val="1"/>
    </w:lvl>
  </w:abstractNum>
  <w:abstractNum w:abstractNumId="48">
    <w:nsid w:val="4AD084E9"/>
    <w:multiLevelType w:val="hybridMultilevel"/>
    <w:lvl w:ilvl="0">
      <w:lvlJc w:val="left"/>
      <w:lvlText w:val="%1."/>
      <w:numFmt w:val="decimal"/>
      <w:start w:val="1"/>
    </w:lvl>
  </w:abstractNum>
  <w:abstractNum w:abstractNumId="49">
    <w:nsid w:val="1F48EAA1"/>
    <w:multiLevelType w:val="hybridMultilevel"/>
    <w:lvl w:ilvl="0">
      <w:lvlJc w:val="left"/>
      <w:lvlText w:val="%1."/>
      <w:numFmt w:val="decimal"/>
      <w:start w:val="6"/>
    </w:lvl>
  </w:abstractNum>
  <w:abstractNum w:abstractNumId="50">
    <w:nsid w:val="1381823A"/>
    <w:multiLevelType w:val="hybridMultilevel"/>
    <w:lvl w:ilvl="0">
      <w:lvlJc w:val="left"/>
      <w:lvlText w:val="(%1)"/>
      <w:numFmt w:val="lowerLetter"/>
      <w:start w:val="1"/>
    </w:lvl>
  </w:abstractNum>
  <w:abstractNum w:abstractNumId="51">
    <w:nsid w:val="5DB70AE5"/>
    <w:multiLevelType w:val="hybridMultilevel"/>
    <w:lvl w:ilvl="0">
      <w:lvlJc w:val="left"/>
      <w:lvlText w:val="(%1)"/>
      <w:numFmt w:val="lowerLetter"/>
      <w:start w:val="4"/>
    </w:lvl>
  </w:abstractNum>
  <w:abstractNum w:abstractNumId="52">
    <w:nsid w:val="100F8FCA"/>
    <w:multiLevelType w:val="hybridMultilevel"/>
    <w:lvl w:ilvl="0">
      <w:lvlJc w:val="left"/>
      <w:lvlText w:val="(%1)"/>
      <w:numFmt w:val="lowerLetter"/>
      <w:start w:val="5"/>
    </w:lvl>
  </w:abstractNum>
  <w:abstractNum w:abstractNumId="53">
    <w:nsid w:val="6590700B"/>
    <w:multiLevelType w:val="hybridMultilevel"/>
    <w:lvl w:ilvl="0">
      <w:lvlJc w:val="left"/>
      <w:lvlText w:val="(%1)"/>
      <w:numFmt w:val="lowerLetter"/>
      <w:start w:val="1"/>
    </w:lvl>
  </w:abstractNum>
  <w:abstractNum w:abstractNumId="54">
    <w:nsid w:val="15014ACB"/>
    <w:multiLevelType w:val="hybridMultilevel"/>
    <w:lvl w:ilvl="0">
      <w:lvlJc w:val="left"/>
      <w:lvlText w:val="(%1)"/>
      <w:numFmt w:val="lowerLetter"/>
      <w:start w:val="8"/>
    </w:lvl>
  </w:abstractNum>
  <w:abstractNum w:abstractNumId="55">
    <w:nsid w:val="5F5E7FD0"/>
    <w:multiLevelType w:val="hybridMultilevel"/>
    <w:lvl w:ilvl="0">
      <w:lvlJc w:val="left"/>
      <w:lvlText w:val="(%1)"/>
      <w:numFmt w:val="lowerRoman"/>
      <w:start w:val="2"/>
    </w:lvl>
  </w:abstractNum>
  <w:abstractNum w:abstractNumId="56">
    <w:nsid w:val="98A3148"/>
    <w:multiLevelType w:val="hybridMultilevel"/>
    <w:lvl w:ilvl="0">
      <w:lvlJc w:val="left"/>
      <w:lvlText w:val="(%1)"/>
      <w:numFmt w:val="lowerLetter"/>
      <w:start w:val="10"/>
    </w:lvl>
    <w:lvl w:ilvl="1">
      <w:lvlJc w:val="left"/>
      <w:lvlText w:val="(%2)"/>
      <w:numFmt w:val="lowerLetter"/>
      <w:start w:val="1"/>
    </w:lvl>
  </w:abstractNum>
  <w:abstractNum w:abstractNumId="57">
    <w:nsid w:val="799D0247"/>
    <w:multiLevelType w:val="hybridMultilevel"/>
    <w:lvl w:ilvl="0">
      <w:lvlJc w:val="left"/>
      <w:lvlText w:val="(%1)"/>
      <w:numFmt w:val="lowerRoman"/>
      <w:start w:val="2"/>
    </w:lvl>
  </w:abstractNum>
  <w:abstractNum w:abstractNumId="58">
    <w:nsid w:val="6B94764"/>
    <w:multiLevelType w:val="hybridMultilevel"/>
    <w:lvl w:ilvl="0">
      <w:lvlJc w:val="left"/>
      <w:lvlText w:val="(%1)"/>
      <w:numFmt w:val="lowerRoman"/>
      <w:start w:val="3"/>
    </w:lvl>
  </w:abstractNum>
  <w:abstractNum w:abstractNumId="59">
    <w:nsid w:val="42C296BD"/>
    <w:multiLevelType w:val="hybridMultilevel"/>
    <w:lvl w:ilvl="0">
      <w:lvlJc w:val="left"/>
      <w:lvlText w:val="(%1)"/>
      <w:numFmt w:val="lowerLetter"/>
      <w:start w:val="1"/>
    </w:lvl>
  </w:abstractNum>
  <w:abstractNum w:abstractNumId="60">
    <w:nsid w:val="168E121F"/>
    <w:multiLevelType w:val="hybridMultilevel"/>
    <w:lvl w:ilvl="0">
      <w:lvlJc w:val="left"/>
      <w:lvlText w:val="(%1)"/>
      <w:numFmt w:val="lowerLetter"/>
      <w:start w:val="4"/>
    </w:lvl>
  </w:abstractNum>
  <w:abstractNum w:abstractNumId="61">
    <w:nsid w:val="1EBA5D23"/>
    <w:multiLevelType w:val="hybridMultilevel"/>
    <w:lvl w:ilvl="0">
      <w:lvlJc w:val="left"/>
      <w:lvlText w:val="(%1)"/>
      <w:numFmt w:val="lowerLetter"/>
      <w:start w:val="1"/>
    </w:lvl>
  </w:abstractNum>
  <w:abstractNum w:abstractNumId="62">
    <w:nsid w:val="661E3F1E"/>
    <w:multiLevelType w:val="hybridMultilevel"/>
    <w:lvl w:ilvl="0">
      <w:lvlJc w:val="left"/>
      <w:lvlText w:val="(%1)"/>
      <w:numFmt w:val="lowerRoman"/>
      <w:start w:val="2"/>
    </w:lvl>
  </w:abstractNum>
  <w:abstractNum w:abstractNumId="63">
    <w:nsid w:val="5DC79EA8"/>
    <w:multiLevelType w:val="hybridMultilevel"/>
    <w:lvl w:ilvl="0">
      <w:lvlJc w:val="left"/>
      <w:lvlText w:val="(%1)"/>
      <w:numFmt w:val="lowerLetter"/>
      <w:start w:val="1"/>
    </w:lvl>
  </w:abstractNum>
  <w:abstractNum w:abstractNumId="64">
    <w:nsid w:val="540A471C"/>
    <w:multiLevelType w:val="hybridMultilevel"/>
    <w:lvl w:ilvl="0">
      <w:lvlJc w:val="left"/>
      <w:lvlText w:val="(%1)"/>
      <w:numFmt w:val="lowerLetter"/>
      <w:start w:val="7"/>
    </w:lvl>
    <w:lvl w:ilvl="1">
      <w:lvlJc w:val="left"/>
      <w:lvlText w:val="(%2)"/>
      <w:numFmt w:val="lowerLetter"/>
      <w:start w:val="1"/>
    </w:lvl>
  </w:abstractNum>
  <w:abstractNum w:abstractNumId="65">
    <w:nsid w:val="7BD3EE7B"/>
    <w:multiLevelType w:val="hybridMultilevel"/>
    <w:lvl w:ilvl="0">
      <w:lvlJc w:val="left"/>
      <w:lvlText w:val="(%1)"/>
      <w:numFmt w:val="lowerRoman"/>
      <w:start w:val="4"/>
    </w:lvl>
  </w:abstractNum>
  <w:abstractNum w:abstractNumId="66">
    <w:nsid w:val="51D9C564"/>
    <w:multiLevelType w:val="hybridMultilevel"/>
    <w:lvl w:ilvl="0">
      <w:lvlJc w:val="left"/>
      <w:lvlText w:val="(%1)"/>
      <w:numFmt w:val="lowerRoman"/>
      <w:start w:val="10"/>
    </w:lvl>
  </w:abstractNum>
  <w:abstractNum w:abstractNumId="67">
    <w:nsid w:val="613EFDC5"/>
    <w:multiLevelType w:val="hybridMultilevel"/>
    <w:lvl w:ilvl="0">
      <w:lvlJc w:val="left"/>
      <w:lvlText w:val="(%1)"/>
      <w:numFmt w:val="lowerRoman"/>
      <w:start w:val="2"/>
    </w:lvl>
  </w:abstractNum>
  <w:abstractNum w:abstractNumId="68">
    <w:nsid w:val="BF72B14"/>
    <w:multiLevelType w:val="hybridMultilevel"/>
    <w:lvl w:ilvl="0">
      <w:lvlJc w:val="left"/>
      <w:lvlText w:val="(%1)"/>
      <w:numFmt w:val="lowerLetter"/>
      <w:start w:val="4"/>
    </w:lvl>
  </w:abstractNum>
  <w:abstractNum w:abstractNumId="69">
    <w:nsid w:val="11447B73"/>
    <w:multiLevelType w:val="hybridMultilevel"/>
    <w:lvl w:ilvl="0">
      <w:lvlJc w:val="left"/>
      <w:lvlText w:val="(%1)"/>
      <w:numFmt w:val="lowerLetter"/>
      <w:start w:val="1"/>
    </w:lvl>
  </w:abstractNum>
  <w:abstractNum w:abstractNumId="70">
    <w:nsid w:val="42963E5A"/>
    <w:multiLevelType w:val="hybridMultilevel"/>
    <w:lvl w:ilvl="0">
      <w:lvlJc w:val="left"/>
      <w:lvlText w:val="(%1)"/>
      <w:numFmt w:val="lowerLetter"/>
      <w:start w:val="7"/>
    </w:lvl>
  </w:abstractNum>
  <w:abstractNum w:abstractNumId="71">
    <w:nsid w:val="A0382C5"/>
    <w:multiLevelType w:val="hybridMultilevel"/>
    <w:lvl w:ilvl="0">
      <w:lvlJc w:val="left"/>
      <w:lvlText w:val="%1."/>
      <w:numFmt w:val="decimal"/>
      <w:start w:val="1"/>
    </w:lvl>
  </w:abstractNum>
  <w:abstractNum w:abstractNumId="72">
    <w:nsid w:val="8F2B15E"/>
    <w:multiLevelType w:val="hybridMultilevel"/>
    <w:lvl w:ilvl="0">
      <w:lvlJc w:val="left"/>
      <w:lvlText w:val="%1."/>
      <w:numFmt w:val="decimal"/>
      <w:start w:val="1"/>
    </w:lvl>
  </w:abstractNum>
  <w:abstractNum w:abstractNumId="73">
    <w:nsid w:val="1A32234B"/>
    <w:multiLevelType w:val="hybridMultilevel"/>
    <w:lvl w:ilvl="0">
      <w:lvlJc w:val="left"/>
      <w:lvlText w:val="%1."/>
      <w:numFmt w:val="decimal"/>
      <w:start w:val="7"/>
    </w:lvl>
  </w:abstractNum>
  <w:abstractNum w:abstractNumId="74">
    <w:nsid w:val="3B0FD379"/>
    <w:multiLevelType w:val="hybridMultilevel"/>
    <w:lvl w:ilvl="0">
      <w:lvlJc w:val="left"/>
      <w:lvlText w:val="%1."/>
      <w:numFmt w:val="decimal"/>
      <w:start w:val="12"/>
    </w:lvl>
  </w:abstractNum>
  <w:abstractNum w:abstractNumId="75">
    <w:nsid w:val="68EB2F63"/>
    <w:multiLevelType w:val="hybridMultilevel"/>
    <w:lvl w:ilvl="0">
      <w:lvlJc w:val="left"/>
      <w:lvlText w:val="%1."/>
      <w:numFmt w:val="decimal"/>
      <w:start w:val="13"/>
    </w:lvl>
  </w:abstractNum>
  <w:abstractNum w:abstractNumId="76">
    <w:nsid w:val="4962813B"/>
    <w:multiLevelType w:val="hybridMultilevel"/>
    <w:lvl w:ilvl="0">
      <w:lvlJc w:val="left"/>
      <w:lvlText w:val="(%1)"/>
      <w:numFmt w:val="decimal"/>
      <w:start w:val="2"/>
    </w:lvl>
  </w:abstractNum>
  <w:abstractNum w:abstractNumId="77">
    <w:nsid w:val="60B6DF70"/>
    <w:multiLevelType w:val="hybridMultilevel"/>
    <w:lvl w:ilvl="0">
      <w:lvlJc w:val="left"/>
      <w:lvlText w:val="(%1)"/>
      <w:numFmt w:val="decimal"/>
      <w:start w:val="1"/>
    </w:lvl>
  </w:abstractNum>
  <w:abstractNum w:abstractNumId="78">
    <w:nsid w:val="6A5EE64"/>
    <w:multiLevelType w:val="hybridMultilevel"/>
    <w:lvl w:ilvl="0">
      <w:lvlJc w:val="left"/>
      <w:lvlText w:val="•"/>
      <w:numFmt w:val="bullet"/>
      <w:start w:val="1"/>
    </w:lvl>
  </w:abstractNum>
  <w:abstractNum w:abstractNumId="79">
    <w:nsid w:val="14330624"/>
    <w:multiLevelType w:val="hybridMultilevel"/>
    <w:lvl w:ilvl="0">
      <w:lvlJc w:val="left"/>
      <w:lvlText w:val="(%1)"/>
      <w:numFmt w:val="decimal"/>
      <w:start w:val="1"/>
    </w:lvl>
  </w:abstractNum>
  <w:abstractNum w:abstractNumId="80">
    <w:nsid w:val="7FFFCA11"/>
    <w:multiLevelType w:val="hybridMultilevel"/>
    <w:lvl w:ilvl="0">
      <w:lvlJc w:val="left"/>
      <w:lvlText w:val="%1."/>
      <w:numFmt w:val="decimal"/>
      <w:start w:val="1"/>
    </w:lvl>
    <w:lvl w:ilvl="1">
      <w:lvlJc w:val="left"/>
      <w:lvlText w:val="(%2)"/>
      <w:numFmt w:val="lowerLetter"/>
      <w:start w:val="1"/>
    </w:lvl>
  </w:abstractNum>
  <w:abstractNum w:abstractNumId="81">
    <w:nsid w:val="1A27709E"/>
    <w:multiLevelType w:val="hybridMultilevel"/>
    <w:lvl w:ilvl="0">
      <w:lvlJc w:val="left"/>
      <w:lvlText w:val="%1."/>
      <w:numFmt w:val="decimal"/>
      <w:start w:val="1"/>
    </w:lvl>
    <w:lvl w:ilvl="1">
      <w:lvlJc w:val="left"/>
      <w:lvlText w:val="(%2)"/>
      <w:numFmt w:val="lowerLetter"/>
      <w:start w:val="1"/>
    </w:lvl>
  </w:abstractNum>
  <w:abstractNum w:abstractNumId="82">
    <w:nsid w:val="71EA1109"/>
    <w:multiLevelType w:val="hybridMultilevel"/>
    <w:lvl w:ilvl="0">
      <w:lvlJc w:val="left"/>
      <w:lvlText w:val="(%1)"/>
      <w:numFmt w:val="decimal"/>
      <w:start w:val="1"/>
    </w:lvl>
  </w:abstractNum>
  <w:abstractNum w:abstractNumId="83">
    <w:nsid w:val="100F59D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jpe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jpe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jpe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jpe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2019-12-07T14:06:48Z</dcterms:created>
  <dcterms:modified xsi:type="dcterms:W3CDTF">2019-12-07T14:06:48Z</dcterms:modified>
</cp:coreProperties>
</file>