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85725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6760" w:type="dxa"/>
            <w:vAlign w:val="bottom"/>
          </w:tcPr>
          <w:p>
            <w:pPr>
              <w:jc w:val="center"/>
              <w:ind w:right="3238"/>
              <w:spacing w:after="0"/>
              <w:rPr>
                <w:sz w:val="20"/>
                <w:szCs w:val="20"/>
                <w:color w:val="auto"/>
              </w:rPr>
            </w:pPr>
            <w:r>
              <w:rPr>
                <w:rFonts w:ascii="Arial" w:cs="Arial" w:eastAsia="Arial" w:hAnsi="Arial"/>
                <w:sz w:val="18"/>
                <w:szCs w:val="18"/>
                <w:b w:val="1"/>
                <w:bCs w:val="1"/>
                <w:color w:val="auto"/>
                <w:w w:val="91"/>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6760" w:type="dxa"/>
            <w:vAlign w:val="bottom"/>
          </w:tcPr>
          <w:p>
            <w:pPr>
              <w:jc w:val="center"/>
              <w:ind w:right="32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760" w:type="dxa"/>
            <w:vAlign w:val="bottom"/>
          </w:tcPr>
          <w:p>
            <w:pPr>
              <w:jc w:val="center"/>
              <w:ind w:right="3238"/>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Identification No.)</w:t>
            </w:r>
          </w:p>
        </w:tc>
      </w:tr>
      <w:tr>
        <w:trPr>
          <w:trHeight w:val="300"/>
        </w:trPr>
        <w:tc>
          <w:tcPr>
            <w:tcW w:w="6760" w:type="dxa"/>
            <w:vAlign w:val="bottom"/>
          </w:tcPr>
          <w:p>
            <w:pPr>
              <w:jc w:val="center"/>
              <w:ind w:right="3238"/>
              <w:spacing w:after="0"/>
              <w:rPr>
                <w:sz w:val="20"/>
                <w:szCs w:val="20"/>
                <w:color w:val="auto"/>
              </w:rPr>
            </w:pPr>
            <w:r>
              <w:rPr>
                <w:rFonts w:ascii="Arial" w:cs="Arial" w:eastAsia="Arial" w:hAnsi="Arial"/>
                <w:sz w:val="18"/>
                <w:szCs w:val="18"/>
                <w:b w:val="1"/>
                <w:bCs w:val="1"/>
                <w:color w:val="auto"/>
                <w:w w:val="91"/>
              </w:rPr>
              <w:t>9811 Katy Freeway, Suite 1200, Houston, TX</w:t>
            </w:r>
          </w:p>
        </w:tc>
        <w:tc>
          <w:tcPr>
            <w:tcW w:w="1260" w:type="dxa"/>
            <w:vAlign w:val="bottom"/>
          </w:tcPr>
          <w:p>
            <w:pPr>
              <w:jc w:val="right"/>
              <w:ind w:right="261"/>
              <w:spacing w:after="0"/>
              <w:rPr>
                <w:sz w:val="20"/>
                <w:szCs w:val="20"/>
                <w:color w:val="auto"/>
              </w:rPr>
            </w:pPr>
            <w:r>
              <w:rPr>
                <w:rFonts w:ascii="Arial" w:cs="Arial" w:eastAsia="Arial" w:hAnsi="Arial"/>
                <w:sz w:val="18"/>
                <w:szCs w:val="18"/>
                <w:b w:val="1"/>
                <w:bCs w:val="1"/>
                <w:color w:val="auto"/>
              </w:rPr>
              <w:t>77024</w:t>
            </w:r>
          </w:p>
        </w:tc>
      </w:tr>
      <w:tr>
        <w:trPr>
          <w:trHeight w:val="186"/>
        </w:trPr>
        <w:tc>
          <w:tcPr>
            <w:tcW w:w="6760" w:type="dxa"/>
            <w:vAlign w:val="bottom"/>
          </w:tcPr>
          <w:p>
            <w:pPr>
              <w:jc w:val="center"/>
              <w:ind w:right="32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237"/>
        </w:trPr>
        <w:tc>
          <w:tcPr>
            <w:tcW w:w="6760" w:type="dxa"/>
            <w:vAlign w:val="bottom"/>
          </w:tcPr>
          <w:p>
            <w:pPr>
              <w:jc w:val="right"/>
              <w:ind w:right="1538"/>
              <w:spacing w:after="0"/>
              <w:rPr>
                <w:sz w:val="20"/>
                <w:szCs w:val="20"/>
                <w:color w:val="auto"/>
              </w:rPr>
            </w:pPr>
            <w:r>
              <w:rPr>
                <w:rFonts w:ascii="Arial" w:cs="Arial" w:eastAsia="Arial" w:hAnsi="Arial"/>
                <w:sz w:val="18"/>
                <w:szCs w:val="18"/>
                <w:b w:val="1"/>
                <w:bCs w:val="1"/>
                <w:color w:val="auto"/>
              </w:rPr>
              <w:t>(346) 359-1010</w:t>
            </w:r>
          </w:p>
        </w:tc>
        <w:tc>
          <w:tcPr>
            <w:tcW w:w="1260" w:type="dxa"/>
            <w:vAlign w:val="bottom"/>
          </w:tcPr>
          <w:p>
            <w:pPr>
              <w:spacing w:after="0"/>
              <w:rPr>
                <w:sz w:val="20"/>
                <w:szCs w:val="20"/>
                <w:color w:val="auto"/>
              </w:rPr>
            </w:pPr>
          </w:p>
        </w:tc>
      </w:tr>
      <w:tr>
        <w:trPr>
          <w:trHeight w:val="234"/>
        </w:trPr>
        <w:tc>
          <w:tcPr>
            <w:tcW w:w="6760" w:type="dxa"/>
            <w:vAlign w:val="bottom"/>
          </w:tcPr>
          <w:p>
            <w:pPr>
              <w:jc w:val="center"/>
              <w:ind w:left="233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40"/>
        </w:trPr>
        <w:tc>
          <w:tcPr>
            <w:tcW w:w="45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120" w:type="dxa"/>
            <w:vAlign w:val="bottom"/>
            <w:vMerge w:val="continue"/>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GLDD</w:t>
            </w:r>
          </w:p>
        </w:tc>
        <w:tc>
          <w:tcPr>
            <w:tcW w:w="120" w:type="dxa"/>
            <w:vAlign w:val="bottom"/>
            <w:vMerge w:val="continue"/>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Nasdaq Stock Market, LLC</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3"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28, 2021, 65,657,699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0"/>
        </w:trPr>
        <w:tc>
          <w:tcPr>
            <w:tcW w:w="1040" w:type="dxa"/>
            <w:vAlign w:val="bottom"/>
          </w:tcPr>
          <w:p>
            <w:pPr>
              <w:spacing w:after="0"/>
              <w:rPr>
                <w:sz w:val="24"/>
                <w:szCs w:val="24"/>
                <w:color w:val="auto"/>
              </w:rPr>
            </w:pPr>
          </w:p>
        </w:tc>
        <w:tc>
          <w:tcPr>
            <w:tcW w:w="3180" w:type="dxa"/>
            <w:vAlign w:val="bottom"/>
            <w:tcBorders>
              <w:bottom w:val="single" w:sz="8" w:color="0000EE"/>
            </w:tcBorders>
            <w:gridSpan w:val="11"/>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Financial Information (Unaudited)</w:t>
              </w:r>
            </w:hyperlink>
          </w:p>
        </w:tc>
        <w:tc>
          <w:tcPr>
            <w:tcW w:w="612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8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59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2021 and December 31, 2020</w:t>
              </w:r>
            </w:hyperlink>
          </w:p>
        </w:tc>
        <w:tc>
          <w:tcPr>
            <w:tcW w:w="338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80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2021 and 2020</w:t>
              </w:r>
            </w:hyperlink>
          </w:p>
        </w:tc>
        <w:tc>
          <w:tcPr>
            <w:tcW w:w="12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040" w:type="dxa"/>
            <w:vAlign w:val="bottom"/>
          </w:tcPr>
          <w:p>
            <w:pPr>
              <w:spacing w:after="0"/>
              <w:rPr>
                <w:sz w:val="24"/>
                <w:szCs w:val="24"/>
                <w:color w:val="auto"/>
              </w:rPr>
            </w:pPr>
          </w:p>
        </w:tc>
        <w:tc>
          <w:tcPr>
            <w:tcW w:w="898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and Six Months ended June 30, 2021 and 2020</w:t>
              </w:r>
            </w:hyperlink>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for the Three and Six Months ended June 30, 2021 and 2020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040" w:type="dxa"/>
            <w:vAlign w:val="bottom"/>
          </w:tcPr>
          <w:p>
            <w:pPr>
              <w:spacing w:after="0"/>
              <w:rPr>
                <w:sz w:val="24"/>
                <w:szCs w:val="24"/>
                <w:color w:val="auto"/>
              </w:rPr>
            </w:pPr>
          </w:p>
        </w:tc>
        <w:tc>
          <w:tcPr>
            <w:tcW w:w="73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2021 and 2020</w:t>
              </w:r>
            </w:hyperlink>
          </w:p>
        </w:tc>
        <w:tc>
          <w:tcPr>
            <w:tcW w:w="360" w:type="dxa"/>
            <w:vAlign w:val="bottom"/>
            <w:tcBorders>
              <w:top w:val="single" w:sz="8" w:color="0000EE"/>
            </w:tcBorders>
          </w:tcPr>
          <w:p>
            <w:pPr>
              <w:spacing w:after="0"/>
              <w:rPr>
                <w:sz w:val="24"/>
                <w:szCs w:val="24"/>
                <w:color w:val="auto"/>
              </w:rPr>
            </w:pPr>
          </w:p>
        </w:tc>
        <w:tc>
          <w:tcPr>
            <w:tcW w:w="156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494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5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730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98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496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754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7"/>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Signature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4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180,767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216,510</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38,990</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revenues in excess of billings</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32,106</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32,758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34,689</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39,330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40,398</w:t>
            </w:r>
          </w:p>
        </w:tc>
        <w:tc>
          <w:tcPr>
            <w:tcW w:w="100" w:type="dxa"/>
            <w:vAlign w:val="bottom"/>
            <w:shd w:val="clear" w:color="auto" w:fill="CFF0FC"/>
          </w:tcPr>
          <w:p>
            <w:pPr>
              <w:spacing w:after="0"/>
              <w:rPr>
                <w:sz w:val="19"/>
                <w:szCs w:val="19"/>
                <w:color w:val="auto"/>
              </w:rPr>
            </w:pPr>
          </w:p>
        </w:tc>
      </w:tr>
      <w:tr>
        <w:trPr>
          <w:trHeight w:val="223"/>
        </w:trPr>
        <w:tc>
          <w:tcPr>
            <w:tcW w:w="734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323,152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362,693</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422,552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383,042</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65,188</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76,576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76,576</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INVENTORIES—Noncurrent</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58,413</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12,112</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949,633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958,024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7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71,308</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52,899</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19,472</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Billings in excess of contract revenues</w:t>
            </w:r>
          </w:p>
        </w:tc>
        <w:tc>
          <w:tcPr>
            <w:tcW w:w="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32,608</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176,287</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320,696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323,735</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OPERATING LEASE LIABILITIES—Noncurrent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45,879</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59,458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56,466</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8,989</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589,536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611,356</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EQUITY:</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Common stock—$.0001 par value; 90,000 authorized, 65,654 and 65,023 shares issued and</w:t>
            </w: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at June 30, 2021 and December 31, 2020, respectively.</w:t>
            </w: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304,977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304,757</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40,937</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equity</w:t>
            </w:r>
          </w:p>
        </w:tc>
        <w:tc>
          <w:tcPr>
            <w:tcW w:w="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360,097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346,668</w:t>
            </w:r>
          </w:p>
        </w:tc>
        <w:tc>
          <w:tcPr>
            <w:tcW w:w="100" w:type="dxa"/>
            <w:vAlign w:val="bottom"/>
            <w:shd w:val="clear" w:color="auto" w:fill="CFF0FC"/>
          </w:tcPr>
          <w:p>
            <w:pPr>
              <w:spacing w:after="0"/>
              <w:rPr>
                <w:sz w:val="19"/>
                <w:szCs w:val="19"/>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949,633</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958,024</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4180" w:type="dxa"/>
            <w:vAlign w:val="bottom"/>
            <w:tcBorders>
              <w:bottom w:val="single" w:sz="8" w:color="CFF0FC"/>
            </w:tcBorders>
          </w:tcPr>
          <w:p>
            <w:pPr>
              <w:spacing w:after="0"/>
              <w:rPr>
                <w:sz w:val="14"/>
                <w:szCs w:val="14"/>
                <w:color w:val="auto"/>
              </w:rPr>
            </w:pPr>
          </w:p>
        </w:tc>
        <w:tc>
          <w:tcPr>
            <w:tcW w:w="15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167,920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385,615</w:t>
            </w:r>
          </w:p>
        </w:tc>
        <w:tc>
          <w:tcPr>
            <w:tcW w:w="120" w:type="dxa"/>
            <w:vAlign w:val="bottom"/>
            <w:shd w:val="clear" w:color="auto" w:fill="CFF0FC"/>
          </w:tcPr>
          <w:p>
            <w:pPr>
              <w:spacing w:after="0"/>
              <w:rPr>
                <w:sz w:val="19"/>
                <w:szCs w:val="19"/>
                <w:color w:val="auto"/>
              </w:rPr>
            </w:pPr>
          </w:p>
        </w:tc>
      </w:tr>
      <w:tr>
        <w:trPr>
          <w:trHeight w:val="229"/>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1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146,992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134,904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284,125</w:t>
            </w:r>
          </w:p>
        </w:tc>
        <w:tc>
          <w:tcPr>
            <w:tcW w:w="120" w:type="dxa"/>
            <w:vAlign w:val="bottom"/>
            <w:tcBorders>
              <w:bottom w:val="single" w:sz="8" w:color="CFF0FC"/>
            </w:tcBorders>
          </w:tcPr>
          <w:p>
            <w:pPr>
              <w:spacing w:after="0"/>
              <w:rPr>
                <w:sz w:val="19"/>
                <w:szCs w:val="19"/>
                <w:color w:val="auto"/>
              </w:rPr>
            </w:pPr>
          </w:p>
        </w:tc>
      </w:tr>
      <w:tr>
        <w:trPr>
          <w:trHeight w:val="223"/>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101,490</w:t>
            </w:r>
          </w:p>
        </w:tc>
        <w:tc>
          <w:tcPr>
            <w:tcW w:w="120" w:type="dxa"/>
            <w:vAlign w:val="bottom"/>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14,804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30,375</w:t>
            </w:r>
          </w:p>
        </w:tc>
        <w:tc>
          <w:tcPr>
            <w:tcW w:w="12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assets—net</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w:t>
            </w:r>
          </w:p>
        </w:tc>
      </w:tr>
      <w:tr>
        <w:trPr>
          <w:trHeight w:val="223"/>
        </w:trPr>
        <w:tc>
          <w:tcPr>
            <w:tcW w:w="418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5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18,251</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71,299</w:t>
            </w:r>
          </w:p>
        </w:tc>
        <w:tc>
          <w:tcPr>
            <w:tcW w:w="12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(6,725)</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(13,243)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(13,355)</w:t>
            </w: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Other income (expense)</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(556)</w:t>
            </w:r>
          </w:p>
        </w:tc>
      </w:tr>
      <w:tr>
        <w:trPr>
          <w:trHeight w:val="223"/>
        </w:trPr>
        <w:tc>
          <w:tcPr>
            <w:tcW w:w="41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1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Income tax provision</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(3,131)</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(14,441)</w:t>
            </w:r>
          </w:p>
        </w:tc>
      </w:tr>
      <w:tr>
        <w:trPr>
          <w:trHeight w:val="223"/>
        </w:trPr>
        <w:tc>
          <w:tcPr>
            <w:tcW w:w="4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7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64,864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65,458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64,659</w:t>
            </w:r>
          </w:p>
        </w:tc>
        <w:tc>
          <w:tcPr>
            <w:tcW w:w="12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7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9"/>
                <w:szCs w:val="19"/>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65,758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65,802</w:t>
            </w:r>
          </w:p>
        </w:tc>
        <w:tc>
          <w:tcPr>
            <w:tcW w:w="120" w:type="dxa"/>
            <w:vAlign w:val="bottom"/>
            <w:shd w:val="clear" w:color="auto" w:fill="CFF0FC"/>
          </w:tcPr>
          <w:p>
            <w:pPr>
              <w:spacing w:after="0"/>
              <w:rPr>
                <w:sz w:val="19"/>
                <w:szCs w:val="19"/>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460" w:type="dxa"/>
            <w:vAlign w:val="bottom"/>
            <w:gridSpan w:val="5"/>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9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28"/>
        </w:trPr>
        <w:tc>
          <w:tcPr>
            <w:tcW w:w="5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2,105</w:t>
            </w:r>
          </w:p>
        </w:tc>
        <w:tc>
          <w:tcPr>
            <w:tcW w:w="5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8,960</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10,919</w:t>
            </w:r>
          </w:p>
        </w:tc>
        <w:tc>
          <w:tcPr>
            <w:tcW w:w="5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42,947</w:t>
            </w:r>
          </w:p>
        </w:tc>
        <w:tc>
          <w:tcPr>
            <w:tcW w:w="120" w:type="dxa"/>
            <w:vAlign w:val="bottom"/>
            <w:shd w:val="clear" w:color="auto" w:fill="CFF0FC"/>
          </w:tcPr>
          <w:p>
            <w:pPr>
              <w:spacing w:after="0"/>
              <w:rPr>
                <w:sz w:val="19"/>
                <w:szCs w:val="19"/>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Net change in cash flow derivative hedges—net of tax (1)</w:t>
            </w: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(3,686)</w:t>
            </w: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2,509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42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benefit of $(136) and $1,162 for the three months ended June 30, 2021 and 2020 respectively. Net of income tax (provision) of $(773) and $(1,255) for the six months ended June 30, 2021 and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Retained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4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left="43"/>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4"/>
              </w:rPr>
              <w:t>Comprehensive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74"/>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ind w:left="43"/>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4240" w:type="dxa"/>
            <w:vAlign w:val="bottom"/>
            <w:tcBorders>
              <w:top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BALANCE—January 1, 2021</w:t>
            </w:r>
          </w:p>
        </w:tc>
        <w:tc>
          <w:tcPr>
            <w:tcW w:w="720" w:type="dxa"/>
            <w:vAlign w:val="bottom"/>
            <w:tcBorders>
              <w:top w:val="single" w:sz="8" w:color="auto"/>
            </w:tcBorders>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65,023</w:t>
            </w:r>
          </w:p>
        </w:tc>
        <w:tc>
          <w:tcPr>
            <w:tcW w:w="280" w:type="dxa"/>
            <w:vAlign w:val="bottom"/>
            <w:tcBorders>
              <w:top w:val="single" w:sz="8" w:color="CFF0FC"/>
            </w:tcBorders>
            <w:gridSpan w:val="2"/>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ind w:right="483"/>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6</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304,757</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40,937</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968</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346,668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40" w:type="dxa"/>
            <w:vAlign w:val="bottom"/>
          </w:tcPr>
          <w:p>
            <w:pPr>
              <w:ind w:left="260"/>
              <w:spacing w:after="0" w:line="143" w:lineRule="exact"/>
              <w:rPr>
                <w:sz w:val="20"/>
                <w:szCs w:val="20"/>
                <w:color w:val="auto"/>
              </w:rPr>
            </w:pPr>
            <w:r>
              <w:rPr>
                <w:rFonts w:ascii="Arial" w:cs="Arial" w:eastAsia="Arial" w:hAnsi="Arial"/>
                <w:sz w:val="14"/>
                <w:szCs w:val="14"/>
                <w:color w:val="auto"/>
                <w:w w:val="98"/>
              </w:rPr>
              <w:t>Vesting of restricted stock units and impact of shares withheld for</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(3,784)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101"/>
        </w:trPr>
        <w:tc>
          <w:tcPr>
            <w:tcW w:w="4240" w:type="dxa"/>
            <w:vAlign w:val="bottom"/>
            <w:vMerge w:val="restart"/>
          </w:tcPr>
          <w:p>
            <w:pPr>
              <w:ind w:left="260"/>
              <w:spacing w:after="0"/>
              <w:rPr>
                <w:sz w:val="20"/>
                <w:szCs w:val="20"/>
                <w:color w:val="auto"/>
              </w:rPr>
            </w:pPr>
            <w:r>
              <w:rPr>
                <w:rFonts w:ascii="Arial" w:cs="Arial" w:eastAsia="Arial" w:hAnsi="Arial"/>
                <w:sz w:val="14"/>
                <w:szCs w:val="14"/>
                <w:color w:val="auto"/>
              </w:rPr>
              <w:t>taxes</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options and purchases from employee stock plans</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income—net of tax</w:t>
            </w: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BALANCE—June 30, 2021</w:t>
            </w:r>
          </w:p>
        </w:tc>
        <w:tc>
          <w:tcPr>
            <w:tcW w:w="7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65,654</w:t>
            </w:r>
          </w:p>
        </w:tc>
        <w:tc>
          <w:tcPr>
            <w:tcW w:w="280" w:type="dxa"/>
            <w:vAlign w:val="bottom"/>
            <w:tcBorders>
              <w:bottom w:val="single" w:sz="8" w:color="CFF0FC"/>
            </w:tcBorders>
            <w:gridSpan w:val="2"/>
          </w:tcPr>
          <w:p>
            <w:pPr>
              <w:spacing w:after="0"/>
              <w:rPr>
                <w:sz w:val="17"/>
                <w:szCs w:val="17"/>
                <w:color w:val="auto"/>
              </w:rPr>
            </w:pPr>
          </w:p>
        </w:tc>
        <w:tc>
          <w:tcPr>
            <w:tcW w:w="60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304,977</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51,856</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3,258</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360,097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BALANCE—January 1, 2020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64,283</w:t>
            </w:r>
          </w:p>
        </w:tc>
        <w:tc>
          <w:tcPr>
            <w:tcW w:w="880" w:type="dxa"/>
            <w:vAlign w:val="bottom"/>
            <w:gridSpan w:val="3"/>
          </w:tcPr>
          <w:p>
            <w:pPr>
              <w:jc w:val="right"/>
              <w:ind w:right="483"/>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302,189</w:t>
            </w:r>
          </w:p>
        </w:tc>
        <w:tc>
          <w:tcPr>
            <w:tcW w:w="1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(23,091)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279,399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8"/>
              </w:rPr>
              <w:t>Vesting of restricted stock units and impact of shares withheld for</w:t>
            </w: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(2,106)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101"/>
        </w:trPr>
        <w:tc>
          <w:tcPr>
            <w:tcW w:w="424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taxes</w:t>
            </w:r>
          </w:p>
        </w:tc>
        <w:tc>
          <w:tcPr>
            <w:tcW w:w="72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6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2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60"/>
              <w:spacing w:after="0"/>
              <w:rPr>
                <w:sz w:val="20"/>
                <w:szCs w:val="20"/>
                <w:color w:val="auto"/>
              </w:rPr>
            </w:pPr>
            <w:r>
              <w:rPr>
                <w:rFonts w:ascii="Arial" w:cs="Arial" w:eastAsia="Arial" w:hAnsi="Arial"/>
                <w:sz w:val="14"/>
                <w:szCs w:val="14"/>
                <w:color w:val="auto"/>
              </w:rPr>
              <w:t>Exercise of options and purchases from employee stock plans</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42,947</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60"/>
              <w:spacing w:after="0"/>
              <w:rPr>
                <w:sz w:val="20"/>
                <w:szCs w:val="20"/>
                <w:color w:val="auto"/>
              </w:rPr>
            </w:pPr>
            <w:r>
              <w:rPr>
                <w:rFonts w:ascii="Arial" w:cs="Arial" w:eastAsia="Arial" w:hAnsi="Arial"/>
                <w:sz w:val="14"/>
                <w:szCs w:val="14"/>
                <w:color w:val="auto"/>
              </w:rPr>
              <w:t>Other comprehensive loss—net of tax</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(3,686)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(3,686)</w:t>
            </w:r>
          </w:p>
        </w:tc>
        <w:tc>
          <w:tcPr>
            <w:tcW w:w="0" w:type="dxa"/>
            <w:vAlign w:val="bottom"/>
          </w:tcPr>
          <w:p>
            <w:pPr>
              <w:spacing w:after="0"/>
              <w:rPr>
                <w:sz w:val="1"/>
                <w:szCs w:val="1"/>
                <w:color w:val="auto"/>
              </w:rPr>
            </w:pPr>
          </w:p>
        </w:tc>
      </w:tr>
      <w:tr>
        <w:trPr>
          <w:trHeight w:val="155"/>
        </w:trPr>
        <w:tc>
          <w:tcPr>
            <w:tcW w:w="42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BALANCE—June 30, 2020</w:t>
            </w:r>
          </w:p>
        </w:tc>
        <w:tc>
          <w:tcPr>
            <w:tcW w:w="7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64,947</w:t>
            </w:r>
          </w:p>
        </w:tc>
        <w:tc>
          <w:tcPr>
            <w:tcW w:w="28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ind w:right="483"/>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304,531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19,856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(3,391)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321,002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24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left="43"/>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Retained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4"/>
              </w:rPr>
              <w:t>Comprehensive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74"/>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ind w:left="43"/>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0"/>
        </w:trPr>
        <w:tc>
          <w:tcPr>
            <w:tcW w:w="4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spacing w:after="0"/>
              <w:rPr>
                <w:sz w:val="20"/>
                <w:szCs w:val="20"/>
                <w:color w:val="auto"/>
              </w:rPr>
            </w:pPr>
            <w:r>
              <w:rPr>
                <w:rFonts w:ascii="Arial" w:cs="Arial" w:eastAsia="Arial" w:hAnsi="Arial"/>
                <w:sz w:val="14"/>
                <w:szCs w:val="14"/>
                <w:color w:val="auto"/>
              </w:rPr>
              <w:t>BALANCE—March 31, 2021</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65,620</w:t>
            </w:r>
          </w:p>
        </w:tc>
        <w:tc>
          <w:tcPr>
            <w:tcW w:w="880" w:type="dxa"/>
            <w:vAlign w:val="bottom"/>
            <w:gridSpan w:val="3"/>
            <w:shd w:val="clear" w:color="auto" w:fill="CFF0FC"/>
          </w:tcPr>
          <w:p>
            <w:pPr>
              <w:jc w:val="right"/>
              <w:ind w:right="483"/>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303,999</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49,751</w:t>
            </w:r>
          </w:p>
        </w:tc>
        <w:tc>
          <w:tcPr>
            <w:tcW w:w="1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2,854</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356,610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40" w:type="dxa"/>
            <w:vAlign w:val="bottom"/>
          </w:tcPr>
          <w:p>
            <w:pPr>
              <w:ind w:left="260"/>
              <w:spacing w:after="0" w:line="143" w:lineRule="exact"/>
              <w:rPr>
                <w:sz w:val="20"/>
                <w:szCs w:val="20"/>
                <w:color w:val="auto"/>
              </w:rPr>
            </w:pPr>
            <w:r>
              <w:rPr>
                <w:rFonts w:ascii="Arial" w:cs="Arial" w:eastAsia="Arial" w:hAnsi="Arial"/>
                <w:sz w:val="14"/>
                <w:szCs w:val="14"/>
                <w:color w:val="auto"/>
                <w:w w:val="98"/>
              </w:rPr>
              <w:t>Vesting of restricted stock units and impact of shares withheld for</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240" w:type="dxa"/>
            <w:vAlign w:val="bottom"/>
            <w:vMerge w:val="restart"/>
          </w:tcPr>
          <w:p>
            <w:pPr>
              <w:ind w:left="260"/>
              <w:spacing w:after="0"/>
              <w:rPr>
                <w:sz w:val="20"/>
                <w:szCs w:val="20"/>
                <w:color w:val="auto"/>
              </w:rPr>
            </w:pPr>
            <w:r>
              <w:rPr>
                <w:rFonts w:ascii="Arial" w:cs="Arial" w:eastAsia="Arial" w:hAnsi="Arial"/>
                <w:sz w:val="14"/>
                <w:szCs w:val="14"/>
                <w:color w:val="auto"/>
              </w:rPr>
              <w:t>taxes</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options and purchases from employee stock plans</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income—net of tax</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40" w:type="dxa"/>
            <w:vAlign w:val="bottom"/>
          </w:tcPr>
          <w:p>
            <w:pPr>
              <w:spacing w:after="0" w:line="155" w:lineRule="exact"/>
              <w:rPr>
                <w:sz w:val="20"/>
                <w:szCs w:val="20"/>
                <w:color w:val="auto"/>
              </w:rPr>
            </w:pPr>
            <w:r>
              <w:rPr>
                <w:rFonts w:ascii="Arial" w:cs="Arial" w:eastAsia="Arial" w:hAnsi="Arial"/>
                <w:sz w:val="14"/>
                <w:szCs w:val="14"/>
                <w:color w:val="auto"/>
              </w:rPr>
              <w:t>BALANCE—June 30, 2021</w:t>
            </w: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65,654</w:t>
            </w:r>
          </w:p>
        </w:tc>
        <w:tc>
          <w:tcPr>
            <w:tcW w:w="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ind w:right="483"/>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304,977</w:t>
            </w:r>
          </w:p>
        </w:tc>
        <w:tc>
          <w:tcPr>
            <w:tcW w:w="140" w:type="dxa"/>
            <w:vAlign w:val="bottom"/>
          </w:tcPr>
          <w:p>
            <w:pPr>
              <w:spacing w:after="0"/>
              <w:rPr>
                <w:sz w:val="17"/>
                <w:szCs w:val="17"/>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51,856</w:t>
            </w:r>
          </w:p>
        </w:tc>
        <w:tc>
          <w:tcPr>
            <w:tcW w:w="100" w:type="dxa"/>
            <w:vAlign w:val="bottom"/>
            <w:tcBorders>
              <w:top w:val="single" w:sz="8" w:color="auto"/>
            </w:tcBorders>
          </w:tcPr>
          <w:p>
            <w:pPr>
              <w:spacing w:after="0"/>
              <w:rPr>
                <w:sz w:val="17"/>
                <w:szCs w:val="17"/>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3,258</w:t>
            </w:r>
          </w:p>
        </w:tc>
        <w:tc>
          <w:tcPr>
            <w:tcW w:w="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360,097</w:t>
            </w: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BALANCE—March 31, 2020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64,795</w:t>
            </w:r>
          </w:p>
        </w:tc>
        <w:tc>
          <w:tcPr>
            <w:tcW w:w="880" w:type="dxa"/>
            <w:vAlign w:val="bottom"/>
            <w:gridSpan w:val="3"/>
          </w:tcPr>
          <w:p>
            <w:pPr>
              <w:jc w:val="right"/>
              <w:ind w:right="483"/>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302,558</w:t>
            </w:r>
          </w:p>
        </w:tc>
        <w:tc>
          <w:tcPr>
            <w:tcW w:w="1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10,896</w:t>
            </w:r>
          </w:p>
        </w:tc>
        <w:tc>
          <w:tcPr>
            <w:tcW w:w="10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(6,831)</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306,629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8"/>
              </w:rPr>
              <w:t>Vesting of restricted stock units and impact of shares withheld for</w:t>
            </w: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01"/>
        </w:trPr>
        <w:tc>
          <w:tcPr>
            <w:tcW w:w="424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taxes</w:t>
            </w:r>
          </w:p>
        </w:tc>
        <w:tc>
          <w:tcPr>
            <w:tcW w:w="72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6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2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60"/>
              <w:spacing w:after="0"/>
              <w:rPr>
                <w:sz w:val="20"/>
                <w:szCs w:val="20"/>
                <w:color w:val="auto"/>
              </w:rPr>
            </w:pPr>
            <w:r>
              <w:rPr>
                <w:rFonts w:ascii="Arial" w:cs="Arial" w:eastAsia="Arial" w:hAnsi="Arial"/>
                <w:sz w:val="14"/>
                <w:szCs w:val="14"/>
                <w:color w:val="auto"/>
              </w:rPr>
              <w:t>Exercise of options and purchases from employee stock plans</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8,960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comprehensive income—net of tax</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3,440</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BALANCE—June 30, 2020</w:t>
            </w:r>
          </w:p>
        </w:tc>
        <w:tc>
          <w:tcPr>
            <w:tcW w:w="72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64,947</w:t>
            </w: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ind w:right="483"/>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w:t>
            </w: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304,531</w:t>
            </w:r>
          </w:p>
        </w:tc>
        <w:tc>
          <w:tcPr>
            <w:tcW w:w="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19,856</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(3,391)</w:t>
            </w: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321,002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10,919</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42,947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20,681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18,707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Gain on sale of assets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fees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2,564</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(14,109)</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revenues in excess of billings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(2,450)</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(1,233)</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(4,733)</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(2,668)</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(8,229)</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Billings in excess of contract revenues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(3,775)</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(179)</w:t>
            </w: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provided by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67,460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(64,828)</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(21,076)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Cash used in investing activities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(64,605)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(20,140)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fees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(4,395)</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(3,784)</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(2,106)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used in financing activities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(35,743)</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46,532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216,510</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186,995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180,767</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233,527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7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paid for interest</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13,984</w:t>
            </w:r>
          </w:p>
        </w:tc>
        <w:tc>
          <w:tcPr>
            <w:tcW w:w="280" w:type="dxa"/>
            <w:vAlign w:val="bottom"/>
            <w:tcBorders>
              <w:bottom w:val="single" w:sz="8" w:color="CFF0FC"/>
            </w:tcBorders>
          </w:tcPr>
          <w:p>
            <w:pPr>
              <w:spacing w:after="0"/>
              <w:rPr>
                <w:sz w:val="23"/>
                <w:szCs w:val="23"/>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12,548</w:t>
            </w:r>
          </w:p>
        </w:tc>
        <w:tc>
          <w:tcPr>
            <w:tcW w:w="120" w:type="dxa"/>
            <w:vAlign w:val="bottom"/>
            <w:tcBorders>
              <w:bottom w:val="single" w:sz="8" w:color="CFF0FC"/>
            </w:tcBorders>
          </w:tcPr>
          <w:p>
            <w:pPr>
              <w:spacing w:after="0"/>
              <w:rPr>
                <w:sz w:val="23"/>
                <w:szCs w:val="23"/>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11,139</w:t>
            </w:r>
          </w:p>
        </w:tc>
        <w:tc>
          <w:tcPr>
            <w:tcW w:w="2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2020.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2021 and December 31, 2020, and its results of operations for the three and six months ended June 30, 2021 and 2020 and cash flows for the six months ended June 30, 2021 and 2020 have been included.</w:t>
      </w:r>
    </w:p>
    <w:p>
      <w:pPr>
        <w:spacing w:after="0" w:line="185"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one operating segment which is also the Company’s reportable segment and reporting unit of which the Company tests goodwill for impairment. The Company performed its most recent annual test of impairment as of July 1, 2020 with no indication of impairment as of the test date. The Company will perform its next scheduled annual test of goodwill in the third quarter of 2021.</w:t>
      </w:r>
    </w:p>
    <w:p>
      <w:pPr>
        <w:spacing w:after="0" w:line="184"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On August 4, 2020, the Company announced that its board of directors approved a share repurchase program, authorizing, but not obligating, the repurchase of up to an aggregate amount of $75.0 million of its common stock from time to time through July 31, 2021.</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6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for basic and diluted earnings per share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gridSpan w:val="2"/>
          </w:tcPr>
          <w:p>
            <w:pPr>
              <w:ind w:left="480"/>
              <w:spacing w:after="0"/>
              <w:rPr>
                <w:sz w:val="20"/>
                <w:szCs w:val="20"/>
                <w:color w:val="auto"/>
              </w:rPr>
            </w:pPr>
            <w:r>
              <w:rPr>
                <w:rFonts w:ascii="Arial" w:cs="Arial" w:eastAsia="Arial" w:hAnsi="Arial"/>
                <w:sz w:val="14"/>
                <w:szCs w:val="14"/>
                <w:b w:val="1"/>
                <w:bCs w:val="1"/>
                <w:color w:val="auto"/>
              </w:rPr>
              <w:t>(shares in thousands)</w:t>
            </w:r>
          </w:p>
        </w:tc>
        <w:tc>
          <w:tcPr>
            <w:tcW w:w="1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462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42,947</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64,864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65,458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64,659</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stock options and restricted stock units</w:t>
            </w:r>
          </w:p>
        </w:tc>
        <w:tc>
          <w:tcPr>
            <w:tcW w:w="1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0" w:type="dxa"/>
            <w:vAlign w:val="bottom"/>
            <w:vMerge w:val="continue"/>
          </w:tcPr>
          <w:p>
            <w:pPr>
              <w:spacing w:after="0"/>
              <w:rPr>
                <w:sz w:val="23"/>
                <w:szCs w:val="23"/>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 diluted</w:t>
            </w:r>
          </w:p>
        </w:tc>
        <w:tc>
          <w:tcPr>
            <w:tcW w:w="126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66,137</w:t>
            </w:r>
          </w:p>
        </w:tc>
        <w:tc>
          <w:tcPr>
            <w:tcW w:w="22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65,758</w:t>
            </w:r>
          </w:p>
        </w:tc>
        <w:tc>
          <w:tcPr>
            <w:tcW w:w="2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66,187</w:t>
            </w:r>
          </w:p>
        </w:tc>
        <w:tc>
          <w:tcPr>
            <w:tcW w:w="2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65,802</w:t>
            </w:r>
          </w:p>
        </w:tc>
        <w:tc>
          <w:tcPr>
            <w:tcW w:w="80" w:type="dxa"/>
            <w:vAlign w:val="bottom"/>
            <w:tcBorders>
              <w:bottom w:val="single" w:sz="8" w:color="CFF0FC"/>
            </w:tcBorders>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0" w:type="dxa"/>
            <w:vAlign w:val="bottom"/>
            <w:vMerge w:val="restart"/>
          </w:tcPr>
          <w:p>
            <w:pPr>
              <w:spacing w:after="0"/>
              <w:rPr>
                <w:sz w:val="18"/>
                <w:szCs w:val="18"/>
                <w:color w:val="auto"/>
              </w:rPr>
            </w:pPr>
          </w:p>
        </w:tc>
        <w:tc>
          <w:tcPr>
            <w:tcW w:w="46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0.17</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 diluted</w:t>
            </w:r>
          </w:p>
        </w:tc>
        <w:tc>
          <w:tcPr>
            <w:tcW w:w="1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60" w:type="dxa"/>
            <w:vAlign w:val="bottom"/>
          </w:tcPr>
          <w:p>
            <w:pPr>
              <w:jc w:val="right"/>
              <w:ind w:right="61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June 30, 2021 and December 31, 2020 were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7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Income and other taxes</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Contract reserves</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37,230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52,899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June 30, 2021 and December 31, 2020, the Company had no borrowings outstanding under our $200,000 amended and restated revolving credit and security agreement (as amended, the “Amended Credit Agreement”). There were $35,909 and $36,407 of letters of credit outstanding and $163,764 and $163,231 of availability under the Amended Credit Agreement as of June 30, 2021 and December 31, 2020, respectively. The availability under the Amended Credit Agreement is suppressed by $327 as of June 30, 2021 and December 31, 2020, as a result of certain limitations set forth in the Amended Credit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May 2021 the Company sold $325 million of unsecured 5.25% Senior Notes (the “2029 Notes”) pursuant to a private offering. The 2029 Notes were priced to investors at par and will mature on June 1, 2029. The Company used the net proceeds from the offering, together with cash on hand, to redeem all $325 million aggregate principal amount of its outstanding 8.000% Senior Notes due 2022 (the “8% Notes”). Approximately $1.0 million of deferred financing fees related to the 8% Notes were extinguished and are presented within net interest expense in the Statement of Operations.</w:t>
      </w:r>
    </w:p>
    <w:p>
      <w:pPr>
        <w:spacing w:after="0" w:line="17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Company’s obligations under these 2029 Notes are guaranteed by each of the Company’s existing and future 100% owned domestic subsidiaries that are co-borrowers or guarantors under its Amended Credit Agreement. Such guarantees are full, unconditional and joint and several. The parent company issuer has no independent assets or operations and all non-guarantor subsidiaries have been determined to be minor.</w:t>
      </w:r>
    </w:p>
    <w:p>
      <w:pPr>
        <w:spacing w:after="0" w:line="14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4" w:right="399" w:bottom="1440" w:gutter="0" w:footer="0" w:header="0"/>
        </w:sectPr>
      </w:pPr>
    </w:p>
    <w:bookmarkStart w:id="9" w:name="page10"/>
    <w:bookmarkEnd w:id="9"/>
    <w:p>
      <w:pPr>
        <w:ind w:right="12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The Company does not hold or issue derivatives for speculative or trading purposes. The fair values of these financial instruments are summarized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9"/>
          </w:tcPr>
          <w:p>
            <w:pPr>
              <w:jc w:val="right"/>
              <w:ind w:right="26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1"/>
                <w:szCs w:val="11"/>
                <w:color w:val="auto"/>
              </w:rPr>
            </w:pPr>
          </w:p>
        </w:tc>
        <w:tc>
          <w:tcPr>
            <w:tcW w:w="14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20" w:type="dxa"/>
            <w:vAlign w:val="bottom"/>
          </w:tcPr>
          <w:p>
            <w:pPr>
              <w:spacing w:after="0"/>
              <w:rPr>
                <w:sz w:val="11"/>
                <w:szCs w:val="11"/>
                <w:color w:val="auto"/>
              </w:rPr>
            </w:pPr>
          </w:p>
        </w:tc>
        <w:tc>
          <w:tcPr>
            <w:tcW w:w="110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8"/>
              </w:rPr>
              <w:t>At June 30, 2021</w:t>
            </w:r>
          </w:p>
        </w:tc>
        <w:tc>
          <w:tcPr>
            <w:tcW w:w="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20" w:type="dxa"/>
            <w:vAlign w:val="bottom"/>
          </w:tcPr>
          <w:p>
            <w:pPr>
              <w:spacing w:after="0"/>
              <w:rPr>
                <w:sz w:val="12"/>
                <w:szCs w:val="12"/>
                <w:color w:val="auto"/>
              </w:rPr>
            </w:pPr>
          </w:p>
        </w:tc>
        <w:tc>
          <w:tcPr>
            <w:tcW w:w="14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4"/>
              </w:rPr>
              <w:t>(Level 3)</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3960" w:type="dxa"/>
            <w:vAlign w:val="bottom"/>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gridSpan w:val="2"/>
          </w:tcPr>
          <w:p>
            <w:pPr>
              <w:spacing w:after="0"/>
              <w:rPr>
                <w:sz w:val="24"/>
                <w:szCs w:val="24"/>
                <w:color w:val="auto"/>
              </w:rPr>
            </w:pPr>
          </w:p>
        </w:tc>
        <w:tc>
          <w:tcPr>
            <w:tcW w:w="1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200" w:type="dxa"/>
            <w:vAlign w:val="bottom"/>
          </w:tcPr>
          <w:p>
            <w:pPr>
              <w:spacing w:after="0"/>
              <w:rPr>
                <w:sz w:val="24"/>
                <w:szCs w:val="24"/>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200" w:type="dxa"/>
            <w:vAlign w:val="bottom"/>
          </w:tcPr>
          <w:p>
            <w:pPr>
              <w:spacing w:after="0"/>
              <w:rPr>
                <w:sz w:val="24"/>
                <w:szCs w:val="24"/>
                <w:color w:val="auto"/>
              </w:rPr>
            </w:pPr>
          </w:p>
        </w:tc>
        <w:tc>
          <w:tcPr>
            <w:tcW w:w="1120" w:type="dxa"/>
            <w:vAlign w:val="bottom"/>
            <w:tcBorders>
              <w:bottom w:val="single" w:sz="8" w:color="auto"/>
            </w:tcBorders>
            <w:gridSpan w:val="2"/>
          </w:tcPr>
          <w:p>
            <w:pPr>
              <w:jc w:val="right"/>
              <w:ind w:right="948"/>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right"/>
              <w:ind w:right="26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1"/>
                <w:szCs w:val="11"/>
                <w:color w:val="auto"/>
              </w:rPr>
            </w:pPr>
          </w:p>
        </w:tc>
        <w:tc>
          <w:tcPr>
            <w:tcW w:w="14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1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At December 31, 2020</w:t>
            </w:r>
          </w:p>
        </w:tc>
        <w:tc>
          <w:tcPr>
            <w:tcW w:w="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 w:type="dxa"/>
            <w:vAlign w:val="bottom"/>
          </w:tcPr>
          <w:p>
            <w:pPr>
              <w:spacing w:after="0"/>
              <w:rPr>
                <w:sz w:val="12"/>
                <w:szCs w:val="12"/>
                <w:color w:val="auto"/>
              </w:rPr>
            </w:pP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2"/>
                <w:szCs w:val="12"/>
                <w:color w:val="auto"/>
              </w:rPr>
            </w:pP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(Level 3)</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3960" w:type="dxa"/>
            <w:vAlign w:val="bottom"/>
          </w:tcPr>
          <w:p>
            <w:pPr>
              <w:spacing w:after="0"/>
              <w:rPr>
                <w:sz w:val="20"/>
                <w:szCs w:val="20"/>
                <w:color w:val="auto"/>
              </w:rPr>
            </w:pPr>
            <w:r>
              <w:rPr>
                <w:rFonts w:ascii="Arial" w:cs="Arial" w:eastAsia="Arial" w:hAnsi="Arial"/>
                <w:sz w:val="18"/>
                <w:szCs w:val="18"/>
                <w:color w:val="auto"/>
              </w:rPr>
              <w:t>Fuel hedge contracts</w:t>
            </w:r>
          </w:p>
        </w:tc>
        <w:tc>
          <w:tcPr>
            <w:tcW w:w="300" w:type="dxa"/>
            <w:vAlign w:val="bottom"/>
            <w:gridSpan w:val="4"/>
          </w:tcPr>
          <w:p>
            <w:pPr>
              <w:jc w:val="right"/>
              <w:ind w:right="8"/>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1,739</w:t>
            </w:r>
          </w:p>
        </w:tc>
        <w:tc>
          <w:tcPr>
            <w:tcW w:w="2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gridSpan w:val="2"/>
          </w:tcPr>
          <w:p>
            <w:pPr>
              <w:jc w:val="right"/>
              <w:ind w:right="48"/>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200" w:type="dxa"/>
            <w:vAlign w:val="bottom"/>
          </w:tcPr>
          <w:p>
            <w:pPr>
              <w:spacing w:after="0"/>
              <w:rPr>
                <w:sz w:val="24"/>
                <w:szCs w:val="24"/>
                <w:color w:val="auto"/>
              </w:rPr>
            </w:pPr>
          </w:p>
        </w:tc>
        <w:tc>
          <w:tcPr>
            <w:tcW w:w="1120" w:type="dxa"/>
            <w:vAlign w:val="bottom"/>
            <w:gridSpan w:val="2"/>
          </w:tcPr>
          <w:p>
            <w:pPr>
              <w:jc w:val="right"/>
              <w:ind w:right="928"/>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typical goal is to hedge approximately 80% of the fuel requirements for work in domestic backlog.</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June 30, 2021, the Company was party to various swap arrangements to hedge the price of its diesel fuel purchase requirements for work in its backlog to be performed through June 2022. As of June 30, 2021, there were 8.7 million gallons remaining on these contracts which represent approximately 80% of the Company’s forecasted domestic fuel purchases through June 2022. Under these swap agreements, the Company will pay fixed prices ranging from $1.22 to $1.90 per gallon.</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June 30, 2021 and December 31, 2020 the fair value asset of the fuel hedge contracts were estimated to be $4,802 and $1,739, respectively, and are recorded in prepaid expenses and other current assets. For fuel hedge contracts considered to be highly effective, the losses reclassified to earnings from changes in fair value of derivatives, net of cash settlements and taxes, for the six months ended June 30, 2021 were $3,404. The remaining gains and losses included in accumulated other comprehensive loss at June 30, 2021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6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June 30, 2021 and December 31, 2020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Fair Value at</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6"/>
        </w:trPr>
        <w:tc>
          <w:tcPr>
            <w:tcW w:w="1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left="368"/>
              <w:spacing w:after="0" w:line="147" w:lineRule="exact"/>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62"/>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1"/>
        </w:trPr>
        <w:tc>
          <w:tcPr>
            <w:tcW w:w="1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60" w:type="dxa"/>
            <w:vAlign w:val="bottom"/>
            <w:gridSpan w:val="2"/>
          </w:tcPr>
          <w:p>
            <w:pPr>
              <w:ind w:left="300"/>
              <w:spacing w:after="0"/>
              <w:rPr>
                <w:sz w:val="20"/>
                <w:szCs w:val="20"/>
                <w:color w:val="auto"/>
              </w:rPr>
            </w:pPr>
            <w:r>
              <w:rPr>
                <w:rFonts w:ascii="Arial" w:cs="Arial" w:eastAsia="Arial" w:hAnsi="Arial"/>
                <w:sz w:val="14"/>
                <w:szCs w:val="14"/>
                <w:b w:val="1"/>
                <w:bCs w:val="1"/>
                <w:color w:val="auto"/>
              </w:rPr>
              <w:t>Balance Sheet Location</w:t>
            </w:r>
          </w:p>
        </w:tc>
        <w:tc>
          <w:tcPr>
            <w:tcW w:w="12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320" w:type="dxa"/>
            <w:vAlign w:val="bottom"/>
            <w:tcBorders>
              <w:top w:val="single" w:sz="8" w:color="CFF0FC"/>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Derivatives designated as hedging</w:t>
            </w:r>
          </w:p>
        </w:tc>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5"/>
        </w:trPr>
        <w:tc>
          <w:tcPr>
            <w:tcW w:w="1140" w:type="dxa"/>
            <w:vAlign w:val="bottom"/>
          </w:tcPr>
          <w:p>
            <w:pPr>
              <w:spacing w:after="0"/>
              <w:rPr>
                <w:sz w:val="18"/>
                <w:szCs w:val="18"/>
                <w:color w:val="auto"/>
              </w:rPr>
            </w:pPr>
          </w:p>
        </w:tc>
        <w:tc>
          <w:tcPr>
            <w:tcW w:w="3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4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w w:val="95"/>
              </w:rPr>
              <w:t>Prepaid expenses and other</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3020" w:type="dxa"/>
            <w:vAlign w:val="bottom"/>
            <w:shd w:val="clear" w:color="auto" w:fill="CFF0FC"/>
          </w:tcPr>
          <w:p>
            <w:pPr>
              <w:spacing w:after="0"/>
              <w:rPr>
                <w:sz w:val="20"/>
                <w:szCs w:val="20"/>
                <w:color w:val="auto"/>
              </w:rPr>
            </w:pPr>
          </w:p>
        </w:tc>
        <w:tc>
          <w:tcPr>
            <w:tcW w:w="24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current assets</w:t>
            </w:r>
          </w:p>
        </w:tc>
        <w:tc>
          <w:tcPr>
            <w:tcW w:w="120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4,802</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41"/>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60" w:type="dxa"/>
            <w:vAlign w:val="bottom"/>
            <w:gridSpan w:val="2"/>
          </w:tcPr>
          <w:p>
            <w:pPr>
              <w:jc w:val="right"/>
              <w:ind w:right="9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gridSpan w:val="3"/>
          </w:tcPr>
          <w:p>
            <w:pPr>
              <w:jc w:val="center"/>
              <w:ind w:right="339"/>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8"/>
                <w:szCs w:val="18"/>
                <w:color w:val="auto"/>
                <w:w w:val="93"/>
              </w:rPr>
              <w:t>Reclassification of derivative (gains) losses to earnings—net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(1,878)</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2,490</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(3,404)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20"/>
                <w:szCs w:val="20"/>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derivatives—net of tax</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(7,514)</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change in cash flow derivative hedges—net of tax</w:t>
            </w: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311"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r>
      <w:tr>
        <w:trPr>
          <w:trHeight w:val="228"/>
        </w:trPr>
        <w:tc>
          <w:tcPr>
            <w:tcW w:w="21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6"/>
        </w:trPr>
        <w:tc>
          <w:tcPr>
            <w:tcW w:w="21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Location</w:t>
            </w:r>
          </w:p>
        </w:tc>
        <w:tc>
          <w:tcPr>
            <w:tcW w:w="260" w:type="dxa"/>
            <w:vAlign w:val="bottom"/>
          </w:tcPr>
          <w:p>
            <w:pPr>
              <w:spacing w:after="0"/>
              <w:rPr>
                <w:sz w:val="20"/>
                <w:szCs w:val="20"/>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r>
      <w:tr>
        <w:trPr>
          <w:trHeight w:val="237"/>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36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2160" w:type="dxa"/>
            <w:vAlign w:val="bottom"/>
          </w:tcPr>
          <w:p>
            <w:pPr>
              <w:ind w:left="240"/>
              <w:spacing w:after="0"/>
              <w:rPr>
                <w:sz w:val="20"/>
                <w:szCs w:val="20"/>
                <w:color w:val="auto"/>
              </w:rPr>
            </w:pPr>
            <w:r>
              <w:rPr>
                <w:rFonts w:ascii="Arial" w:cs="Arial" w:eastAsia="Arial" w:hAnsi="Arial"/>
                <w:sz w:val="18"/>
                <w:szCs w:val="18"/>
                <w:color w:val="auto"/>
              </w:rPr>
              <w:t>Fuel hedge contracts</w:t>
            </w:r>
          </w:p>
        </w:tc>
        <w:tc>
          <w:tcPr>
            <w:tcW w:w="3700" w:type="dxa"/>
            <w:vAlign w:val="bottom"/>
            <w:gridSpan w:val="2"/>
          </w:tcPr>
          <w:p>
            <w:pPr>
              <w:spacing w:after="0"/>
              <w:rPr>
                <w:sz w:val="20"/>
                <w:szCs w:val="20"/>
                <w:color w:val="auto"/>
              </w:rPr>
            </w:pPr>
            <w:r>
              <w:rPr>
                <w:rFonts w:ascii="Arial" w:cs="Arial" w:eastAsia="Arial" w:hAnsi="Arial"/>
                <w:sz w:val="18"/>
                <w:szCs w:val="18"/>
                <w:color w:val="auto"/>
              </w:rPr>
              <w:t>Costs of contract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(2,513)</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3,340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(4,554)</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5,132</w:t>
            </w:r>
          </w:p>
        </w:tc>
        <w:tc>
          <w:tcPr>
            <w:tcW w:w="12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(635)</w:t>
            </w: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FF0FC"/>
          </w:tcPr>
          <w:p>
            <w:pPr>
              <w:spacing w:after="0"/>
              <w:rPr>
                <w:sz w:val="21"/>
                <w:szCs w:val="21"/>
                <w:color w:val="auto"/>
              </w:rPr>
            </w:pPr>
          </w:p>
        </w:tc>
      </w:tr>
      <w:tr>
        <w:trPr>
          <w:trHeight w:val="20"/>
        </w:trPr>
        <w:tc>
          <w:tcPr>
            <w:tcW w:w="2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(1,878)</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2,490</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(3,404)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20"/>
                <w:szCs w:val="20"/>
                <w:color w:val="auto"/>
              </w:rPr>
            </w:pPr>
          </w:p>
        </w:tc>
      </w:tr>
      <w:tr>
        <w:trPr>
          <w:trHeight w:val="20"/>
        </w:trPr>
        <w:tc>
          <w:tcPr>
            <w:tcW w:w="2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2021 the Company issued $325,000 of 5.25% Senior Notes, which were outstanding at June 30, 2021 (see Note 4, Long-term debt). The 2029 Notes are senior unsecured obligations of the Company and its subsidiaries that guarantee the 2029 Notes. The fair value of the senior notes was $334,783 at June 30, 2021,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7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six months ended June 30, 2021, the Company granted 307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$798 and $1,455 for the three months ended June 30, 2021 and 2020, respectively. Compensation cost charged to expense related to share-based compensation arrangements was $2,564 and $3,130 for the six months ended June 30, 2021 and 2020,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June 30, 2021, the Company had $454,402 of remaining performance obligations, which the Company refers to as total backlog. Approximately 93% of the Company’s backlog will be completed in 2021 with the remaining balance expected to be completed in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revenue disaggregated by several categories.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Domestically, our work generally is performed in coastal waterways and deep-water ports. The U.S. dredging market consists of four primary types of work: capital, coastal protection, maintenance and rivers &amp; lakes. Foreign projects typically involve capital 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57" w:lineRule="exact"/>
        <w:rPr>
          <w:sz w:val="20"/>
          <w:szCs w:val="20"/>
          <w:color w:val="auto"/>
        </w:rPr>
      </w:pPr>
    </w:p>
    <w:tbl>
      <w:tblPr>
        <w:tblLayout w:type="fixed"/>
        <w:tblInd w:w="154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9"/>
        </w:trPr>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3"/>
          </w:tcPr>
          <w:p>
            <w:pPr>
              <w:jc w:val="right"/>
              <w:ind w:right="247"/>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
        </w:trPr>
        <w:tc>
          <w:tcPr>
            <w:tcW w:w="3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0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7"/>
                <w:szCs w:val="17"/>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29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r>
      <w:tr>
        <w:trPr>
          <w:trHeight w:val="26"/>
        </w:trPr>
        <w:tc>
          <w:tcPr>
            <w:tcW w:w="30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060" w:type="dxa"/>
            <w:vAlign w:val="bottom"/>
          </w:tcPr>
          <w:p>
            <w:pPr>
              <w:ind w:left="240"/>
              <w:spacing w:after="0"/>
              <w:rPr>
                <w:sz w:val="20"/>
                <w:szCs w:val="20"/>
                <w:color w:val="auto"/>
              </w:rPr>
            </w:pPr>
            <w:r>
              <w:rPr>
                <w:rFonts w:ascii="Arial" w:cs="Arial" w:eastAsia="Arial" w:hAnsi="Arial"/>
                <w:sz w:val="18"/>
                <w:szCs w:val="18"/>
                <w:color w:val="auto"/>
              </w:rPr>
              <w:t>Capital—U.S.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79,399</w:t>
            </w:r>
          </w:p>
        </w:tc>
        <w:tc>
          <w:tcPr>
            <w:tcW w:w="2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63,440</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157,005</w:t>
            </w:r>
          </w:p>
        </w:tc>
        <w:tc>
          <w:tcPr>
            <w:tcW w:w="3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146,989</w:t>
            </w:r>
          </w:p>
        </w:tc>
        <w:tc>
          <w:tcPr>
            <w:tcW w:w="80" w:type="dxa"/>
            <w:vAlign w:val="bottom"/>
          </w:tcPr>
          <w:p>
            <w:pPr>
              <w:spacing w:after="0"/>
              <w:rPr>
                <w:sz w:val="19"/>
                <w:szCs w:val="19"/>
                <w:color w:val="auto"/>
              </w:rPr>
            </w:pPr>
          </w:p>
        </w:tc>
      </w:tr>
      <w:tr>
        <w:trPr>
          <w:trHeight w:val="229"/>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Capital—foreign</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10,843</w:t>
            </w:r>
          </w:p>
        </w:tc>
        <w:tc>
          <w:tcPr>
            <w:tcW w:w="80" w:type="dxa"/>
            <w:vAlign w:val="bottom"/>
            <w:shd w:val="clear" w:color="auto" w:fill="CFF0FC"/>
          </w:tcPr>
          <w:p>
            <w:pPr>
              <w:spacing w:after="0"/>
              <w:rPr>
                <w:sz w:val="19"/>
                <w:szCs w:val="19"/>
                <w:color w:val="auto"/>
              </w:rPr>
            </w:pPr>
          </w:p>
        </w:tc>
      </w:tr>
      <w:tr>
        <w:trPr>
          <w:trHeight w:val="230"/>
        </w:trPr>
        <w:tc>
          <w:tcPr>
            <w:tcW w:w="306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46,631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56,038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93,262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135,888</w:t>
            </w:r>
          </w:p>
        </w:tc>
        <w:tc>
          <w:tcPr>
            <w:tcW w:w="80" w:type="dxa"/>
            <w:vAlign w:val="bottom"/>
          </w:tcPr>
          <w:p>
            <w:pPr>
              <w:spacing w:after="0"/>
              <w:rPr>
                <w:sz w:val="19"/>
                <w:szCs w:val="19"/>
                <w:color w:val="auto"/>
              </w:rPr>
            </w:pPr>
          </w:p>
        </w:tc>
      </w:tr>
      <w:tr>
        <w:trPr>
          <w:trHeight w:val="229"/>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84,353</w:t>
            </w:r>
          </w:p>
        </w:tc>
        <w:tc>
          <w:tcPr>
            <w:tcW w:w="80" w:type="dxa"/>
            <w:vAlign w:val="bottom"/>
            <w:shd w:val="clear" w:color="auto" w:fill="CFF0FC"/>
          </w:tcPr>
          <w:p>
            <w:pPr>
              <w:spacing w:after="0"/>
              <w:rPr>
                <w:sz w:val="19"/>
                <w:szCs w:val="19"/>
                <w:color w:val="auto"/>
              </w:rPr>
            </w:pPr>
          </w:p>
        </w:tc>
      </w:tr>
      <w:tr>
        <w:trPr>
          <w:trHeight w:val="229"/>
        </w:trPr>
        <w:tc>
          <w:tcPr>
            <w:tcW w:w="3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w:t>
            </w:r>
          </w:p>
        </w:tc>
        <w:tc>
          <w:tcPr>
            <w:tcW w:w="80" w:type="dxa"/>
            <w:vAlign w:val="bottom"/>
            <w:tcBorders>
              <w:bottom w:val="single" w:sz="8" w:color="CFF0FC"/>
            </w:tcBorders>
          </w:tcPr>
          <w:p>
            <w:pPr>
              <w:spacing w:after="0"/>
              <w:rPr>
                <w:sz w:val="19"/>
                <w:szCs w:val="19"/>
                <w:color w:val="auto"/>
              </w:rPr>
            </w:pPr>
          </w:p>
        </w:tc>
      </w:tr>
      <w:tr>
        <w:trPr>
          <w:trHeight w:val="223"/>
        </w:trPr>
        <w:tc>
          <w:tcPr>
            <w:tcW w:w="3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169,914</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167,920</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347,547</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385,615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customer, for the periods indicated, were as follows:</w:t>
      </w:r>
    </w:p>
    <w:p>
      <w:pPr>
        <w:spacing w:after="0" w:line="257" w:lineRule="exact"/>
        <w:rPr>
          <w:sz w:val="20"/>
          <w:szCs w:val="20"/>
          <w:color w:val="auto"/>
        </w:rPr>
      </w:pPr>
    </w:p>
    <w:tbl>
      <w:tblPr>
        <w:tblLayout w:type="fixed"/>
        <w:tblInd w:w="1480" w:type="dxa"/>
        <w:tblCellMar>
          <w:top w:w="0" w:type="dxa"/>
          <w:left w:w="0" w:type="dxa"/>
          <w:bottom w:w="0" w:type="dxa"/>
          <w:right w:w="0" w:type="dxa"/>
        </w:tblCellMar>
      </w:tblPr>
      <w:tr>
        <w:trPr>
          <w:trHeight w:val="227"/>
        </w:trPr>
        <w:tc>
          <w:tcPr>
            <w:tcW w:w="2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6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640" w:type="dxa"/>
            <w:vAlign w:val="bottom"/>
          </w:tcPr>
          <w:p>
            <w:pPr>
              <w:ind w:left="240"/>
              <w:spacing w:after="0"/>
              <w:rPr>
                <w:sz w:val="20"/>
                <w:szCs w:val="20"/>
                <w:color w:val="auto"/>
              </w:rPr>
            </w:pPr>
            <w:r>
              <w:rPr>
                <w:rFonts w:ascii="Arial" w:cs="Arial" w:eastAsia="Arial" w:hAnsi="Arial"/>
                <w:sz w:val="18"/>
                <w:szCs w:val="18"/>
                <w:color w:val="auto"/>
              </w:rPr>
              <w:t>Federal government</w:t>
            </w:r>
          </w:p>
        </w:tc>
        <w:tc>
          <w:tcPr>
            <w:tcW w:w="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127,331</w:t>
            </w: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133,496</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258,063</w:t>
            </w:r>
          </w:p>
        </w:tc>
        <w:tc>
          <w:tcPr>
            <w:tcW w:w="300" w:type="dxa"/>
            <w:vAlign w:val="bottom"/>
          </w:tcPr>
          <w:p>
            <w:pPr>
              <w:spacing w:after="0"/>
              <w:rPr>
                <w:sz w:val="19"/>
                <w:szCs w:val="19"/>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299,263</w:t>
            </w:r>
          </w:p>
        </w:tc>
        <w:tc>
          <w:tcPr>
            <w:tcW w:w="80" w:type="dxa"/>
            <w:vAlign w:val="bottom"/>
          </w:tcPr>
          <w:p>
            <w:pPr>
              <w:spacing w:after="0"/>
              <w:rPr>
                <w:sz w:val="19"/>
                <w:szCs w:val="19"/>
                <w:color w:val="auto"/>
              </w:rPr>
            </w:pPr>
          </w:p>
        </w:tc>
      </w:tr>
      <w:tr>
        <w:trPr>
          <w:trHeight w:val="230"/>
        </w:trPr>
        <w:tc>
          <w:tcPr>
            <w:tcW w:w="2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72,025</w:t>
            </w:r>
          </w:p>
        </w:tc>
        <w:tc>
          <w:tcPr>
            <w:tcW w:w="80" w:type="dxa"/>
            <w:vAlign w:val="bottom"/>
            <w:shd w:val="clear" w:color="auto" w:fill="CFF0FC"/>
          </w:tcPr>
          <w:p>
            <w:pPr>
              <w:spacing w:after="0"/>
              <w:rPr>
                <w:sz w:val="19"/>
                <w:szCs w:val="19"/>
                <w:color w:val="auto"/>
              </w:rPr>
            </w:pPr>
          </w:p>
        </w:tc>
      </w:tr>
      <w:tr>
        <w:trPr>
          <w:trHeight w:val="230"/>
        </w:trPr>
        <w:tc>
          <w:tcPr>
            <w:tcW w:w="2640" w:type="dxa"/>
            <w:vAlign w:val="bottom"/>
          </w:tcPr>
          <w:p>
            <w:pPr>
              <w:ind w:left="240"/>
              <w:spacing w:after="0"/>
              <w:rPr>
                <w:sz w:val="20"/>
                <w:szCs w:val="20"/>
                <w:color w:val="auto"/>
              </w:rPr>
            </w:pPr>
            <w:r>
              <w:rPr>
                <w:rFonts w:ascii="Arial" w:cs="Arial" w:eastAsia="Arial" w:hAnsi="Arial"/>
                <w:sz w:val="18"/>
                <w:szCs w:val="18"/>
                <w:color w:val="auto"/>
              </w:rPr>
              <w:t>Private</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3,484</w:t>
            </w:r>
          </w:p>
        </w:tc>
        <w:tc>
          <w:tcPr>
            <w:tcW w:w="80" w:type="dxa"/>
            <w:vAlign w:val="bottom"/>
          </w:tcPr>
          <w:p>
            <w:pPr>
              <w:spacing w:after="0"/>
              <w:rPr>
                <w:sz w:val="19"/>
                <w:szCs w:val="19"/>
                <w:color w:val="auto"/>
              </w:rPr>
            </w:pPr>
          </w:p>
        </w:tc>
      </w:tr>
      <w:tr>
        <w:trPr>
          <w:trHeight w:val="229"/>
        </w:trPr>
        <w:tc>
          <w:tcPr>
            <w:tcW w:w="2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10,843</w:t>
            </w:r>
          </w:p>
        </w:tc>
        <w:tc>
          <w:tcPr>
            <w:tcW w:w="80" w:type="dxa"/>
            <w:vAlign w:val="bottom"/>
            <w:shd w:val="clear" w:color="auto" w:fill="CFF0FC"/>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 revenues</w:t>
            </w:r>
          </w:p>
        </w:tc>
        <w:tc>
          <w:tcPr>
            <w:tcW w:w="4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169,914</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167,920</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347,547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385,615</w:t>
            </w:r>
          </w:p>
        </w:tc>
        <w:tc>
          <w:tcPr>
            <w:tcW w:w="8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June 30, 2021 and December 31, 2020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1560" w:type="dxa"/>
            <w:vAlign w:val="bottom"/>
          </w:tcPr>
          <w:p>
            <w:pPr>
              <w:spacing w:after="0"/>
              <w:rPr>
                <w:sz w:val="14"/>
                <w:szCs w:val="14"/>
                <w:color w:val="auto"/>
              </w:rPr>
            </w:pPr>
          </w:p>
        </w:tc>
      </w:tr>
      <w:tr>
        <w:trPr>
          <w:trHeight w:val="171"/>
        </w:trPr>
        <w:tc>
          <w:tcPr>
            <w:tcW w:w="1560" w:type="dxa"/>
            <w:vAlign w:val="bottom"/>
          </w:tcPr>
          <w:p>
            <w:pPr>
              <w:spacing w:after="0"/>
              <w:rPr>
                <w:sz w:val="14"/>
                <w:szCs w:val="14"/>
                <w:color w:val="auto"/>
              </w:rPr>
            </w:pPr>
          </w:p>
        </w:tc>
        <w:tc>
          <w:tcPr>
            <w:tcW w:w="3160" w:type="dxa"/>
            <w:vAlign w:val="bottom"/>
            <w:tcBorders>
              <w:bottom w:val="single" w:sz="8" w:color="CFF0FC"/>
            </w:tcBorders>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560" w:type="dxa"/>
            <w:vAlign w:val="bottom"/>
          </w:tcPr>
          <w:p>
            <w:pPr>
              <w:spacing w:after="0"/>
              <w:rPr>
                <w:sz w:val="14"/>
                <w:szCs w:val="14"/>
                <w:color w:val="auto"/>
              </w:rPr>
            </w:pPr>
          </w:p>
        </w:tc>
      </w:tr>
      <w:tr>
        <w:trPr>
          <w:trHeight w:val="223"/>
        </w:trPr>
        <w:tc>
          <w:tcPr>
            <w:tcW w:w="156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2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12,347</w:t>
            </w:r>
          </w:p>
        </w:tc>
        <w:tc>
          <w:tcPr>
            <w:tcW w:w="80" w:type="dxa"/>
            <w:vAlign w:val="bottom"/>
            <w:shd w:val="clear" w:color="auto" w:fill="CFF0FC"/>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156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Contracts in progress</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21,239</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156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2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5,968</w:t>
            </w:r>
          </w:p>
        </w:tc>
        <w:tc>
          <w:tcPr>
            <w:tcW w:w="80" w:type="dxa"/>
            <w:vAlign w:val="bottom"/>
            <w:shd w:val="clear" w:color="auto" w:fill="CFF0FC"/>
          </w:tcPr>
          <w:p>
            <w:pPr>
              <w:spacing w:after="0"/>
              <w:rPr>
                <w:sz w:val="19"/>
                <w:szCs w:val="19"/>
                <w:color w:val="auto"/>
              </w:rPr>
            </w:pPr>
          </w:p>
        </w:tc>
        <w:tc>
          <w:tcPr>
            <w:tcW w:w="1560" w:type="dxa"/>
            <w:vAlign w:val="bottom"/>
          </w:tcPr>
          <w:p>
            <w:pPr>
              <w:spacing w:after="0"/>
              <w:rPr>
                <w:sz w:val="19"/>
                <w:szCs w:val="19"/>
                <w:color w:val="auto"/>
              </w:rPr>
            </w:pPr>
          </w:p>
        </w:tc>
      </w:tr>
      <w:tr>
        <w:trPr>
          <w:trHeight w:val="223"/>
        </w:trPr>
        <w:tc>
          <w:tcPr>
            <w:tcW w:w="1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39,554</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156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w:t>
            </w:r>
          </w:p>
        </w:tc>
        <w:tc>
          <w:tcPr>
            <w:tcW w:w="1560" w:type="dxa"/>
            <w:vAlign w:val="bottom"/>
          </w:tcPr>
          <w:p>
            <w:pPr>
              <w:spacing w:after="0"/>
              <w:rPr>
                <w:sz w:val="19"/>
                <w:szCs w:val="19"/>
                <w:color w:val="auto"/>
              </w:rPr>
            </w:pPr>
          </w:p>
        </w:tc>
      </w:tr>
      <w:tr>
        <w:trPr>
          <w:trHeight w:val="263"/>
        </w:trPr>
        <w:tc>
          <w:tcPr>
            <w:tcW w:w="4720" w:type="dxa"/>
            <w:vAlign w:val="bottom"/>
            <w:gridSpan w:val="2"/>
          </w:tcPr>
          <w:p>
            <w:pPr>
              <w:ind w:left="1560"/>
              <w:spacing w:after="0"/>
              <w:rPr>
                <w:sz w:val="20"/>
                <w:szCs w:val="20"/>
                <w:color w:val="auto"/>
              </w:rPr>
            </w:pPr>
            <w:r>
              <w:rPr>
                <w:rFonts w:ascii="Arial" w:cs="Arial" w:eastAsia="Arial" w:hAnsi="Arial"/>
                <w:sz w:val="18"/>
                <w:szCs w:val="18"/>
                <w:color w:val="auto"/>
              </w:rPr>
              <w:t>Total accounts receivable—net</w:t>
            </w:r>
          </w:p>
        </w:tc>
        <w:tc>
          <w:tcPr>
            <w:tcW w:w="23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35,741</w:t>
            </w:r>
          </w:p>
        </w:tc>
        <w:tc>
          <w:tcPr>
            <w:tcW w:w="2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38,990</w:t>
            </w: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115"/>
        </w:trPr>
        <w:tc>
          <w:tcPr>
            <w:tcW w:w="1560" w:type="dxa"/>
            <w:vAlign w:val="bottom"/>
          </w:tcPr>
          <w:p>
            <w:pPr>
              <w:spacing w:after="0"/>
              <w:rPr>
                <w:sz w:val="10"/>
                <w:szCs w:val="10"/>
                <w:color w:val="auto"/>
              </w:rPr>
            </w:pPr>
          </w:p>
        </w:tc>
        <w:tc>
          <w:tcPr>
            <w:tcW w:w="3160" w:type="dxa"/>
            <w:vAlign w:val="bottom"/>
            <w:tcBorders>
              <w:top w:val="single" w:sz="8" w:color="CFF0FC"/>
            </w:tcBorders>
            <w:shd w:val="clear" w:color="auto" w:fill="CFF0FC"/>
          </w:tcPr>
          <w:p>
            <w:pPr>
              <w:spacing w:after="0"/>
              <w:rPr>
                <w:sz w:val="10"/>
                <w:szCs w:val="10"/>
                <w:color w:val="auto"/>
              </w:rPr>
            </w:pPr>
          </w:p>
        </w:tc>
        <w:tc>
          <w:tcPr>
            <w:tcW w:w="23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560" w:type="dxa"/>
            <w:vAlign w:val="bottom"/>
          </w:tcPr>
          <w:p>
            <w:pPr>
              <w:spacing w:after="0"/>
              <w:rPr>
                <w:sz w:val="10"/>
                <w:szCs w:val="10"/>
                <w:color w:val="auto"/>
              </w:rPr>
            </w:pPr>
          </w:p>
        </w:tc>
      </w:tr>
      <w:tr>
        <w:trPr>
          <w:trHeight w:val="648"/>
        </w:trPr>
        <w:tc>
          <w:tcPr>
            <w:tcW w:w="1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80" w:type="dxa"/>
            <w:vAlign w:val="bottom"/>
          </w:tcPr>
          <w:p>
            <w:pPr>
              <w:jc w:val="right"/>
              <w:ind w:right="129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components of contracts in progress at June 30, 2021 and December 31, 2020 are as follows:</w:t>
      </w:r>
    </w:p>
    <w:p>
      <w:pPr>
        <w:spacing w:after="0" w:line="82"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1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317,984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199,964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(291,493)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(168,569)</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8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8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34,218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11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34,556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860" w:type="dxa"/>
            <w:vAlign w:val="bottom"/>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8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1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(382,785)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(550,468)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8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353,952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517,860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billings in excess of contract revenues</w:t>
            </w: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(32,608)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At June 30, 2021 and December 31, 2020, costs to fulfill a contract with a customer recognized as an asset were $6,887 and $10,501, respectively, and are recorded in other current assets and other noncurrent assets. These costs relate to pre-contract and pre-construction activities. During the three and six months ended June 30, 2021 and 2020, the Company amortized $5,909 and $3,612, and 11,756 and 8,804 respectively, of pre-construction costs.</w:t>
      </w:r>
    </w:p>
    <w:p>
      <w:pPr>
        <w:spacing w:after="0" w:line="14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Performance and bid bonds are customarily required for dredging and marine construction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Bid bonds are generally obtained for a percentage of bid value and amounts outstanding typically range from $1,000 to $10,000. At June 30, 2021, the Company had outstanding performance bonds with a notional amount of approximately $1,143,833. The revenue value remaining in backlog totaled approximately $454,402.</w:t>
      </w:r>
    </w:p>
    <w:p>
      <w:pPr>
        <w:spacing w:after="0" w:line="1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 w:name="page14"/>
    <w:bookmarkEnd w:id="13"/>
    <w:p>
      <w:pPr>
        <w:spacing w:after="0" w:line="269" w:lineRule="auto"/>
        <w:rPr>
          <w:sz w:val="20"/>
          <w:szCs w:val="20"/>
          <w:color w:val="auto"/>
        </w:rPr>
      </w:pPr>
      <w:r>
        <w:rPr>
          <w:rFonts w:ascii="Arial" w:cs="Arial" w:eastAsia="Arial" w:hAnsi="Arial"/>
          <w:sz w:val="17"/>
          <w:szCs w:val="17"/>
          <w:color w:val="auto"/>
        </w:rPr>
        <w:t>On April 23, 2014, the Company completed the sale of NASDI, LLC (“NASDI”) and Yankee Environmental Services, LLC (“Yankee”), which together comprised the Company’s historical demolition business, to a privately owned demolition company. On January 14, 2015, the Company and its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 In addition, the Company has been granted a judgment in the amount of $21,934 based upon the buyer’s default of its obligations to indemnify the Company for losses resulting from failure to perform in accordance with terms of surety performance bond. The defendants filed a notice of appeal from that judgement. The Company continues to aggressively pursue collection from the buyer on outstanding amounts owed under the sale and the indemnification. An estimate of a range of potential gains or losses relating to these matters cannot reasonably be made.</w:t>
      </w:r>
    </w:p>
    <w:p>
      <w:pPr>
        <w:spacing w:after="0" w:line="1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April 22, 2021, the U.S. Attorney’s Office for the Eastern District of Louisiana filed a bill of information against the Company charging the Company with a negligent discharge violation of the Clean Water Act arising from a September 2016 oil spill. The spill occurred during the Company’s Cheniere Ronquille project and resulted in the discharge of around one hundred sixty barrels of crude oil in Bay Long, Louisiana. The Company has cooperated with the U.S. Attorney’s Office and other relevant agencies in their investigation of the oil spill and on June 15, 2021, the Company pleaded guilty to the misdemeanor violation alleged in the bill of information and agreed to pay a fine of $1,000. As a result, the government may initiate suspension or debarment proceedings against us, which might prohibit us from bidding for, entering into or completing certain government projects. The Company also remains subject to potential liability for restitution in connection with this criminal matter and potential liability in a pending civil suit arising from the same matter. Although the Company does not know whether proceedings will be initiated or result in prohibitions, or the impact of any such resulting prohibitions, the Company does not expect any such proceedings or prohibitions to cause a material disruption to its business, financial condition or results of operations.</w:t>
      </w:r>
    </w:p>
    <w:p>
      <w:pPr>
        <w:spacing w:after="0" w:line="19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On September 27, 2019, the EPA Region 4 filed an administrative complaint against the Company relating to a project the Company performed at PortMiami from 2013-2015 alleging violations of Section 103 of the Marine Protection, Research, and Sanctuaries Act (“MPRSA”) and failure to report violations of the MPRSA. In July 2021, the parties executed a consent agreement wherein the Company agreed to pay $500 as a civil penalty.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2020, in Item 1A. “Risk Factors” of Great Lakes’ Quarterly Report on Form 10-Q for the quarter ended March 31, 2021, in Item 1A. “Risk Factors” of this Quarterly Report on Form 10-Q and in other securities filings by Great Lakes with the SEC.</w:t>
      </w:r>
    </w:p>
    <w:p>
      <w:pPr>
        <w:spacing w:after="0" w:line="19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 Company is the largest provider of dredging services in the United States. In addition, the Company has a long history of performing significant international projects. The mobility of the Company’s fleet enables the Company to move equipment in response to changes in demand for dredging services.</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the fourth quarter of 2020, the Company announced the relocation of its headquarters from Oak Brook, Illinois to Houston, Texas. The Company’s new corporate office in Houston opened in the first quarter of 2021. This relocation places the Company closer to key regional customers and new markets, especially along the Gulf Coast and the Mississippi River.</w:t>
      </w:r>
    </w:p>
    <w:p>
      <w:pPr>
        <w:spacing w:after="0" w:line="7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37% over the prior three years, including 49%, 55%, 19% and 34% of the domestic capital, coastal protection, maintenance and rivers &amp; lakes sectors, respectively.</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six months of 2021, the Company’s dredging revenues earned from contracts with federal government agencies, including the Corps as well as other federal entities such as the U.S. Coast Guard and the U.S. Navy, were approximately 74% of dredging revenues, slightly below the Company’s prior three year average of 79%.</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COVID-19 has since spread worldwide and to every state in the United States. On March 11, 2020, the World Health Organization declared COVID-19 a pandemic and on March 13, 2020 the United States declared a national emergency in response to the coronavirus outbreak. This outbreak has severely impacted global economic activity and many countries and states in the United States have reacted by instituting quarantines, mandating school and business closures and limiting travel at various times throughout the pandemic.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spacing w:after="0" w:line="291" w:lineRule="auto"/>
        <w:rPr>
          <w:sz w:val="20"/>
          <w:szCs w:val="20"/>
          <w:color w:val="auto"/>
        </w:rPr>
      </w:pPr>
      <w:r>
        <w:rPr>
          <w:rFonts w:ascii="Arial" w:cs="Arial" w:eastAsia="Arial" w:hAnsi="Arial"/>
          <w:sz w:val="16"/>
          <w:szCs w:val="16"/>
          <w:color w:val="auto"/>
        </w:rPr>
        <w:t>On March 28, 2020, dredging was specifically listed in the U.S. Department of Homeland Security’s “Advisory Memorandum on Identification of Essential Critical Infrastructure Workers During COVID-19 Response” which federally designates the Company as an essential business or “critical infrastructure” company that can maintain operations during the ongoing pandemic. As mentioned above, the Company’s largest domestic dredging customer is the Corps; the Corps oversees the majority of these critical infrastructure projects and, in this capacity, has continued to follow their bid schedule and prioritize all types of dredging including port maintenance and expansion and coastal protection projects that are necessary to avoid potential storm damage during hurricane season. Despite the uncertainty surrounding COVID-19, to date, the Corps is continuing to advertise new projects. During the first half of 2021 the Company began to experience increased project costs and delays related to COVID-19; currently, all affected projects are back in operation.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Executive Leadership team has established a COVID-19 Command Team that meets twice each week to update contingency plans, as necessary, and address the challenges related to maintaining operations in this evolving economic environment. The Company’s primary focus has been the health and safety of its employees. The Company has implemented new paid leave policies and additional sanitary and safety measures to mitigate the risk of infection to employees.</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vessels and job sites, the Company has instituted fewer employee shift changes and increased sanitary and social distancing measures. In the first half of 2021, the Company began to experience more significant operational interruptions and direct costs related to the third wave of the COVID-19 pandemic. Several vessel crews were infected despite extensive testing and isolation protocols. Vessels were required to go to shore for crew changes and the vessels had to be disinfected before returning to work. This impacted the vessels’ scheduling and availability which led to project delays. Currently, those projects and vessels that were impacted are completed and back in operation, respectively. The Company has initiated an extensive vaccination effort of our crews and staff and the Company currently has 71% of its staff either fully vaccinated or partially vaccinated.</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March 2020, the Company’s corporate employees have effectively transitioned to a remote working environment and have discontinued non-essential travel to follow recommended physical and social distancing guidelines in order to reduce the risk of infection. Beginning in the current quarter, the Company’s Houston employees began transitioning back to working in person at the Houston corporate headquarters. The Company is following the protocols published by the U.S. Centers for Disease Control and Prevention, the World Health Organization and state and local governments. As the Company’s employees, customers and communities are facing significant challenges, the Company cannot predict how COVID-19 will evolve or the impact it, or actions taken to contain it, will have on future results. Due to the uncertainty that surrounds this virus, the Company will be continually evaluating safety and operational contingency plans and the potential future impact that this evolving environment has on the Company’s business, financial condition and results of operations.</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plans to participate in the offshore wind market and in March 2021 the Company awarded a contract for the design and development of the first U.S. flagged Jones Act compliant, inclined fall-pipe vessel for subsea rock installation for wind turbine foundations. This vessel would represent a significant critical advancement in building the U.S. logistics infrastructure to support the future of the new U.S. offshore wind industry. Once the contract is fully executed, the Company expects delivery of the vessel in early 2024. As of the current quarter, the Company has begun soliciting bids in the offshore wind market.</w:t>
      </w:r>
    </w:p>
    <w:p>
      <w:pPr>
        <w:spacing w:after="0" w:line="188"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The current administration has pushed to accelerate renewable energy developments and has set a target to install 30GW of offshore wind energy generation capacity by 2030 on the U.S. east coast. Additionally, in March, the White House announced new initiatives that will advance the administration’s goals to expand the nation’s offshore wind energy capacity in the coming decade by opening new areas of development, improving environmental permitting and increasing public financing for projects.</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July 2021, the Corps’ 2021 budget was approved by the House of Representatives at a record high proposed budget level of $8.66 billion. In this bill, the Harbor Maintenance Trust Fund (the “HMTF”) would receive $2.05 billion. This record funding is in addition to the annual cap being lifted from the HMTF in 2020 and the 2020 Water Resource Development Act (the “WRDA”). WRDA authorizes new projects and makes policy changes that will make natural infrastructure and beneficial use of dredged material more common and was included in the Consolidated Appropriations Act 2021 signed into law on December 27, 2020. This continues the trend of WRDA legislation in each session of Congress since 2014. The legislation provides access to the $9.3 billion in unspent HMTF tax collections, establishes a funds distribution process for HMTF funding and approves projects to proceed to construction.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segment which is also the Company’s one reportable segment and reporting unit.</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vessels are subject to periodic dry dock inspections to verify that the vessels have been maintained in accordance with the rules of the U.S. Coast Guard and the American Bureau of Shipping (“ABS”) and that recommended repairs have been satisfactorily completed. Dry dock frequency is a statutory requirement mandated by the U.S. Coast Guard and the ABS. The Company’s vessels dry-dock every two to three years or every five years, depending on the vessel type and also on an as-needed basis for occasional unscheduled repairs.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set forth the components of net income and Adjusted EBITDA, as defined below, as a percentage of contract revenues for the three and six months ended June 30, 2021 and 2020:</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9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4"/>
                <w:szCs w:val="14"/>
                <w:color w:val="auto"/>
              </w:rPr>
            </w:pPr>
          </w:p>
        </w:tc>
      </w:tr>
      <w:tr>
        <w:trPr>
          <w:trHeight w:val="171"/>
        </w:trPr>
        <w:tc>
          <w:tcPr>
            <w:tcW w:w="394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Borders>
              <w:bottom w:val="single" w:sz="8" w:color="auto"/>
            </w:tcBorders>
            <w:gridSpan w:val="4"/>
          </w:tcPr>
          <w:p>
            <w:pPr>
              <w:jc w:val="center"/>
              <w:ind w:left="514"/>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940" w:type="dxa"/>
            <w:vAlign w:val="bottom"/>
          </w:tcPr>
          <w:p>
            <w:pPr>
              <w:spacing w:after="0"/>
              <w:rPr>
                <w:sz w:val="13"/>
                <w:szCs w:val="13"/>
                <w:color w:val="auto"/>
              </w:rPr>
            </w:pPr>
          </w:p>
        </w:tc>
        <w:tc>
          <w:tcPr>
            <w:tcW w:w="8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80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358"/>
        </w:trPr>
        <w:tc>
          <w:tcPr>
            <w:tcW w:w="3940" w:type="dxa"/>
            <w:vAlign w:val="bottom"/>
          </w:tcPr>
          <w:p>
            <w:pPr>
              <w:spacing w:after="0"/>
              <w:rPr>
                <w:sz w:val="20"/>
                <w:szCs w:val="20"/>
                <w:color w:val="auto"/>
              </w:rPr>
            </w:pPr>
            <w:r>
              <w:rPr>
                <w:rFonts w:ascii="Arial" w:cs="Arial" w:eastAsia="Arial" w:hAnsi="Arial"/>
                <w:sz w:val="18"/>
                <w:szCs w:val="18"/>
                <w:color w:val="auto"/>
              </w:rPr>
              <w:t>Contract revenues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FF0FC"/>
          </w:tcPr>
          <w:p>
            <w:pPr>
              <w:spacing w:after="0"/>
              <w:rPr>
                <w:sz w:val="19"/>
                <w:szCs w:val="19"/>
                <w:color w:val="auto"/>
              </w:rPr>
            </w:pPr>
          </w:p>
        </w:tc>
      </w:tr>
      <w:tr>
        <w:trPr>
          <w:trHeight w:val="223"/>
        </w:trPr>
        <w:tc>
          <w:tcPr>
            <w:tcW w:w="394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Gain on sale of assets—net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Interest expense—net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r>
      <w:tr>
        <w:trPr>
          <w:trHeight w:val="223"/>
        </w:trPr>
        <w:tc>
          <w:tcPr>
            <w:tcW w:w="394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r>
      <w:tr>
        <w:trPr>
          <w:trHeight w:val="263"/>
        </w:trPr>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394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Adjusted EBITDA</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Adjusted EBITDA,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10,919</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42,947</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Adjusted for:</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13,355</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14,441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10,628</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20,681</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18,707</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Adjusted EBITDA</w:t>
            </w:r>
          </w:p>
        </w:tc>
        <w:tc>
          <w:tcPr>
            <w:tcW w:w="14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20,219</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47,061</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89,450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98"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Borders>
              <w:bottom w:val="single" w:sz="8" w:color="CFF0FC"/>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15"/>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40"/>
              <w:spacing w:after="0"/>
              <w:rPr>
                <w:sz w:val="20"/>
                <w:szCs w:val="20"/>
                <w:color w:val="auto"/>
              </w:rPr>
            </w:pPr>
            <w:r>
              <w:rPr>
                <w:rFonts w:ascii="Arial" w:cs="Arial" w:eastAsia="Arial" w:hAnsi="Arial"/>
                <w:sz w:val="18"/>
                <w:szCs w:val="18"/>
                <w:color w:val="auto"/>
              </w:rPr>
              <w:t>Capital—U.S.</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79,399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63,440</w:t>
            </w:r>
          </w:p>
        </w:tc>
        <w:tc>
          <w:tcPr>
            <w:tcW w:w="2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157,005</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146,989</w:t>
            </w:r>
          </w:p>
        </w:tc>
        <w:tc>
          <w:tcPr>
            <w:tcW w:w="2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1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Capital—foreign</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22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(59.5)%</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10,843</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9"/>
        </w:trPr>
        <w:tc>
          <w:tcPr>
            <w:tcW w:w="1700" w:type="dxa"/>
            <w:vAlign w:val="bottom"/>
          </w:tcPr>
          <w:p>
            <w:pPr>
              <w:ind w:left="240"/>
              <w:spacing w:after="0"/>
              <w:rPr>
                <w:sz w:val="20"/>
                <w:szCs w:val="20"/>
                <w:color w:val="auto"/>
              </w:rPr>
            </w:pPr>
            <w:r>
              <w:rPr>
                <w:rFonts w:ascii="Arial" w:cs="Arial" w:eastAsia="Arial" w:hAnsi="Arial"/>
                <w:sz w:val="18"/>
                <w:szCs w:val="18"/>
                <w:color w:val="auto"/>
                <w:w w:val="99"/>
              </w:rPr>
              <w:t>Coastal protection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56,038</w:t>
            </w:r>
          </w:p>
        </w:tc>
        <w:tc>
          <w:tcPr>
            <w:tcW w:w="2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135,888</w:t>
            </w:r>
          </w:p>
        </w:tc>
        <w:tc>
          <w:tcPr>
            <w:tcW w:w="2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1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41,968</w:t>
            </w:r>
          </w:p>
        </w:tc>
        <w:tc>
          <w:tcPr>
            <w:tcW w:w="22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84,353</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1700" w:type="dxa"/>
            <w:vAlign w:val="bottom"/>
          </w:tcPr>
          <w:p>
            <w:pPr>
              <w:ind w:left="240"/>
              <w:spacing w:after="0"/>
              <w:rPr>
                <w:sz w:val="20"/>
                <w:szCs w:val="20"/>
                <w:color w:val="auto"/>
              </w:rPr>
            </w:pPr>
            <w:r>
              <w:rPr>
                <w:rFonts w:ascii="Arial" w:cs="Arial" w:eastAsia="Arial" w:hAnsi="Arial"/>
                <w:sz w:val="18"/>
                <w:szCs w:val="18"/>
                <w:color w:val="auto"/>
              </w:rPr>
              <w:t>Rivers &amp; lakes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2,493</w:t>
            </w:r>
          </w:p>
        </w:tc>
        <w:tc>
          <w:tcPr>
            <w:tcW w:w="2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100.3%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7,542</w:t>
            </w:r>
          </w:p>
        </w:tc>
        <w:tc>
          <w:tcPr>
            <w:tcW w:w="2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6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169,914</w:t>
            </w:r>
          </w:p>
        </w:tc>
        <w:tc>
          <w:tcPr>
            <w:tcW w:w="2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167,920</w:t>
            </w:r>
          </w:p>
        </w:tc>
        <w:tc>
          <w:tcPr>
            <w:tcW w:w="22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347,547</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385,615</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Total revenue was $169.9 million for the three months ended June 30, 2021, up $2.0 million, or 1.2%, from $167.9 million for the same period in the prior year. For the three months ended June 30, 2021, the Company experienced an increase in domestic capital and rivers &amp; lakes revenues as compared to the same period in the prior year. This increase was offset by a decrease in coastal protection, maintenance, and foreign capital revenue during the current period as compared to the same period in the prior year. For the six months ended June 30, 2021, total revenue was $347.5 million, down from revenue of $385.6 million for the same period in the prior year, representing a decrease of $38.1 million or 9.9%. For the six months ended June 30, 2021, the Company experienced a decrease in coastal protection, maintenance and foreign capital revenue as compared to the same period in the prior year. This decrease was slightly offset by an increase in domestic capital and rivers &amp; lakes revenues during the current period as compared to the same period in the prior year.</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three months ended June 30, 2021, domestic capital dredging revenue was $79.4 million, up $16.0 million, or 25.2%, compared to $63.4 million for the same period in 2020. The increase in capital dredging revenues for the three months ended June 30, 2021 was mostly due to a greater amount of revenue earned on projects in Texas, Massachusetts, and Alabama, in the current year quarter when compared to the prior year quarter. This increase was partially offset by less revenue earned on projects in Florida and Louisiana in the current quarter. For the six months ended June 30, 2021, domestic capital revenue was $157.0 million compared to $147.0 million for the same period in 2020, representing an increase of $10.0 million, or 6.8%. The increase in capital dredging revenues for the six months ended June 30, 2021 was mostly due to a greater amount of revenue earned on projects in Massachusetts, and South Carolina, in the prior year period when compared to the current year. This increase was partially offset by less revenue earned on projects in Texas, Delaware, and Florida in the current year.</w:t>
      </w:r>
    </w:p>
    <w:p>
      <w:pPr>
        <w:spacing w:after="0" w:line="17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Foreign capital projects typically involve land reclamations, channel deepening and port infrastructure development. In the second quarter of 2021, foreign capital revenue was $1.6 million, down $2.4 million, or 59.5%, as compared to $4.0 million in the same quarter in the prior year. Foreign capital revenue for the first half of 2021 was $6.3 million which is $4.5 million, or 41.7%, lower than revenue of $10.8 million for the same period of the prior year. The Company continued to earn revenue in 2021 from a project in Bahrain that is essentially completed as of the current quarter.</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Coastal protection projects involve moving sand from the ocean floor to shoreline locations where erosion threatens shoreline assets. Coastal protection revenue for the quarter ended June 30, 2021 was $46.6 million, a decrease of $9.4 million, or 16.8%, compared to $56.0 million in the prior year period. The decrease in coastal protection revenues for the three months ended June 30, 2021 was mostly attributable to a lower amount of revenue earned on projects in Virginia, New Jersey, Florida and South Carolina in the prior year period when compared to the current year. This decrease was slightly offset by revenue earned on two projects in North Carolina in the current year quarter. Coastal protection revenue for the six months ended June 30, 2021 was $93.3 million, representing a decrease of $42.6 million or 31.4%, from $135.9 million for the same period in 2020. The decrease in coastal protection revenues for the six months ended June 30, 2021 was mostly due to a greater amount of revenue earned on projects in Virginia, New Jersey, Florida, South Carolina, and Georgia, in the prior year period when compared to the current year. This decrease was partially offset by more revenue earned on projects in North Carolina and Louisiana in the current year.</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second quarter of 2021 was $37.3 million, down $4.7 million, or 11.2%, from</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8" w:name="page19"/>
    <w:bookmarkEnd w:id="18"/>
    <w:p>
      <w:pPr>
        <w:ind w:right="20"/>
        <w:spacing w:after="0" w:line="272" w:lineRule="auto"/>
        <w:rPr>
          <w:sz w:val="20"/>
          <w:szCs w:val="20"/>
          <w:color w:val="auto"/>
        </w:rPr>
      </w:pPr>
      <w:r>
        <w:rPr>
          <w:rFonts w:ascii="Arial" w:cs="Arial" w:eastAsia="Arial" w:hAnsi="Arial"/>
          <w:sz w:val="17"/>
          <w:szCs w:val="17"/>
          <w:color w:val="auto"/>
        </w:rPr>
        <w:t>$42.0 million in the second quarter of 2020. The decrease in maintenance revenues for the three months ended June 30, 2021 was mostly attributable to a greater amount of revenue earned on projects in Maryland, North Carolina, Texas, and Virginia in the prior year quarter, when compared to the current year quarter. This decrease was partially offset by higher revenue earned on projects in Florida, Georgia and Louisiana in the current year quarter. Maintenance revenue for the six months ended June 30, 2021 was $82.6 million, a decrease of $1.8 million, or 2.1%, compared to $84.4 million for the comparable period in prior year. The decrease in maintenance revenues for the six months ended June 30, 2021 was mostly due to a greater amount of revenue earned on projects in Maryland and Virginia in the prior year period when compared to the current year. This decrease was partially offset by more revenue earned on projects in Florida, Georgia and Louisiana in the current year.</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Rivers &amp; lakes dredging and related operations typically consist of lake and river dredging, inland levee and construction dredging, environmental restoration and habitat improvement and other marine construction projects. During the second quarter of 2021, rivers &amp; lakes revenue was $5.0 million, an increase of $2.5 million, or 100.3%, from $2.5 million during the same period of 2020. The increase in river and lakes revenue for the three month ended June 30, 2021 was mostly attributable to a greater amount of revenue earned on projects in Mississippi and Texas in the current year quarter. Rivers &amp; lakes revenue for the six months ended June 30, 2021 was $8.4 million, up $0.9 million, or 12.0%, from $7.5 million for the same period in the prior year. The increase in rivers &amp; lakes revenues for the six months ended June 30, 2021 was mostly due to a greater amount of revenue earned on projects in Mississippi in the current year period, when compared to the prior year. This increase was partially offset by more revenue earned in the San Jacinto project in Texas in the prior year.</w:t>
      </w:r>
    </w:p>
    <w:p>
      <w:pPr>
        <w:spacing w:after="0" w:line="192"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Consolidated gross profit for the quarter ended June 30, 2021 was $22.9 million, down $10.1 million, or 31% compared to $33.0 million in the same quarter of 2020. Gross profit margin for the three months ended June 30, 2021 was 13.5% compared to 19.7% in the second quarter of 2020. The lower gross profit experienced for the three months ended June 30, 2021 was driven by $3.0 million of direct costs related to the third wave of COVID-19 in addition to COVID-19 indirect costs and a decrease in profitability of the Company’s domestic capital and coastal protection dredging projects in the quarter when compared to the same period in the prior year, offset slightly by higher gross profit in the maintenance, rivers &amp; lakes and foreign capital dredging projects in the current quarter. Consolidated gross profit for the six months ended June 30, 2021 was $56.0 million, down $45.5 million, or 45%, compared to $101.5 million in the same period of the prior year. Gross profit margin for the six months ended June 30, 2021 was down to 16.1% from</w:t>
      </w:r>
    </w:p>
    <w:p>
      <w:pPr>
        <w:spacing w:after="0" w:line="2"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26.3% in the same period in prior year. The lower gross profit experienced for the six months ended June 30, 2021 was driven by $7.3 million of direct costs related to the third wave of COVID-19 in addition to COVID-19 indirect costs and a decrease in profitability of the Company’s domestic capital, coastal protection and rivers &amp; lakes dredging projects in the quarter when compared to the same period in the prior year, offset slightly by higher gross profit in the maintenance, and foreign capital dredging projects in the current year.</w:t>
      </w:r>
    </w:p>
    <w:p>
      <w:pPr>
        <w:spacing w:after="0" w:line="19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three and six months ended June 30, 2021, general and administrative expenses were $14.2 million and $30.5 million, respectively, compared to the same periods in the prior year in which the three and six months totaled $14.8 million and $30.4 million, respectively. For the three and six months ended June 30, 2021, general and administrative expenses include higher technical and consulting expenses related to our engagement with Boston Consulting Group (“BCG”) to assist with evaluating the offshore wind market strategy as well as reviewing other long-term growth strategies for GLDD and higher relocation expense related to the headquarter move to Texas. These increases were offset by lower incentive pay and lower travel expenses.</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income for the second quarter of 2021 was $8.8 million, down $9.5 million compared to operating income of $18.3 million for the same quarter in 2020. Operating income for the six months ended June 30, 2021 was $25.5 million, down $45.8 million from operating income of $71.3 million in the same period of prior year period. The decrease in operating income for the three and six months ended June 30, 2021 was a result of lower gross profit in the current year when compared to the same period in the prior year.</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three months ended June 30, 2021, net interest expense was $6.7 million, relatively flat compared with $6.7 million for the prior year quarter. Net interest expense the six months ended June 30, 2021 was $13.2 million, compared with $13.4 for the same period in the prior year. The net interest expense for the three and six months ended June 30, 2021 includes a $1.0 million write-off to extinguishment of subsidiary debt related to the deferred financing fees of the redeemed 8.000% Senior Notes due 2022 (the “8% Notes”). This expense was offset by the lower interest expense from our newly issued $325 million of unsecured 5.25% Senior Notes (the “2029 Notes”).</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Income tax provision for the three months ended June 30, 2021 was $0.8 million compared to an income tax provision of $3.1 million for the same period in the prior year. For the six months ended June 30, 2021 and 2020, the Company had an income tax provision of $2.2 million and $14.4 million, respectively. The effective tax rate for the six months ended June 30, 2021 was 16.9%, down 8.3% from the effective tax rate of 25.2% for the same period of 2020. The decrease in effective tax rate was primarily due to a one-time benefit associated with a stock compensation tax deduction in the current year.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spacing w:after="0" w:line="291" w:lineRule="auto"/>
        <w:rPr>
          <w:sz w:val="20"/>
          <w:szCs w:val="20"/>
          <w:color w:val="auto"/>
        </w:rPr>
      </w:pPr>
      <w:r>
        <w:rPr>
          <w:rFonts w:ascii="Arial" w:cs="Arial" w:eastAsia="Arial" w:hAnsi="Arial"/>
          <w:sz w:val="16"/>
          <w:szCs w:val="16"/>
          <w:color w:val="auto"/>
        </w:rPr>
        <w:t>Net income for the quarter ended June 30, 2021 was $2.1 million, down $6.9 million, or 77%, from $9.0 million in the same quarter in the prior year. Diluted earnings per share was $0.03 for the three months ended June 30, 2021, compared to $0.14 for the three months ended June 30, 2020. The decrease in net income for the three months ended June 30, 2021 was due to the decrease in gross profit in current year quarter. Net income for the six months ended June 30, 2021 was $10.9 million, down $32.0 million, or 75%, from $42.9 million for the same period in the prior year. Diluted earnings per share attributable to continuing operations were $0.16 and $0.65 for the six months ended June 30, 2021 and 2020, respectively. The decrease in net income for the six months ended June 30, 2021 was driven by the decrease to gross profit mostly. This increase was slightly offset by a $1.5 million increase in other income and a $12.2 million decrease in income tax provision during the current year when compared to the same period in the prior year.</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Adjusted EBITDA (as defined on page 19) for the quarter ended June 30, 2021 was $20.2 million, down $7.9 million, or 28%, from $28.1 million in the prior year quarter. The decrease in Adjusted EBITDA during the second quarter of 2021 was driven by the decrease in gross profit, excluding depreciation. For the six months ended June 30, 2021, Adjusted EBITDA was $47.1 million, down $42.4 million, or 47%, from $89.5 million during the same period in the prior year.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type of work, the Company’s backlog as of the dates indicated:</w:t>
      </w:r>
    </w:p>
    <w:p>
      <w:pPr>
        <w:spacing w:after="0" w:line="298" w:lineRule="exact"/>
        <w:rPr>
          <w:sz w:val="20"/>
          <w:szCs w:val="20"/>
          <w:color w:val="auto"/>
        </w:rPr>
      </w:pPr>
    </w:p>
    <w:tbl>
      <w:tblPr>
        <w:tblLayout w:type="fixed"/>
        <w:tblInd w:w="150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2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Backlog (in thousands)</w:t>
            </w:r>
          </w:p>
        </w:tc>
        <w:tc>
          <w:tcPr>
            <w:tcW w:w="16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1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200" w:type="dxa"/>
            <w:vAlign w:val="bottom"/>
          </w:tcPr>
          <w:p>
            <w:pPr>
              <w:ind w:left="240"/>
              <w:spacing w:after="0"/>
              <w:rPr>
                <w:sz w:val="20"/>
                <w:szCs w:val="20"/>
                <w:color w:val="auto"/>
              </w:rPr>
            </w:pPr>
            <w:r>
              <w:rPr>
                <w:rFonts w:ascii="Arial" w:cs="Arial" w:eastAsia="Arial" w:hAnsi="Arial"/>
                <w:sz w:val="18"/>
                <w:szCs w:val="18"/>
                <w:color w:val="auto"/>
              </w:rPr>
              <w:t>Capital - U.S.</w:t>
            </w:r>
          </w:p>
        </w:tc>
        <w:tc>
          <w:tcPr>
            <w:tcW w:w="1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320,820</w:t>
            </w:r>
          </w:p>
        </w:tc>
        <w:tc>
          <w:tcPr>
            <w:tcW w:w="2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320,920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345,901</w:t>
            </w:r>
          </w:p>
        </w:tc>
        <w:tc>
          <w:tcPr>
            <w:tcW w:w="80" w:type="dxa"/>
            <w:vAlign w:val="bottom"/>
          </w:tcPr>
          <w:p>
            <w:pPr>
              <w:spacing w:after="0"/>
              <w:rPr>
                <w:sz w:val="19"/>
                <w:szCs w:val="19"/>
                <w:color w:val="auto"/>
              </w:rPr>
            </w:pPr>
          </w:p>
        </w:tc>
      </w:tr>
      <w:tr>
        <w:trPr>
          <w:trHeight w:val="229"/>
        </w:trPr>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foreign</w:t>
            </w:r>
          </w:p>
        </w:tc>
        <w:tc>
          <w:tcPr>
            <w:tcW w:w="1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19,717</w:t>
            </w:r>
          </w:p>
        </w:tc>
        <w:tc>
          <w:tcPr>
            <w:tcW w:w="80" w:type="dxa"/>
            <w:vAlign w:val="bottom"/>
            <w:shd w:val="clear" w:color="auto" w:fill="CFF0FC"/>
          </w:tcPr>
          <w:p>
            <w:pPr>
              <w:spacing w:after="0"/>
              <w:rPr>
                <w:sz w:val="19"/>
                <w:szCs w:val="19"/>
                <w:color w:val="auto"/>
              </w:rPr>
            </w:pPr>
          </w:p>
        </w:tc>
      </w:tr>
      <w:tr>
        <w:trPr>
          <w:trHeight w:val="230"/>
        </w:trPr>
        <w:tc>
          <w:tcPr>
            <w:tcW w:w="320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97,986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21,967</w:t>
            </w:r>
          </w:p>
        </w:tc>
        <w:tc>
          <w:tcPr>
            <w:tcW w:w="80" w:type="dxa"/>
            <w:vAlign w:val="bottom"/>
          </w:tcPr>
          <w:p>
            <w:pPr>
              <w:spacing w:after="0"/>
              <w:rPr>
                <w:sz w:val="19"/>
                <w:szCs w:val="19"/>
                <w:color w:val="auto"/>
              </w:rPr>
            </w:pPr>
          </w:p>
        </w:tc>
      </w:tr>
      <w:tr>
        <w:trPr>
          <w:trHeight w:val="229"/>
        </w:trPr>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67,440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125,090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25,782</w:t>
            </w:r>
          </w:p>
        </w:tc>
        <w:tc>
          <w:tcPr>
            <w:tcW w:w="80" w:type="dxa"/>
            <w:vAlign w:val="bottom"/>
            <w:shd w:val="clear" w:color="auto" w:fill="CFF0FC"/>
          </w:tcPr>
          <w:p>
            <w:pPr>
              <w:spacing w:after="0"/>
              <w:rPr>
                <w:sz w:val="19"/>
                <w:szCs w:val="19"/>
                <w:color w:val="auto"/>
              </w:rPr>
            </w:pPr>
          </w:p>
        </w:tc>
      </w:tr>
      <w:tr>
        <w:trPr>
          <w:trHeight w:val="229"/>
        </w:trPr>
        <w:tc>
          <w:tcPr>
            <w:tcW w:w="3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6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14,669</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w:t>
            </w:r>
          </w:p>
        </w:tc>
        <w:tc>
          <w:tcPr>
            <w:tcW w:w="80" w:type="dxa"/>
            <w:vAlign w:val="bottom"/>
            <w:tcBorders>
              <w:bottom w:val="single" w:sz="8" w:color="CFF0FC"/>
            </w:tcBorders>
          </w:tcPr>
          <w:p>
            <w:pPr>
              <w:spacing w:after="0"/>
              <w:rPr>
                <w:sz w:val="19"/>
                <w:szCs w:val="19"/>
                <w:color w:val="auto"/>
              </w:rPr>
            </w:pPr>
          </w:p>
        </w:tc>
      </w:tr>
      <w:tr>
        <w:trPr>
          <w:trHeight w:val="223"/>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6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454,402</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559,376</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423,403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72% of the Company’s June 30, 2021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The Company’s backlog includes only those projects for which the Company has obtained a signed contract with the customer. A quarterly increase or decrease of the Company’s backlog does not necessarily result in an improvement or a deterioration of the Company’s business.</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domestic dredging bid market for the quarter ended June 30, 2021 was $532.4 million, a $103.8 million increase compared to the same period in the prior year. Total domestic dredging bid market for the current year period included awards for the third phase of the Mobile Harbor Deepening project, the Golden Triangle Marsh Project, one maintenance project in the gulf region, one rivers &amp; lakes project in Tennessee, one coastal protection project and one maintenance project in Florida. For the contracts awarded in the current year, the Company won 65.9%, or $148.1 million, of domestic capital projects, and 36.3%, or $44.1 million, of the coastal protection projects, through June 30, 2021. The Company won 34.5% of the overall domestic bid market for the six months ended June 30, 2021, which is slightly lower than the Company’s prior three year average of 36.6%. Variability in contract wins from quarter to quarter is not unusual and one quarter’s win rate is generally not indicative of the win rate the Company is likely to achieve for a full year. After the end of the quarter, we were awarded the Cape May Beach Renourishment Project for $12.1 million and we were low bidder on the Corpus Christi Phase III Deepening Project for $151.9 million and the Thimble Shoal deepening and renourishment project for $39.5 million.</w:t>
      </w:r>
    </w:p>
    <w:p>
      <w:pPr>
        <w:spacing w:after="0" w:line="166"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The Company’s contracted dredging backlog was $454.4 million at June 30, 2021 compared to $559.4 million of backlog at December 31, 2020. These amounts do not reflect approximately $508.6 million of domestic low bids pending formal award and additional phases (“options”) pending on projects currently in backlog at June 30, 2021. At December 31, 2020 the amount of domestic low bids and options pending award was $472.3 million.</w:t>
      </w:r>
    </w:p>
    <w:p>
      <w:pPr>
        <w:spacing w:after="0" w:line="1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Domestic capital dredging backlog at June 30, 2021 was at the same level compared to December 31, 2020. In the six months ended June 30, 2021, the Company was awarded the third phase of the Boston Harbor deepening project. During the six months ended June 30, 2021, the Company continued to earn revenue on deepening projects in Charleston, Jacksonville, and the gulf region, a coastal restoration project in Louisiana, and a liquefied natural gas project in Louisiana. Government funded projects coming into the pipeline include additional phases of the Corpus Christi deepenings, as well as new deepenings for ports in Alabama and the Everglades in Florida. These deepenings continue the trend of ensuring all East Coast and Gulf of Mexico ports will be able to accommodate the deeper draft vessels currently used on several trade routes. In addition, multiple project phases for port deepenings in Norfolk and the Houston ship channel are expected to continue for the next several years.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0" w:name="page21"/>
    <w:bookmarkEnd w:id="20"/>
    <w:p>
      <w:pPr>
        <w:ind w:right="400"/>
        <w:spacing w:after="0" w:line="277" w:lineRule="auto"/>
        <w:rPr>
          <w:sz w:val="20"/>
          <w:szCs w:val="20"/>
          <w:color w:val="auto"/>
        </w:rPr>
      </w:pPr>
      <w:r>
        <w:rPr>
          <w:rFonts w:ascii="Arial" w:cs="Arial" w:eastAsia="Arial" w:hAnsi="Arial"/>
          <w:sz w:val="18"/>
          <w:szCs w:val="18"/>
          <w:color w:val="auto"/>
        </w:rPr>
        <w:t>Foreign capital dredging backlog at June 30, 2021 was $6.6 million lower than at December 31, 2020. During the six months ended June 30, 2021, the Company continued to earn revenue on a project in the Middle East which was in backlog at December 31, 2020.</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Coastal protection dredging backlog decreased $46.8 million from December 31, 2020. In the six months ended June 30, 2021, the Company was awarded two coastal protection projects of $28.5 and $15.6 million in Florida. During the six months ended June 30, 2021, the Company continued to earn revenue on coastal protection projects in New Jersey, North Carolina, and Florida which were in backlog at December 31, 2020.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 As a result of the extreme storm systems in prior years involving Hurricanes Harvey, Irma, and Maria, the U.S.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2019, an additional $3.3 billion of supplemental appropriations was approved for disaster relief funding as a result of Hurricane Florence and Hurricane Michael.</w:t>
      </w:r>
    </w:p>
    <w:p>
      <w:pPr>
        <w:spacing w:after="0" w:line="18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Maintenance dredging backlog decreased $57.6 million from December 31, 2020. In the six months ended June 30, 2021, the Company was awarded one maintenance project of $38.3 in the Gulf region and another one of $3.3 million Florida. During the six months ended June 30, 2021, the Company continued to earn revenue on projects in Louisiana, North Carolina and Florida which were in backlog at December 31, 2020. Past WRDA bills called for full use of the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Through the increased appropriation of HMTF monies, the Company anticipates increased funding for harbor maintenance projects to be let for bid.</w:t>
      </w:r>
    </w:p>
    <w:p>
      <w:pPr>
        <w:spacing w:after="0" w:line="19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Rivers &amp; lakes backlog at June 30, 2021 was up $6.2 million compared to backlog at December 31, 2020. In the six months ended June 30, 2021, the Company was awarded one rivers &amp; lakes project in Tennessee. For the six months ended June 30, 2021, the Company continued to earn revenue on projects in Texas and Mississippi which was in backlog at December 31,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long-term debt. The Company’s principal uses of cash are to meet debt service requirements, finance capital expenditures, provide working capital and other general corporate purposes.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cash provided by or used in operating activities for the six months ended June 30, 2021 and 2020 was a use of $35.6 million and a source of $67.5 million in cash, respectively. Normal increases or decreases in the level of working capital relative to the level of operational activity impact cash flow from operating activities. The decrease in cash provided by operating activities during the six months ended June 30, 2021 compared to the same period in the prior year was driven by lower net income in current year, offset partially by lower investment in working capital during the current year when compared to the same period in the prior year.</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cash flows used in investing activities for the six months ended June 30, 2021 and 2020 totaled $64.6 million and $20.1 million, respectively. Investing activities primarily relate to normal course upgrades and capital maintenance of the Company’s dredging fleet. The Company announced a Shipyard Contract for 6,500 cubic yard Trailing Suction Hopper Dredge in June 2020 and, later, in December 2020 the Company announced the design and development of the first U.S. flagged Jones Act compliant, inclined fall-pipe vessel for subsea rock installation for wind turbine foundations to support the new U.S. offshore wind industry. During the six months ended June 30, 2021, the Company has invested $14.0 million towards these new vessels. In addition, the Company spent $16.4 million in the period ended June 30, 2021 to acquire two dredges that had previously been leased and $6.9 million to acquire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ind w:right="440"/>
        <w:spacing w:after="0" w:line="277" w:lineRule="auto"/>
        <w:rPr>
          <w:sz w:val="20"/>
          <w:szCs w:val="20"/>
          <w:color w:val="auto"/>
        </w:rPr>
      </w:pPr>
      <w:r>
        <w:rPr>
          <w:rFonts w:ascii="Arial" w:cs="Arial" w:eastAsia="Arial" w:hAnsi="Arial"/>
          <w:sz w:val="18"/>
          <w:szCs w:val="18"/>
          <w:color w:val="auto"/>
        </w:rPr>
        <w:t>two multifunctional all-purpose vessels (“multicats”). The Company did not receive any proceeds from dispositions of property and equipment in the current year period compared to $0.4 million in the prior year period.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cash flows used in financing activities for the six months ended June 30, 2021 and 2020 totaled $6.7 million and $0.8 million, respectively. The increase in cash used in financing activities relates to $4.4 million of deferred financing fees paid related to the newly issued $325 million of the 2029 Notes and changes in the taxes paid on settlement of vested shares awards, offset slightly by increase cash from the Company’s employee stock purchase plan. Of the previously announced $75.0 million share repurchase program, the Company repurchased $3.9 million of common stock in the third quarter of 2020 and none during the period ended June 30, 2021.</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maintains a favorable cash on hand position and revolver availability and as a result is well positioned for changes in the current economic environment. In the current year, the Company began to experience more considerable operational interruptions and direct costs related to the third wave of the coronavirus (COVID-19) pandemic. The impacted projects are now back in operation but the Company will continue to assess the potential economic impact that the virus and pandemic could have on the Company’s operations and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May 2021 the Company sold $325 million of 2029 Notes pursuant to a private offering. The 2029 Notes were priced to investors at par and will mature on June 1, 2029. The Company used the net proceeds from the offering, together with cash on hand, to redeem all $325 million aggregate principal amount of its outstanding 8% Notes.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2029 Notes are senior unsecured obligations of the Company and are guaranteed on a senior unsecured basis by the guarantors and any other subsidiary guarantors that from time to time become parties to the indenture. The terms of the indenture,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enter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contingencies and liquidity matters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Refer to Note 4, Long-term debt, in the Notes to Condensed Consolidated Financial Statements for discussion of the Company’s Amended Credit Agreement. Additionally, refer to Note 8, Commitments and contingencies, in the Notes to Condensed Consolidated Financial Statements for discussion of the Company’s surety agreements.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intends to upgrade its existing domestic fleet by acquiring new vessels, equipment and technology to increase productivity and efficiency and further enhance safety. Existing cash on hand, future net cash flows, debt financing and new leases are all available funding resources from which the Company will evaluate its options when considering these upgrades.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Amended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preparing its consolidated financial statements, the Company follows GAAP, which is described in Note 1, Basis of presentation, to the Company’s December 31, 2020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2020.</w:t>
      </w:r>
    </w:p>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market risk of the Company’s financial instruments as of June 30, 2021 has not materially changed since December 31, 2020. The market risk profile of the Company on December 31, 2020 is disclosed in Item 7A. “Quantitative and Qualitative Disclosures about Market Risk” of the Company’s Annual Report on Form 10-K for the year ended December 31,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 2021.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June 30, 2021 in providing such a reasonable assurance.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June 30, 2021 that have materially affected, or are reasonably likely to materially affect, our internal control over financial reporting.</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There have been no material changes, except for the following, during the six months ended June 30, 2021 to the risk factors previously disclosed in Item 1A. “Risk Factors” in the Company’s Annual Report on Form 10-K for the year ended December 31, 2020, as supplemented by the risk factor previously disclosed in Item 1A. “Risk Factors” in the Company’s Quarterly Report on Form 10-Q for the quarter ended June 30, 2021.</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Company could face liabilities and/or damage to our reputation as a result of certain legal and regulatory proceedings, including a recent legal proceeding in Louisiana.</w:t>
      </w:r>
    </w:p>
    <w:p>
      <w:pPr>
        <w:spacing w:after="0" w:line="62" w:lineRule="exact"/>
        <w:rPr>
          <w:sz w:val="20"/>
          <w:szCs w:val="20"/>
          <w:color w:val="auto"/>
        </w:rPr>
      </w:pPr>
    </w:p>
    <w:p>
      <w:pPr>
        <w:ind w:right="380" w:firstLine="749"/>
        <w:spacing w:after="0" w:line="286" w:lineRule="auto"/>
        <w:rPr>
          <w:sz w:val="20"/>
          <w:szCs w:val="20"/>
          <w:color w:val="auto"/>
        </w:rPr>
      </w:pPr>
      <w:r>
        <w:rPr>
          <w:rFonts w:ascii="Arial" w:cs="Arial" w:eastAsia="Arial" w:hAnsi="Arial"/>
          <w:sz w:val="17"/>
          <w:szCs w:val="17"/>
          <w:color w:val="auto"/>
        </w:rPr>
        <w:t>The Company operates in a highly regulated environment with constantly evolving legal and regulatory frameworks. From time to time, the Company is subject to legal and regulatory proceedings in the ordinary course of its business. These include proceedings relating to aspects of its businesses that are specific to the Company and proceedings that are typical in the businesses in which it operates.</w:t>
      </w:r>
    </w:p>
    <w:p>
      <w:pPr>
        <w:spacing w:after="0" w:line="57" w:lineRule="exact"/>
        <w:rPr>
          <w:sz w:val="20"/>
          <w:szCs w:val="20"/>
          <w:color w:val="auto"/>
        </w:rPr>
      </w:pPr>
    </w:p>
    <w:p>
      <w:pPr>
        <w:ind w:right="20" w:firstLine="749"/>
        <w:spacing w:after="0" w:line="289" w:lineRule="auto"/>
        <w:rPr>
          <w:sz w:val="20"/>
          <w:szCs w:val="20"/>
          <w:color w:val="auto"/>
        </w:rPr>
      </w:pPr>
      <w:r>
        <w:rPr>
          <w:rFonts w:ascii="Arial" w:cs="Arial" w:eastAsia="Arial" w:hAnsi="Arial"/>
          <w:sz w:val="16"/>
          <w:szCs w:val="16"/>
          <w:color w:val="auto"/>
        </w:rPr>
        <w:t>In particular, on April 22, 2021, the U.S. Attorney’s Office for the Eastern District of Louisiana filed a bill of information against the Company charging the Company with a negligent discharge violation of the Clean Water Act arising from a September 2016 oil spill. The spill occurred during the Company’s Cheniere Ronquille project and resulted in the discharge of around 160 barrels of crude oil in Bay Long, Louisiana. The Company has cooperated with the U.S. Attorney’s Office and other relevant agencies in their investigation of the oil spill and has agreed to plead guilty to the misdemeanor violation alleged in the bill of information. As a result, the government may initiate suspension or debarment proceedings against us, which might prohibit us from bidding for, entering into or completing certain government projects. These suspension or debarment actions may be limited in time and scope, but the Company cannot guarantee that any such action will not have a material adverse effect on its business, results of operations, cash flows or financial condition. In addition, this matter may lead to negative publicity and press speculation about the Company, whether valid or not, which may harm our reputation and be damaging to our business, results of operations, cash flows or financial condition.</w:t>
      </w:r>
    </w:p>
    <w:p>
      <w:pPr>
        <w:spacing w:after="0" w:line="58" w:lineRule="exact"/>
        <w:rPr>
          <w:sz w:val="20"/>
          <w:szCs w:val="20"/>
          <w:color w:val="auto"/>
        </w:rPr>
      </w:pPr>
    </w:p>
    <w:p>
      <w:pPr>
        <w:ind w:right="160" w:firstLine="749"/>
        <w:spacing w:after="0" w:line="275" w:lineRule="auto"/>
        <w:rPr>
          <w:sz w:val="20"/>
          <w:szCs w:val="20"/>
          <w:color w:val="auto"/>
        </w:rPr>
      </w:pPr>
      <w:r>
        <w:rPr>
          <w:rFonts w:ascii="Arial" w:cs="Arial" w:eastAsia="Arial" w:hAnsi="Arial"/>
          <w:sz w:val="17"/>
          <w:szCs w:val="17"/>
          <w:color w:val="auto"/>
        </w:rPr>
        <w:t>The Company is currently a defendant in a number of other litigation matters, including those described in Note 8, Commitments and contingencies, in the Notes to Condensed Consolidated Financial Statements in this Quarterly Report on Form 10-Q. In certain of these matters, the plaintiffs are seeking large and/or indeterminate amounts of damages. These matters are also subject to many uncertainties, and it is possible that some of these matters could ultimately be decided, resolved or settled adversely to the Company. An adverse outcome in a legal or regulatory matter could, depending on the facts, have an adverse effect on the Company’s business, results of operations, cash flows or financial condition.</w:t>
      </w:r>
    </w:p>
    <w:p>
      <w:pPr>
        <w:spacing w:after="0" w:line="68"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Furthermore, whether the ultimate outcomes are favorable or unfavorable, these matters can also have significant adverse reputational impacts, including negative publicity and press speculation about the Company, whether valid or not, which may be damaging to the Company’s business, results of operations, cash flows or financial condition.</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repurchases of the Company’s common stock by the Company during the quarter ended June 30, 2021:</w:t>
      </w:r>
    </w:p>
    <w:p>
      <w:pPr>
        <w:spacing w:after="0" w:line="46"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Part of Publicly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That May Yet</w:t>
            </w: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Total Number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Be Purchased</w:t>
            </w: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6"/>
              </w:rPr>
              <w:t>Average Price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Plans or</w:t>
            </w:r>
          </w:p>
        </w:tc>
        <w:tc>
          <w:tcPr>
            <w:tcW w:w="2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9"/>
              </w:rPr>
              <w:t>Under the Plans</w:t>
            </w:r>
          </w:p>
        </w:tc>
      </w:tr>
      <w:tr>
        <w:trPr>
          <w:trHeight w:val="23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Paid per Share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Programs</w:t>
            </w:r>
          </w:p>
        </w:tc>
        <w:tc>
          <w:tcPr>
            <w:tcW w:w="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or Programs (1)</w:t>
            </w:r>
          </w:p>
        </w:tc>
      </w:tr>
      <w:tr>
        <w:trPr>
          <w:trHeight w:val="223"/>
        </w:trPr>
        <w:tc>
          <w:tcPr>
            <w:tcW w:w="3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1, 2021 – April 30, 2021</w:t>
            </w: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0</w:t>
            </w:r>
          </w:p>
        </w:tc>
        <w:tc>
          <w:tcPr>
            <w:tcW w:w="1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5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71,127,473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May 1, 2021 - May 31, 2021</w:t>
            </w:r>
          </w:p>
        </w:tc>
        <w:tc>
          <w:tcPr>
            <w:tcW w:w="1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1400" w:type="dxa"/>
            <w:vAlign w:val="bottom"/>
            <w:gridSpan w:val="2"/>
          </w:tcPr>
          <w:p>
            <w:pPr>
              <w:jc w:val="right"/>
              <w:ind w:right="1058"/>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71,127,473</w:t>
            </w:r>
          </w:p>
        </w:tc>
        <w:tc>
          <w:tcPr>
            <w:tcW w:w="100" w:type="dxa"/>
            <w:vAlign w:val="bottom"/>
          </w:tcPr>
          <w:p>
            <w:pPr>
              <w:spacing w:after="0"/>
              <w:rPr>
                <w:sz w:val="19"/>
                <w:szCs w:val="19"/>
                <w:color w:val="auto"/>
              </w:rPr>
            </w:pPr>
          </w:p>
        </w:tc>
      </w:tr>
      <w:tr>
        <w:trPr>
          <w:trHeight w:val="229"/>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1 2021 - June 30, 2021</w:t>
            </w: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0</w:t>
            </w:r>
          </w:p>
        </w:tc>
        <w:tc>
          <w:tcPr>
            <w:tcW w:w="1400" w:type="dxa"/>
            <w:vAlign w:val="bottom"/>
            <w:gridSpan w:val="2"/>
            <w:shd w:val="clear" w:color="auto" w:fill="CFF0FC"/>
          </w:tcPr>
          <w:p>
            <w:pPr>
              <w:jc w:val="right"/>
              <w:ind w:right="105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71,127,473</w:t>
            </w:r>
          </w:p>
        </w:tc>
        <w:tc>
          <w:tcPr>
            <w:tcW w:w="100" w:type="dxa"/>
            <w:vAlign w:val="bottom"/>
            <w:shd w:val="clear" w:color="auto" w:fill="CFF0FC"/>
          </w:tcPr>
          <w:p>
            <w:pPr>
              <w:spacing w:after="0"/>
              <w:rPr>
                <w:sz w:val="19"/>
                <w:szCs w:val="19"/>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0</w:t>
            </w:r>
          </w:p>
        </w:tc>
        <w:tc>
          <w:tcPr>
            <w:tcW w:w="1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5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71,127,473</w:t>
            </w:r>
          </w:p>
        </w:tc>
        <w:tc>
          <w:tcPr>
            <w:tcW w:w="10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1120" w:hanging="370"/>
        <w:spacing w:after="0" w:line="308"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August 4, 2020, the Company announced a share repurchase program approved by its board of directors, authorizing, but not obligating, the repurchase of up to an aggregate amount of $75,000,000 of its common stock from time to time through July 31, 2021.</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4" w:name="page25"/>
    <w:bookmarkEnd w:id="24"/>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08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15"/>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08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920" w:type="dxa"/>
            <w:vAlign w:val="bottom"/>
            <w:gridSpan w:val="13"/>
          </w:tcPr>
          <w:p>
            <w:pPr>
              <w:ind w:left="1980"/>
              <w:spacing w:after="0"/>
              <w:rPr>
                <w:sz w:val="20"/>
                <w:szCs w:val="20"/>
                <w:color w:val="auto"/>
              </w:rPr>
            </w:pPr>
            <w:r>
              <w:rPr>
                <w:rFonts w:ascii="Arial" w:cs="Arial" w:eastAsia="Arial" w:hAnsi="Arial"/>
                <w:sz w:val="18"/>
                <w:szCs w:val="18"/>
                <w:b w:val="1"/>
                <w:bCs w:val="1"/>
                <w:color w:val="auto"/>
              </w:rPr>
              <w:t>Document Description</w:t>
            </w:r>
          </w:p>
        </w:tc>
      </w:tr>
      <w:tr>
        <w:trPr>
          <w:trHeight w:val="317"/>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r:id="rId4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tcBorders>
              <w:top w:val="single" w:sz="8" w:color="auto"/>
              <w:bottom w:val="single" w:sz="8" w:color="0000EE"/>
            </w:tcBorders>
            <w:gridSpan w:val="10"/>
          </w:tcPr>
          <w:p>
            <w:pPr>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Indenture, dated May 25, 2021, among Great Lakes Dredge &amp; Dock Corporation, as Issuer, the guarantors party thereto, and Wells Fargo</w:t>
              </w:r>
            </w:hyperlink>
          </w:p>
        </w:tc>
        <w:tc>
          <w:tcPr>
            <w:tcW w:w="280" w:type="dxa"/>
            <w:vAlign w:val="bottom"/>
            <w:tcBorders>
              <w:top w:val="single" w:sz="8" w:color="auto"/>
            </w:tcBorders>
            <w:gridSpan w:val="5"/>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Bank, National Association, as Trustee, relating to the 2029 Notes (incorporated by reference to Great Lakes Dredge &amp; Dock Corporation’s</w:t>
              </w:r>
            </w:hyperlink>
          </w:p>
        </w:tc>
        <w:tc>
          <w:tcPr>
            <w:tcW w:w="8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60" w:type="dxa"/>
            <w:vAlign w:val="bottom"/>
            <w:gridSpan w:val="15"/>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Current Report on Form 8-K filed with the Commission on May 25, 2021 (Commission file no. 001-33225))</w:t>
              </w:r>
            </w:hyperlink>
          </w:p>
        </w:tc>
      </w:tr>
      <w:tr>
        <w:trPr>
          <w:trHeight w:val="20"/>
        </w:trPr>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39"/>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4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20" w:type="dxa"/>
            <w:vAlign w:val="bottom"/>
            <w:tcBorders>
              <w:bottom w:val="single" w:sz="8" w:color="0000EE"/>
            </w:tcBorders>
            <w:gridSpan w:val="12"/>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Form of 2029 Notes (included in Exhibit 4.1) (incorporated by reference to Great Lakes Dredge &amp; Dock Corporation’s Current Report on</w:t>
              </w:r>
            </w:hyperlink>
          </w:p>
        </w:tc>
        <w:tc>
          <w:tcPr>
            <w:tcW w:w="24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Form 8-K filed with the Commission on May 25, 2021 (Commission file no. 001-33225))</w:t>
              </w:r>
            </w:hyperlink>
          </w:p>
        </w:tc>
        <w:tc>
          <w:tcPr>
            <w:tcW w:w="3680" w:type="dxa"/>
            <w:vAlign w:val="bottom"/>
            <w:gridSpan w:val="12"/>
          </w:tcPr>
          <w:p>
            <w:pPr>
              <w:spacing w:after="0"/>
              <w:rPr>
                <w:sz w:val="17"/>
                <w:szCs w:val="17"/>
                <w:color w:val="auto"/>
              </w:rPr>
            </w:pPr>
          </w:p>
        </w:tc>
      </w:tr>
      <w:tr>
        <w:trPr>
          <w:trHeight w:val="439"/>
        </w:trPr>
        <w:tc>
          <w:tcPr>
            <w:tcW w:w="760" w:type="dxa"/>
            <w:vAlign w:val="bottom"/>
            <w:gridSpan w:val="3"/>
          </w:tcPr>
          <w:p>
            <w:pPr>
              <w:spacing w:after="0"/>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2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w w:val="96"/>
              </w:rPr>
            </w:pPr>
            <w:hyperlink r:id="rId48">
              <w:r>
                <w:rPr>
                  <w:rFonts w:ascii="Arial" w:cs="Arial" w:eastAsia="Arial" w:hAnsi="Arial"/>
                  <w:sz w:val="18"/>
                  <w:szCs w:val="18"/>
                  <w:color w:val="0000EE"/>
                  <w:w w:val="96"/>
                </w:rPr>
                <w:t>Great Lakes Dredge &amp; Dock Corporation 2021 Long-Term Incentive Plan (incorporated by reference to Great Lakes Dredge &amp; Dock</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r:id="rId48">
              <w:r>
                <w:rPr>
                  <w:rFonts w:ascii="Arial" w:cs="Arial" w:eastAsia="Arial" w:hAnsi="Arial"/>
                  <w:sz w:val="18"/>
                  <w:szCs w:val="18"/>
                  <w:color w:val="0000EE"/>
                  <w:w w:val="99"/>
                </w:rPr>
                <w:t>Corporation’s Current Report on Form 8-K filed with the Commission on May 7, 2021 (Commission file no. 001-33225)) †</w:t>
              </w:r>
            </w:hyperlink>
          </w:p>
        </w:tc>
        <w:tc>
          <w:tcPr>
            <w:tcW w:w="560" w:type="dxa"/>
            <w:vAlign w:val="bottom"/>
            <w:gridSpan w:val="7"/>
          </w:tcPr>
          <w:p>
            <w:pPr>
              <w:spacing w:after="0"/>
              <w:rPr>
                <w:sz w:val="17"/>
                <w:szCs w:val="17"/>
                <w:color w:val="auto"/>
              </w:rPr>
            </w:pPr>
          </w:p>
        </w:tc>
      </w:tr>
      <w:tr>
        <w:trPr>
          <w:trHeight w:val="20"/>
        </w:trPr>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6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39"/>
        </w:trPr>
        <w:tc>
          <w:tcPr>
            <w:tcW w:w="760" w:type="dxa"/>
            <w:vAlign w:val="bottom"/>
            <w:gridSpan w:val="3"/>
          </w:tcPr>
          <w:p>
            <w:pPr>
              <w:spacing w:after="0"/>
              <w:rPr>
                <w:rFonts w:ascii="Arial" w:cs="Arial" w:eastAsia="Arial" w:hAnsi="Arial"/>
                <w:sz w:val="18"/>
                <w:szCs w:val="18"/>
                <w:color w:val="0000EE"/>
              </w:rPr>
            </w:pPr>
            <w:hyperlink r:id="rId49">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32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Purchase Agreement, dated May 12, 2021, by and among Great Lakes Dredge &amp; Dock Corporation, certain subsidiary guarantors named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therein and BofA Securities, Inc., as representative of the initial purchasers named therein. (incorporated by reference to Great Lakes</w:t>
              </w:r>
            </w:hyperlink>
          </w:p>
        </w:tc>
        <w:tc>
          <w:tcPr>
            <w:tcW w:w="300" w:type="dxa"/>
            <w:vAlign w:val="bottom"/>
            <w:gridSpan w:val="6"/>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78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Dredge &amp; Dock Corporation’s Current Report on Form 8-K filed with the Commission on May 18, 2021 (Commission file no. 001-33225))</w:t>
              </w:r>
            </w:hyperlink>
          </w:p>
        </w:tc>
        <w:tc>
          <w:tcPr>
            <w:tcW w:w="10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r:id="rId49">
              <w:r>
                <w:rPr>
                  <w:rFonts w:ascii="Arial" w:cs="Arial" w:eastAsia="Arial" w:hAnsi="Arial"/>
                  <w:sz w:val="18"/>
                  <w:szCs w:val="18"/>
                  <w:color w:val="0000EE"/>
                  <w:w w:val="79"/>
                </w:rPr>
                <w:t>†</w:t>
              </w:r>
            </w:hyperlink>
          </w:p>
        </w:tc>
        <w:tc>
          <w:tcPr>
            <w:tcW w:w="10060" w:type="dxa"/>
            <w:vAlign w:val="bottom"/>
            <w:gridSpan w:val="14"/>
          </w:tcPr>
          <w:p>
            <w:pPr>
              <w:spacing w:after="0"/>
              <w:rPr>
                <w:sz w:val="17"/>
                <w:szCs w:val="17"/>
                <w:color w:val="auto"/>
              </w:rPr>
            </w:pPr>
          </w:p>
        </w:tc>
      </w:tr>
      <w:tr>
        <w:trPr>
          <w:trHeight w:val="439"/>
        </w:trPr>
        <w:tc>
          <w:tcPr>
            <w:tcW w:w="760" w:type="dxa"/>
            <w:vAlign w:val="bottom"/>
            <w:gridSpan w:val="3"/>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99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Certification Pursuant to Rules 13a-14 and 15d-14 under the Securities Exchange Act of 1934, as Adopted Pursuant to Section 302 of the</w:t>
              </w:r>
            </w:hyperlink>
          </w:p>
        </w:tc>
        <w:tc>
          <w:tcPr>
            <w:tcW w:w="260" w:type="dxa"/>
            <w:vAlign w:val="bottom"/>
            <w:gridSpan w:val="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6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Sarbanes-Oxley Act of 2002. *</w:t>
              </w:r>
            </w:hyperlink>
          </w:p>
        </w:tc>
      </w:tr>
      <w:tr>
        <w:trPr>
          <w:trHeight w:val="20"/>
        </w:trPr>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r>
      <w:tr>
        <w:trPr>
          <w:trHeight w:val="439"/>
        </w:trPr>
        <w:tc>
          <w:tcPr>
            <w:tcW w:w="760" w:type="dxa"/>
            <w:vAlign w:val="bottom"/>
            <w:gridSpan w:val="3"/>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99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Certification Pursuant to Rules 13a-14 and 15d-14 under the Securities Exchange Act of 1934, as Adopted Pursuant to Section 302 of the</w:t>
              </w:r>
            </w:hyperlink>
          </w:p>
        </w:tc>
        <w:tc>
          <w:tcPr>
            <w:tcW w:w="260" w:type="dxa"/>
            <w:vAlign w:val="bottom"/>
            <w:gridSpan w:val="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6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Sarbanes-Oxley Act of 2002. *</w:t>
              </w:r>
            </w:hyperlink>
          </w:p>
        </w:tc>
      </w:tr>
      <w:tr>
        <w:trPr>
          <w:trHeight w:val="20"/>
        </w:trPr>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r>
      <w:tr>
        <w:trPr>
          <w:trHeight w:val="439"/>
        </w:trPr>
        <w:tc>
          <w:tcPr>
            <w:tcW w:w="760" w:type="dxa"/>
            <w:vAlign w:val="bottom"/>
            <w:gridSpan w:val="3"/>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90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Pursuant to 18 U.S.C. Section 1350, as Adopted Pursuant to Section 906 of the Sarbanes-Oxley Act of 2002. **</w:t>
              </w:r>
            </w:hyperlink>
          </w:p>
        </w:tc>
        <w:tc>
          <w:tcPr>
            <w:tcW w:w="1140" w:type="dxa"/>
            <w:vAlign w:val="bottom"/>
            <w:gridSpan w:val="9"/>
          </w:tcPr>
          <w:p>
            <w:pPr>
              <w:spacing w:after="0"/>
              <w:rPr>
                <w:sz w:val="24"/>
                <w:szCs w:val="24"/>
                <w:color w:val="auto"/>
              </w:rPr>
            </w:pPr>
          </w:p>
        </w:tc>
      </w:tr>
      <w:tr>
        <w:trPr>
          <w:trHeight w:val="439"/>
        </w:trPr>
        <w:tc>
          <w:tcPr>
            <w:tcW w:w="760" w:type="dxa"/>
            <w:vAlign w:val="bottom"/>
            <w:gridSpan w:val="3"/>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90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Pursuant to 18 U.S.C. Section 1350, as Adopted Pursuant to Section 906 of the Sarbanes-Oxley Act of 2002. **</w:t>
              </w:r>
            </w:hyperlink>
          </w:p>
        </w:tc>
        <w:tc>
          <w:tcPr>
            <w:tcW w:w="1140" w:type="dxa"/>
            <w:vAlign w:val="bottom"/>
            <w:gridSpan w:val="9"/>
          </w:tcPr>
          <w:p>
            <w:pPr>
              <w:spacing w:after="0"/>
              <w:rPr>
                <w:sz w:val="24"/>
                <w:szCs w:val="24"/>
                <w:color w:val="auto"/>
              </w:rPr>
            </w:pPr>
          </w:p>
        </w:tc>
      </w:tr>
    </w:tbl>
    <w:p>
      <w:pPr>
        <w:spacing w:after="0" w:line="256" w:lineRule="exact"/>
        <w:rPr>
          <w:sz w:val="20"/>
          <w:szCs w:val="20"/>
          <w:color w:val="auto"/>
        </w:rPr>
      </w:pPr>
    </w:p>
    <w:p>
      <w:pPr>
        <w:ind w:left="1080" w:hanging="107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formatted in Inline Extensible Business Reporting Language ("Inline XBRL")</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3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 *</w:t>
      </w:r>
    </w:p>
    <w:p>
      <w:pPr>
        <w:spacing w:after="0" w:line="22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62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4" w:lineRule="exact"/>
        <w:rPr>
          <w:sz w:val="20"/>
          <w:szCs w:val="20"/>
          <w:color w:val="auto"/>
        </w:rPr>
      </w:pPr>
    </w:p>
    <w:p>
      <w:pPr>
        <w:jc w:val="center"/>
        <w:ind w:left="6960"/>
        <w:spacing w:after="0"/>
        <w:rPr>
          <w:sz w:val="20"/>
          <w:szCs w:val="20"/>
          <w:color w:val="auto"/>
        </w:rPr>
      </w:pPr>
      <w:r>
        <w:rPr>
          <w:rFonts w:ascii="Arial" w:cs="Arial" w:eastAsia="Arial" w:hAnsi="Arial"/>
          <w:sz w:val="13"/>
          <w:szCs w:val="13"/>
          <w:b w:val="1"/>
          <w:bCs w:val="1"/>
          <w:color w:val="auto"/>
        </w:rPr>
        <w:t>Mark W. Marinko</w:t>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3"/>
          <w:szCs w:val="13"/>
          <w:b w:val="1"/>
          <w:bCs w:val="1"/>
          <w:color w:val="auto"/>
        </w:rPr>
        <w:t>Senior Vice President and Chief Financial Officer</w:t>
      </w:r>
    </w:p>
    <w:p>
      <w:pPr>
        <w:jc w:val="center"/>
        <w:ind w:left="69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3"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June 30, 2021, as filed with the Securities and Exchange Commission on the date hereof (the “Report”), I, Lasse J. Petterson, Chief Executive Officer and Director of the Company, certify pursuant to 18 U.S.C. Section 1350, as adopted pursuant to Section 906 of the Sarbanes-Oxley Act of 2002, that:</w:t>
      </w:r>
    </w:p>
    <w:p>
      <w:pPr>
        <w:spacing w:after="0" w:line="57"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2021 as filed with the Securities and Exchange Commission on the date hereof (the “Report”), I, Mark W. Marinko, Senior Vice President and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1."/>
      <w:numFmt w:val="decimal"/>
      <w:start w:val="7"/>
    </w:lvl>
  </w:abstractNum>
  <w:abstractNum w:abstractNumId="10">
    <w:nsid w:val="41A7C4C9"/>
    <w:multiLevelType w:val="hybridMultilevel"/>
    <w:lvl w:ilvl="0">
      <w:lvlJc w:val="left"/>
      <w:lvlText w:val="%1."/>
      <w:numFmt w:val="decimal"/>
      <w:start w:val="8"/>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0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46" Type="http://schemas.openxmlformats.org/officeDocument/2006/relationships/hyperlink" Target="http://www.sec.gov/Archives/edgar/data/0001372020/000156459021029758/gldd-8k_20210525.htm" TargetMode="External"/><Relationship Id="rId47" Type="http://schemas.openxmlformats.org/officeDocument/2006/relationships/hyperlink" Target="http://www.sec.gov/Archives/edgar/data/0001372020/000156459021029758/gldd-ex41_42.htm" TargetMode="External"/><Relationship Id="rId48" Type="http://schemas.openxmlformats.org/officeDocument/2006/relationships/hyperlink" Target="http://www.sec.gov/Archives/edgar/data/0001372020/000156459021025527/gldd-ex101_6.htm" TargetMode="External"/><Relationship Id="rId49" Type="http://schemas.openxmlformats.org/officeDocument/2006/relationships/hyperlink" Target="http://www.sec.gov/Archives/edgar/data/0001372020/000156459021028701/gldd-ex101_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2021-08-03T15:44:53Z</dcterms:created>
  <dcterms:modified xsi:type="dcterms:W3CDTF">2021-08-03T15:44:53Z</dcterms:modified>
</cp:coreProperties>
</file>