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6060" w:type="dxa"/>
            <w:vAlign w:val="bottom"/>
          </w:tcPr>
          <w:p>
            <w:pPr>
              <w:jc w:val="center"/>
              <w:ind w:right="35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60" w:type="dxa"/>
            <w:vAlign w:val="bottom"/>
          </w:tcPr>
          <w:p>
            <w:pPr>
              <w:jc w:val="center"/>
              <w:ind w:right="350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2122 York Road, Oak Brook, IL</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60523</w:t>
            </w:r>
          </w:p>
        </w:tc>
      </w:tr>
      <w:tr>
        <w:trPr>
          <w:trHeight w:val="186"/>
        </w:trPr>
        <w:tc>
          <w:tcPr>
            <w:tcW w:w="6060" w:type="dxa"/>
            <w:vAlign w:val="bottom"/>
          </w:tcPr>
          <w:p>
            <w:pPr>
              <w:jc w:val="center"/>
              <w:ind w:right="3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60" w:type="dxa"/>
            <w:vAlign w:val="bottom"/>
          </w:tcPr>
          <w:p>
            <w:pPr>
              <w:jc w:val="right"/>
              <w:ind w:right="1360"/>
              <w:spacing w:after="0"/>
              <w:rPr>
                <w:sz w:val="20"/>
                <w:szCs w:val="20"/>
                <w:color w:val="auto"/>
              </w:rPr>
            </w:pPr>
            <w:r>
              <w:rPr>
                <w:rFonts w:ascii="Arial" w:cs="Arial" w:eastAsia="Arial" w:hAnsi="Arial"/>
                <w:sz w:val="18"/>
                <w:szCs w:val="18"/>
                <w:b w:val="1"/>
                <w:bCs w:val="1"/>
                <w:color w:val="auto"/>
              </w:rPr>
              <w:t>(630) 574-3000</w:t>
            </w:r>
          </w:p>
        </w:tc>
        <w:tc>
          <w:tcPr>
            <w:tcW w:w="1500" w:type="dxa"/>
            <w:vAlign w:val="bottom"/>
          </w:tcPr>
          <w:p>
            <w:pPr>
              <w:spacing w:after="0"/>
              <w:rPr>
                <w:sz w:val="24"/>
                <w:szCs w:val="24"/>
                <w:color w:val="auto"/>
              </w:rPr>
            </w:pPr>
          </w:p>
        </w:tc>
      </w:tr>
      <w:tr>
        <w:trPr>
          <w:trHeight w:val="186"/>
        </w:trPr>
        <w:tc>
          <w:tcPr>
            <w:tcW w:w="6060" w:type="dxa"/>
            <w:vAlign w:val="bottom"/>
          </w:tcPr>
          <w:p>
            <w:pPr>
              <w:jc w:val="center"/>
              <w:ind w:lef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10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20" w:space="420"/>
            <w:col w:w="160" w:space="80"/>
            <w:col w:w="58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May 2, 2014, 59,815,840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Borders>
              <w:top w:val="single" w:sz="8" w:color="0000EE"/>
            </w:tcBorders>
            <w:gridSpan w:val="3"/>
          </w:tcPr>
          <w:p>
            <w:pPr>
              <w:ind w:left="360"/>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500" w:type="dxa"/>
            <w:vAlign w:val="bottom"/>
            <w:tcBorders>
              <w:top w:val="single" w:sz="8" w:color="0000EE"/>
            </w:tcBorders>
            <w:gridSpan w:val="2"/>
          </w:tcPr>
          <w:p>
            <w:pPr>
              <w:spacing w:after="0"/>
              <w:rPr>
                <w:sz w:val="24"/>
                <w:szCs w:val="24"/>
                <w:color w:val="auto"/>
              </w:rPr>
            </w:pPr>
          </w:p>
        </w:tc>
        <w:tc>
          <w:tcPr>
            <w:tcW w:w="78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2014 and December 31, 2013</w:t>
              </w:r>
            </w:hyperlink>
          </w:p>
        </w:tc>
        <w:tc>
          <w:tcPr>
            <w:tcW w:w="378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2014 and 2013</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Months ended March 31, 2014 and 2013</w:t>
              </w:r>
            </w:hyperlink>
          </w:p>
        </w:tc>
        <w:tc>
          <w:tcPr>
            <w:tcW w:w="8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Equity for the Three Months ended March 31, 2014 and 2013</w:t>
              </w:r>
            </w:hyperlink>
          </w:p>
        </w:tc>
        <w:tc>
          <w:tcPr>
            <w:tcW w:w="25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2014 and 2013</w:t>
              </w:r>
            </w:hyperlink>
          </w:p>
        </w:tc>
        <w:tc>
          <w:tcPr>
            <w:tcW w:w="218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98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80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20" w:type="dxa"/>
            <w:vAlign w:val="bottom"/>
            <w:gridSpan w:val="2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1</w:t>
            </w:r>
          </w:p>
        </w:tc>
        <w:tc>
          <w:tcPr>
            <w:tcW w:w="98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5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50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75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80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5</w:t>
            </w:r>
          </w:p>
        </w:tc>
        <w:tc>
          <w:tcPr>
            <w:tcW w:w="98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854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36">
              <w:r>
                <w:rPr>
                  <w:rFonts w:ascii="Arial" w:cs="Arial" w:eastAsia="Arial" w:hAnsi="Arial"/>
                  <w:sz w:val="18"/>
                  <w:szCs w:val="18"/>
                  <w:b w:val="1"/>
                  <w:bCs w:val="1"/>
                  <w:color w:val="0000EE"/>
                  <w:w w:val="89"/>
                </w:rPr>
                <w:t>Signature</w:t>
              </w:r>
            </w:hyperlink>
          </w:p>
        </w:tc>
        <w:tc>
          <w:tcPr>
            <w:tcW w:w="40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Exhibit Index</w:t>
              </w:r>
            </w:hyperlink>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gridSpan w:val="13"/>
          </w:tcPr>
          <w:p>
            <w:pPr>
              <w:ind w:left="450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58,695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Accounts receivable—net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65,507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96,515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93,061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67,432</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34,707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32,500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39,461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44,164</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Assets held for sale</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32,773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45,104</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324,204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361,053</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356,986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345,620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81,047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81,302</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INVENTORIES—Noncurrent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36,707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38,496</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8,256</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9,274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8,856</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9,062</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825,790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852,645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109,535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116,121</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32,251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38,531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6,754</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Liabilities held for sale</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26,581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32,493</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173,328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193,899</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7 3/8% SENIOR NOTES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250,000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107,931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108,511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SALE—Noncurrent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19,124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21,922</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588,090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610,544</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32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stock—$.0001 par value; 90,000 authorized, 59,784 and 59,670 shares issued and outstanding at March 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520"/>
              <w:spacing w:after="0"/>
              <w:rPr>
                <w:sz w:val="20"/>
                <w:szCs w:val="20"/>
                <w:color w:val="auto"/>
              </w:rPr>
            </w:pPr>
            <w:r>
              <w:rPr>
                <w:rFonts w:ascii="Arial" w:cs="Arial" w:eastAsia="Arial" w:hAnsi="Arial"/>
                <w:sz w:val="18"/>
                <w:szCs w:val="18"/>
                <w:color w:val="auto"/>
              </w:rPr>
              <w:t>2014 and December 31, 2013, respectively</w:t>
            </w: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275,610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275,183</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(36,965)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(31,770)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237,700</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237,700</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825,790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852,645</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5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174,382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153,475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17,870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assets—net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transactions—net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before income taxes</w:t>
            </w:r>
          </w:p>
        </w:tc>
        <w:tc>
          <w:tcPr>
            <w:tcW w:w="1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1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 net of income taxes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noncontrolling interest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Net income (loss) attributable to common stockholders of Great Lakes Dredge &amp; Dock Corporation</w:t>
            </w:r>
          </w:p>
        </w:tc>
        <w:tc>
          <w:tcPr>
            <w:tcW w:w="10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continuing operations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Great Lakes Dredge &amp; Dock Corporation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59,708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 attributable to continuing operations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 attributable to Great Lakes Dredge &amp; Dock Corporation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59,708</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60,017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(5,195)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derivatives—net of tax (2)</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Other comprehensive income (loss)—net of tax</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(5,673)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422</w:t>
            </w: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Great Lakes Dredge &amp; Dock Corporation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444</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$126 and $4 for three months ended March 31, 2014 and 2013, respectively.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$(194) and $11 for the three months ended March 31, 2014 and 2013,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20" w:type="dxa"/>
            <w:vAlign w:val="bottom"/>
            <w:gridSpan w:val="14"/>
          </w:tcPr>
          <w:p>
            <w:pPr>
              <w:jc w:val="right"/>
              <w:ind w:right="840"/>
              <w:spacing w:after="0"/>
              <w:rPr>
                <w:sz w:val="20"/>
                <w:szCs w:val="20"/>
                <w:color w:val="auto"/>
              </w:rPr>
            </w:pPr>
            <w:r>
              <w:rPr>
                <w:rFonts w:ascii="Arial" w:cs="Arial" w:eastAsia="Arial" w:hAnsi="Arial"/>
                <w:sz w:val="14"/>
                <w:szCs w:val="14"/>
                <w:b w:val="1"/>
                <w:bCs w:val="1"/>
                <w:color w:val="auto"/>
                <w:w w:val="93"/>
              </w:rPr>
              <w:t>Great Lakes Dredge &amp; Dock Corporation shareholders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vMerge w:val="continue"/>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BALANCE—January 1, 2014</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59,670</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275,183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(31,770)</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(473)</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(845)</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$242,101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options and purchases from employee stock plans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Excess income tax benefit from share-based compensation</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of noncontrolling interest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845</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(5,195)</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loss—net of tax</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(478)</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56"/>
        </w:trPr>
        <w:tc>
          <w:tcPr>
            <w:tcW w:w="4800" w:type="dxa"/>
            <w:vAlign w:val="bottom"/>
            <w:gridSpan w:val="2"/>
          </w:tcPr>
          <w:p>
            <w:pPr>
              <w:spacing w:after="0" w:line="155" w:lineRule="exact"/>
              <w:rPr>
                <w:sz w:val="20"/>
                <w:szCs w:val="20"/>
                <w:color w:val="auto"/>
              </w:rPr>
            </w:pPr>
            <w:r>
              <w:rPr>
                <w:rFonts w:ascii="Arial" w:cs="Arial" w:eastAsia="Arial" w:hAnsi="Arial"/>
                <w:sz w:val="14"/>
                <w:szCs w:val="14"/>
                <w:color w:val="auto"/>
              </w:rPr>
              <w:t>BALANCE—March 31, 2014</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59,784</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275,610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(36,965)</w:t>
            </w: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(951)</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237,700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gridSpan w:val="14"/>
          </w:tcPr>
          <w:p>
            <w:pPr>
              <w:jc w:val="right"/>
              <w:ind w:right="840"/>
              <w:spacing w:after="0"/>
              <w:rPr>
                <w:sz w:val="20"/>
                <w:szCs w:val="20"/>
                <w:color w:val="auto"/>
              </w:rPr>
            </w:pPr>
            <w:r>
              <w:rPr>
                <w:rFonts w:ascii="Arial" w:cs="Arial" w:eastAsia="Arial" w:hAnsi="Arial"/>
                <w:sz w:val="14"/>
                <w:szCs w:val="14"/>
                <w:b w:val="1"/>
                <w:bCs w:val="1"/>
                <w:color w:val="auto"/>
                <w:w w:val="93"/>
              </w:rPr>
              <w:t>Great Lakes Dredge &amp; Dock Corporation shareholders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vMerge w:val="continue"/>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BALANCE—January 1, 2013</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59,359</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271,418</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2,591</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(380)</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$273,425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78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restricted stock units, including impact of shares withheld for</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taxes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Excess income tax benefit from share-based compensation</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433</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income—net of tax</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BALANCE—March 31, 2013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59,391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272,156</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3,024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(232)</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274,585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Three Months Ended</w:t>
      </w:r>
    </w:p>
    <w:p>
      <w:pPr>
        <w:jc w:val="center"/>
        <w:ind w:left="94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(5,195)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(2,456)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10,885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11,451</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loss of joint ventures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Amortization of deferred financing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foreign currency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income tax benefit from 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30,390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9560" w:type="dxa"/>
            <w:vAlign w:val="bottom"/>
          </w:tcPr>
          <w:p>
            <w:pPr>
              <w:ind w:left="720"/>
              <w:spacing w:after="0"/>
              <w:rPr>
                <w:sz w:val="20"/>
                <w:szCs w:val="20"/>
                <w:color w:val="auto"/>
              </w:rPr>
            </w:pPr>
            <w:r>
              <w:rPr>
                <w:rFonts w:ascii="Arial" w:cs="Arial" w:eastAsia="Arial" w:hAnsi="Arial"/>
                <w:sz w:val="18"/>
                <w:szCs w:val="18"/>
                <w:color w:val="auto"/>
              </w:rPr>
              <w:t>Contract revenues in excess of billings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(25,457)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956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12,684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(14,070)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(23,502)</w:t>
            </w:r>
          </w:p>
        </w:tc>
        <w:tc>
          <w:tcPr>
            <w:tcW w:w="0" w:type="dxa"/>
            <w:vAlign w:val="bottom"/>
          </w:tcPr>
          <w:p>
            <w:pPr>
              <w:spacing w:after="0"/>
              <w:rPr>
                <w:sz w:val="1"/>
                <w:szCs w:val="1"/>
                <w:color w:val="auto"/>
              </w:rPr>
            </w:pPr>
          </w:p>
        </w:tc>
      </w:tr>
      <w:tr>
        <w:trPr>
          <w:trHeight w:val="216"/>
        </w:trPr>
        <w:tc>
          <w:tcPr>
            <w:tcW w:w="9560" w:type="dxa"/>
            <w:vAlign w:val="bottom"/>
          </w:tcPr>
          <w:p>
            <w:pPr>
              <w:ind w:left="720"/>
              <w:spacing w:after="0"/>
              <w:rPr>
                <w:sz w:val="20"/>
                <w:szCs w:val="20"/>
                <w:color w:val="auto"/>
              </w:rPr>
            </w:pPr>
            <w:r>
              <w:rPr>
                <w:rFonts w:ascii="Arial" w:cs="Arial" w:eastAsia="Arial" w:hAnsi="Arial"/>
                <w:sz w:val="18"/>
                <w:szCs w:val="18"/>
                <w:color w:val="auto"/>
              </w:rPr>
              <w:t>Billings in excess of contract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(1,793)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Net cash flows provided by (used in) operating activities of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Cash provided by (used in)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(21,631)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(15,364)</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Proceeds from (payments on) vendor performance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(24,667)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(15,306)</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Net cash flows used in investing activities of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(24,693)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(15,456)</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 term 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(10,547)</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Purchase of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79,500</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(38,000)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(58,000)</w:t>
            </w: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Net cash flows provided by financing activities of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flows used in financing activities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(16,643)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75,338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58,695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9,486</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for income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9"/>
              </w:rPr>
              <w:t>(12,449)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10,235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Purchase of noncontrolling interest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GREAT LAKES DREDGE &amp; DOCK CORPORATION AND SUBSIDIARIES NOTES TO CONDENSED CONSOLIDATED FINANCIAL STATEMENTS (Unaudited)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2013.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2014, and its results of operations for the three months ended March 31, 2014 and 2013 and cash flows for the three months ended March 31, 2014 and 2013 have been included.</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cost structure includes significant annual equipment-related costs, including depreciation, maintenance, insurance and long-term rentals. These costs have averaged approximately 22% to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four operating segments that, through aggregation, comprise two reportable segments: dredging and environmental &amp; remediation, previously referred to as the demolition segment. The historical demolition business has been retrospectively presented as discontinued operations and is no longer reflected in continuing operations.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months ended March 31, 2014, the dilutive effect of 789 thousand shares of stock options and restricted stock units were excluded from the diluted weighted-average common shares outstanding as the Company incurred a loss during this period. The impact of these shares would have been antidilutive. For the three months ended March 31, 2013, zero options to purchase shares of common stock were excluded from the calculation of diluted earnings per share based on the application of the treasury stock method. The computations for basic and diluted earnings per share from continuing operations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(shares in thousands)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0"/>
              </w:rPr>
              <w:t>$ (2,456)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60" w:type="dxa"/>
            <w:vAlign w:val="bottom"/>
          </w:tcPr>
          <w:p>
            <w:pPr>
              <w:spacing w:after="0" w:line="201" w:lineRule="exact"/>
              <w:rPr>
                <w:sz w:val="20"/>
                <w:szCs w:val="20"/>
                <w:color w:val="auto"/>
              </w:rPr>
            </w:pPr>
            <w:r>
              <w:rPr>
                <w:rFonts w:ascii="Arial" w:cs="Arial" w:eastAsia="Arial" w:hAnsi="Arial"/>
                <w:sz w:val="18"/>
                <w:szCs w:val="18"/>
                <w:color w:val="auto"/>
                <w:w w:val="98"/>
              </w:rPr>
              <w:t>Loss on discontinued operations, net of income taxes, attributable to Great Lakes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Dredge &amp; Dock Corporation</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(2,739)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(4,319)</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income (loss) attributable to common stockholders of Great Lakes Dredge &amp; Dock</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(5,195)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59,708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1380"/>
              <w:spacing w:after="0"/>
              <w:rPr>
                <w:sz w:val="20"/>
                <w:szCs w:val="20"/>
                <w:color w:val="auto"/>
              </w:rPr>
            </w:pPr>
            <w:r>
              <w:rPr>
                <w:rFonts w:ascii="Arial" w:cs="Arial" w:eastAsia="Arial" w:hAnsi="Arial"/>
                <w:sz w:val="18"/>
                <w:szCs w:val="18"/>
                <w:color w:val="auto"/>
              </w:rPr>
              <w:t>Weighted-average common shares outstanding — diluted</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59,708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from continuing operations — basic</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Earnings (loss) per share from continuing operations — diluted</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(0.04)</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740" w:type="dxa"/>
            <w:vAlign w:val="bottom"/>
            <w:gridSpan w:val="2"/>
          </w:tcPr>
          <w:p>
            <w:pPr>
              <w:ind w:left="240"/>
              <w:spacing w:after="0"/>
              <w:rPr>
                <w:sz w:val="20"/>
                <w:szCs w:val="20"/>
                <w:color w:val="auto"/>
              </w:rPr>
            </w:pPr>
            <w:r>
              <w:rPr>
                <w:rFonts w:ascii="Arial" w:cs="Arial" w:eastAsia="Arial" w:hAnsi="Arial"/>
                <w:sz w:val="18"/>
                <w:szCs w:val="18"/>
                <w:b w:val="1"/>
                <w:bCs w:val="1"/>
                <w:color w:val="auto"/>
              </w:rPr>
              <w:t>3. Accounts receivable and contracts in progress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2"/>
          </w:tcPr>
          <w:p>
            <w:pPr>
              <w:spacing w:after="0"/>
              <w:rPr>
                <w:sz w:val="20"/>
                <w:szCs w:val="20"/>
                <w:color w:val="auto"/>
              </w:rPr>
            </w:pPr>
            <w:r>
              <w:rPr>
                <w:rFonts w:ascii="Arial" w:cs="Arial" w:eastAsia="Arial" w:hAnsi="Arial"/>
                <w:sz w:val="18"/>
                <w:szCs w:val="18"/>
                <w:color w:val="auto"/>
              </w:rPr>
              <w:t>Accounts receivable at March 31, 2014 and December 31, 2013 are as follows: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2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10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2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$ 15,248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Contracts in progress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33,352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62,177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67,036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98,044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40" w:type="dxa"/>
            <w:vAlign w:val="bottom"/>
            <w:gridSpan w:val="5"/>
            <w:shd w:val="clear" w:color="auto" w:fill="CCEEFF"/>
          </w:tcPr>
          <w:p>
            <w:pPr>
              <w:jc w:val="right"/>
              <w:ind w:right="179"/>
              <w:spacing w:after="0"/>
              <w:rPr>
                <w:sz w:val="20"/>
                <w:szCs w:val="20"/>
                <w:color w:val="auto"/>
              </w:rPr>
            </w:pPr>
            <w:r>
              <w:rPr>
                <w:rFonts w:ascii="Arial" w:cs="Arial" w:eastAsia="Arial" w:hAnsi="Arial"/>
                <w:sz w:val="18"/>
                <w:szCs w:val="18"/>
                <w:color w:val="auto"/>
              </w:rPr>
              <w:t>(1,529)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(1,529)</w:t>
            </w:r>
          </w:p>
        </w:tc>
        <w:tc>
          <w:tcPr>
            <w:tcW w:w="0" w:type="dxa"/>
            <w:vAlign w:val="bottom"/>
          </w:tcPr>
          <w:p>
            <w:pPr>
              <w:spacing w:after="0"/>
              <w:rPr>
                <w:sz w:val="1"/>
                <w:szCs w:val="1"/>
                <w:color w:val="auto"/>
              </w:rPr>
            </w:pPr>
          </w:p>
        </w:tc>
      </w:tr>
      <w:tr>
        <w:trPr>
          <w:trHeight w:val="223"/>
        </w:trPr>
        <w:tc>
          <w:tcPr>
            <w:tcW w:w="7740" w:type="dxa"/>
            <w:vAlign w:val="bottom"/>
            <w:gridSpan w:val="2"/>
          </w:tcPr>
          <w:p>
            <w:pPr>
              <w:ind w:left="1380"/>
              <w:spacing w:after="0"/>
              <w:rPr>
                <w:sz w:val="20"/>
                <w:szCs w:val="20"/>
                <w:color w:val="auto"/>
              </w:rPr>
            </w:pPr>
            <w:r>
              <w:rPr>
                <w:rFonts w:ascii="Arial" w:cs="Arial" w:eastAsia="Arial" w:hAnsi="Arial"/>
                <w:sz w:val="18"/>
                <w:szCs w:val="18"/>
                <w:color w:val="auto"/>
              </w:rPr>
              <w:t>Total accounts receivable—net</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$ 65,507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96,515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56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March 31, 2014 and December 31, 2013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1440" w:type="dxa"/>
            <w:vAlign w:val="bottom"/>
            <w:gridSpan w:val="6"/>
          </w:tcPr>
          <w:p>
            <w:pPr>
              <w:ind w:lef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$ 704,049</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435,470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billed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(616,628)</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(370,730)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138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87,421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1380"/>
              <w:spacing w:after="0"/>
              <w:rPr>
                <w:sz w:val="20"/>
                <w:szCs w:val="20"/>
                <w:color w:val="auto"/>
              </w:rPr>
            </w:pPr>
            <w:r>
              <w:rPr>
                <w:rFonts w:ascii="Arial" w:cs="Arial" w:eastAsia="Arial" w:hAnsi="Arial"/>
                <w:sz w:val="18"/>
                <w:szCs w:val="18"/>
                <w:color w:val="auto"/>
              </w:rPr>
              <w:t>Total contract revenues in excess of billings</w:t>
            </w:r>
          </w:p>
        </w:tc>
        <w:tc>
          <w:tcPr>
            <w:tcW w:w="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93,061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Amounts billed</w:t>
            </w:r>
          </w:p>
        </w:tc>
        <w:tc>
          <w:tcPr>
            <w:tcW w:w="1720" w:type="dxa"/>
            <w:vAlign w:val="bottom"/>
            <w:gridSpan w:val="5"/>
          </w:tcPr>
          <w:p>
            <w:pPr>
              <w:jc w:val="right"/>
              <w:spacing w:after="0"/>
              <w:rPr>
                <w:sz w:val="20"/>
                <w:szCs w:val="20"/>
                <w:color w:val="auto"/>
              </w:rPr>
            </w:pPr>
            <w:r>
              <w:rPr>
                <w:rFonts w:ascii="Arial" w:cs="Arial" w:eastAsia="Arial" w:hAnsi="Arial"/>
                <w:sz w:val="18"/>
                <w:szCs w:val="18"/>
                <w:color w:val="auto"/>
              </w:rPr>
              <w:t>$(177,450)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(156,794)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172,489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150,040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1380"/>
              <w:spacing w:after="0"/>
              <w:rPr>
                <w:sz w:val="20"/>
                <w:szCs w:val="20"/>
                <w:color w:val="auto"/>
              </w:rPr>
            </w:pPr>
            <w:r>
              <w:rPr>
                <w:rFonts w:ascii="Arial" w:cs="Arial" w:eastAsia="Arial" w:hAnsi="Arial"/>
                <w:sz w:val="18"/>
                <w:szCs w:val="18"/>
                <w:color w:val="auto"/>
              </w:rPr>
              <w:t>Total billings in excess of contract revenues</w:t>
            </w:r>
          </w:p>
        </w:tc>
        <w:tc>
          <w:tcPr>
            <w:tcW w:w="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4. Accrued expenses</w:t>
            </w: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2"/>
          </w:tcPr>
          <w:p>
            <w:pPr>
              <w:spacing w:after="0"/>
              <w:rPr>
                <w:sz w:val="20"/>
                <w:szCs w:val="20"/>
                <w:color w:val="auto"/>
              </w:rPr>
            </w:pPr>
            <w:r>
              <w:rPr>
                <w:rFonts w:ascii="Arial" w:cs="Arial" w:eastAsia="Arial" w:hAnsi="Arial"/>
                <w:sz w:val="18"/>
                <w:szCs w:val="18"/>
                <w:color w:val="auto"/>
              </w:rPr>
              <w:t>Accrued expenses at March 31, 2014 and December 31, 2013 are as follows: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24"/>
                <w:szCs w:val="2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$ 10,171</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13,664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Insurance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9,426</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3,308</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2,869</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$ 32,251</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$175,000, subfacilities for the issuance of standby letters of credit up to a $125,000 sublimit, multicurrency borrowings up to a $50,000 sublimit and swingline loans up to a $10,000 sublimit. The Credit Agreement also includes an incremental loans feature that will allow the Company to increase the senior revolving credit facility by an aggregate principal amount of up to $50,000. This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9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2013, outstanding obligations under the Credit Agreement, which were previously unsecured, were secured by liens on certain of the Company’s vessels and all of its domestic accounts receivable, subject to the liens and interests of certain other parties holding first priority perfected liens. Under the terms of the Credit Agreement, the obligations thereunder that became secured could again become unsecured provided that (i) no event of default has occurred and is continuing, (ii) the Company has maintained for two consecutive quarters, and is projected to maintain for the next two consecutive quarters, a total leverage ratio less than or equal to 3.75 to 1.0 and (iii) the Company has delivered to the lenders its audited financial statements with respect to its fiscal year ending December 31, 2013. At March 31, 2014, the Credit Agreement remains secured by liens on certain of the Company’s vessels and all of its domestic accounts receivable.</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March 31, 2014, the Company had $37,000 of borrowings on the revolver and $90,781 of letters of credit outstanding, resulting in $47,219 of availability under the Credit Agreement. At March 31, 2014, the Company was in compliance with its various financial covenants under its Credit Agreement.</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its Credit Agreement, the Company has a $24,000 international letter of credit facility that it uses for the performance and advance payment guarantees on the Company’s foreign contracts. As of March 31, 2014, Great Lakes had no letters of credit outstanding under this facility. At March 31, 2014, the Company also had $250,000 of 7.375% senior notes outstanding, which mature in February 2019.</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March 31, 2014 and December 31, 2013, the Company held certain derivative contracts that it uses to manage foreign currency risk and commodity price risk. The Company does not hold or issue derivatives for speculative or trading purposes. In addition, other nonfinancial assets and liabilities are measured at fair value in the financial statements on a nonrecurring basis. The fair values of these financial instruments and nonfinancial assets and liabilities measured at the reporting date are summarized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20" w:type="dxa"/>
            <w:vAlign w:val="bottom"/>
          </w:tcPr>
          <w:p>
            <w:pPr>
              <w:spacing w:after="0"/>
              <w:rPr>
                <w:sz w:val="10"/>
                <w:szCs w:val="10"/>
                <w:color w:val="auto"/>
              </w:rPr>
            </w:pPr>
          </w:p>
        </w:tc>
        <w:tc>
          <w:tcPr>
            <w:tcW w:w="190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3"/>
              </w:rPr>
              <w:t>Significant Other</w:t>
            </w:r>
          </w:p>
        </w:tc>
        <w:tc>
          <w:tcPr>
            <w:tcW w:w="30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2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At March 31, 2014</w:t>
            </w:r>
          </w:p>
        </w:tc>
        <w:tc>
          <w:tcPr>
            <w:tcW w:w="4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20" w:type="dxa"/>
            <w:vAlign w:val="bottom"/>
          </w:tcPr>
          <w:p>
            <w:pPr>
              <w:spacing w:after="0"/>
              <w:rPr>
                <w:sz w:val="12"/>
                <w:szCs w:val="12"/>
                <w:color w:val="auto"/>
              </w:rPr>
            </w:pPr>
          </w:p>
        </w:tc>
        <w:tc>
          <w:tcPr>
            <w:tcW w:w="19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(Level 1)</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Fuel hedge</w:t>
            </w:r>
          </w:p>
        </w:tc>
        <w:tc>
          <w:tcPr>
            <w:tcW w:w="2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contracts</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20" w:type="dxa"/>
            <w:vAlign w:val="bottom"/>
          </w:tcPr>
          <w:p>
            <w:pPr>
              <w:spacing w:after="0"/>
              <w:rPr>
                <w:sz w:val="10"/>
                <w:szCs w:val="10"/>
                <w:color w:val="auto"/>
              </w:rPr>
            </w:pPr>
          </w:p>
        </w:tc>
        <w:tc>
          <w:tcPr>
            <w:tcW w:w="192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82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4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20" w:type="dxa"/>
            <w:vAlign w:val="bottom"/>
          </w:tcPr>
          <w:p>
            <w:pPr>
              <w:spacing w:after="0"/>
              <w:rPr>
                <w:sz w:val="12"/>
                <w:szCs w:val="12"/>
                <w:color w:val="auto"/>
              </w:rPr>
            </w:pPr>
          </w:p>
        </w:tc>
        <w:tc>
          <w:tcPr>
            <w:tcW w:w="19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Fuel hedge</w:t>
            </w:r>
          </w:p>
        </w:tc>
        <w:tc>
          <w:tcPr>
            <w:tcW w:w="17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contracts</w:t>
            </w: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March 31, 2014 and December 31, 2013, there were no outstanding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2014, the Company was party to various swap arrangements to hedge the price of a portion of its diesel fuel purchase requirements for work in its backlog to be performed through February 2015. As of March 31, 2014, there were 4.4 million gallons remaining on these contracts which represent approximately 80% of the Company’s forecasted fuel purchases through February 2015. Under these swap agreements, the Company will pay fixed prices ranging from $2.87 to $3.14 per gallon.</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At March 31, 2014, the fair value liability of the fuel hedge contracts was estimated to be $152 and is recorded in accrued expenses. At December 31, 2013, the fair value asset of the fuel hedge contracts was estimated to be $332 and is recorded in prepaid expenses and other current assets. The gain reclassified to earnings from changes in fair value of derivatives, net of cash settlements and taxes, for the three months ended March 31, 2014 was $46. The remaining gains and losses included in accumulated other comprehensive loss at March 31, 2014 will be reclassified into earnings over the next eleven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March 31, 2014 and December 31, 2013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Fair Value at</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8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Balance Sheet Location</w:t>
            </w: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2014</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60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Derivatives designated as hedges</w:t>
            </w:r>
          </w:p>
        </w:tc>
        <w:tc>
          <w:tcPr>
            <w:tcW w:w="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Fuel hedge contracts</w:t>
            </w:r>
          </w:p>
        </w:tc>
        <w:tc>
          <w:tcPr>
            <w:tcW w:w="4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Liability derivatives:</w:t>
            </w: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Derivatives designated as hedges</w:t>
            </w:r>
          </w:p>
        </w:tc>
        <w:tc>
          <w:tcPr>
            <w:tcW w:w="6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720"/>
              <w:spacing w:after="0"/>
              <w:rPr>
                <w:sz w:val="20"/>
                <w:szCs w:val="20"/>
                <w:color w:val="auto"/>
              </w:rPr>
            </w:pPr>
            <w:r>
              <w:rPr>
                <w:rFonts w:ascii="Arial" w:cs="Arial" w:eastAsia="Arial" w:hAnsi="Arial"/>
                <w:sz w:val="18"/>
                <w:szCs w:val="18"/>
                <w:color w:val="auto"/>
              </w:rPr>
              <w:t>Fuel hedge contracts</w:t>
            </w:r>
          </w:p>
        </w:tc>
        <w:tc>
          <w:tcPr>
            <w:tcW w:w="4080" w:type="dxa"/>
            <w:vAlign w:val="bottom"/>
            <w:gridSpan w:val="3"/>
          </w:tcPr>
          <w:p>
            <w:pPr>
              <w:ind w:left="6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580" w:type="dxa"/>
            <w:vAlign w:val="bottom"/>
            <w:gridSpan w:val="2"/>
            <w:vMerge w:val="restart"/>
          </w:tcPr>
          <w:p>
            <w:pPr>
              <w:ind w:left="136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are as follows:</w:t>
      </w:r>
    </w:p>
    <w:p>
      <w:pPr>
        <w:spacing w:after="0" w:line="24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jc w:val="center"/>
        <w:ind w:left="67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adjustments—net of tax</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(189)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Derivatives: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Reclassification of derivative losses (gains) to earnings—net of tax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44"/>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Change in fair value of derivatives—net of tax</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144"/>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derivatives—net of tax</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44"/>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780" w:type="dxa"/>
            <w:vAlign w:val="bottom"/>
            <w:gridSpan w:val="2"/>
          </w:tcPr>
          <w:p>
            <w:pPr>
              <w:ind w:left="460"/>
              <w:spacing w:after="0"/>
              <w:rPr>
                <w:sz w:val="20"/>
                <w:szCs w:val="20"/>
                <w:color w:val="auto"/>
              </w:rPr>
            </w:pPr>
            <w:r>
              <w:rPr>
                <w:rFonts w:ascii="Arial" w:cs="Arial" w:eastAsia="Arial" w:hAnsi="Arial"/>
                <w:sz w:val="18"/>
                <w:szCs w:val="18"/>
                <w:color w:val="auto"/>
              </w:rPr>
              <w:t>Total other comprehensive income (loss)</w:t>
            </w: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(478</w:t>
            </w:r>
          </w:p>
        </w:tc>
        <w:tc>
          <w:tcPr>
            <w:tcW w:w="280" w:type="dxa"/>
            <w:vAlign w:val="bottom"/>
          </w:tcPr>
          <w:p>
            <w:pPr>
              <w:jc w:val="right"/>
              <w:ind w:right="144"/>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5"/>
            <w:vMerge w:val="restart"/>
          </w:tcPr>
          <w:p>
            <w:pPr>
              <w:spacing w:after="0"/>
              <w:rPr>
                <w:sz w:val="20"/>
                <w:szCs w:val="20"/>
                <w:color w:val="auto"/>
              </w:rPr>
            </w:pPr>
            <w:r>
              <w:rPr>
                <w:rFonts w:ascii="Arial" w:cs="Arial" w:eastAsia="Arial" w:hAnsi="Arial"/>
                <w:sz w:val="18"/>
                <w:szCs w:val="18"/>
                <w:color w:val="auto"/>
                <w:w w:val="91"/>
              </w:rPr>
              <w:t>Adjustments reclassified from accumulated balances of other comprehensive income to earnings are as follows: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70"/>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Derivatives:</w:t>
            </w:r>
          </w:p>
        </w:tc>
        <w:tc>
          <w:tcPr>
            <w:tcW w:w="2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80" w:type="dxa"/>
            <w:vAlign w:val="bottom"/>
            <w:gridSpan w:val="2"/>
          </w:tcPr>
          <w:p>
            <w:pPr>
              <w:ind w:left="360"/>
              <w:spacing w:after="0"/>
              <w:rPr>
                <w:sz w:val="20"/>
                <w:szCs w:val="20"/>
                <w:color w:val="auto"/>
              </w:rPr>
            </w:pPr>
            <w:r>
              <w:rPr>
                <w:rFonts w:ascii="Arial" w:cs="Arial" w:eastAsia="Arial" w:hAnsi="Arial"/>
                <w:sz w:val="18"/>
                <w:szCs w:val="18"/>
                <w:color w:val="auto"/>
              </w:rPr>
              <w:t>Fuel hedge contracts</w:t>
            </w:r>
          </w:p>
        </w:tc>
        <w:tc>
          <w:tcPr>
            <w:tcW w:w="2440" w:type="dxa"/>
            <w:vAlign w:val="bottom"/>
            <w:gridSpan w:val="2"/>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In January 2011, the Company issued $250,000 of 7.375% senior notes due February 1, 2019, which were outstanding at March 31, 2014. The senior notes are senior unsecured obligations of the Company and its subsidiaries that guarantee the senior notes. The fair value of the senior notes was $261,875 at March 31, 2014, which is a Level 1 fair value measurement as the senior notes value was obtained using quoted prices in active markets.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remediation projects. The Company has a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$1,000 to $10,000. At March 31, 2014, the Company had outstanding performance bonds valued at approximately $843,298, of which $71,917 relates to projects accounted for in discontinued operations. The revenue value remaining in backlog related to the projects of continuing operations totaled approximately $318,793.</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 plaintiffs filed an amended class action complaint on August 9, 2013, which the defendants moved to dismiss on October 8, 2013. The Company denies liability and intends to vigorously defend this action.</w:t>
      </w:r>
    </w:p>
    <w:p>
      <w:pPr>
        <w:spacing w:after="0" w:line="16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is otherwise stayed until there is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is also stayed pending a ruling on the motion to dismiss the securities class action.</w:t>
      </w:r>
    </w:p>
    <w:p>
      <w:pPr>
        <w:spacing w:after="0" w:line="1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on the Company’s termination for default, including but not limited to the Company’s right to draw on letters of credit that had been issued by the shipyard as financial security required in the contract. In May 2013, the Company drew upon the shipyard’s letters of credit related to the contract and received $13,600. Arbitration proceedings were initiated. In January 2014, the Company and the shipyard executed a settlement agreement pursuant to which the Company retained $10,500 of the proceeds of the financial security and remitted $3,100 of those funds to the shipyard, all other claims were released, and the arbitration was dismissed with prejudice.</w:t>
      </w:r>
    </w:p>
    <w:p>
      <w:pPr>
        <w:spacing w:after="0" w:line="16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discussed in Note 8, on April 23, 2014, the Company completed the sale of NASDI, LLC (“NASDI”) and Yankee Environmental Services, LLC, which together comprised the Company’s historical demolition business, to a privately owned demolition company. Under the terms of the divestiture, the Company retained certain pre-closing liabilities relating to the disposed business. Certain of these liabilities are described below.</w:t>
      </w:r>
    </w:p>
    <w:p>
      <w:pPr>
        <w:spacing w:after="0" w:line="1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Should a claim be brought, the Company intends to defend this matter vigorously.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2011, NASDI received a subpoena from a federal grand jury in the District of Massachusetts directing NASDI to furnish certain documents relating to certain projects performed by NASDI since January 2005. The Company conducted an internal investigation into this matter and has cooperated with the grand jury’s investigation. Based on the limited information known to the Company, the Company cannot predict the outcome of the investigation, the U.S. Attorney’s views of the issues being investigated, and any action the U.S. Attorney may take.</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24, 2014, NASDI received a subpoena from a federal grand jury in the District of Massachusetts directing NASDI to furnish certain emails for the years 2004 to the present for the email accounts of certain former and present NASDI employees. The Company is cooperating with the grand jury’s investigation. Based on the limited information known to the Company, the Company cannot predict the outcome of the investigation, the U.S. Attorney’s views of the issues being investigated, and any action the U.S. Attorney may take.</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 Business dispositions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23, 2014, the Company entered into an agreement and completed the sale of NASDI, LLC and Yankee Environmental Services, LLC, its two subsidiaries that comprised the historical demolition business. Under the terms of the agreement, the Company received cash and retained the right to receive additional proceeds based upon future collections of outstanding accounts receivable and work in process existing at the date of close, including recovery of outstanding claims for additional compensation from customers, and net of future payments of accounts payable existing at the date of close, including any future payments of obligations associated with outstanding claims. In the fourth quarter of 2013, the Company recorded a preliminary loss on disposal of assets held for sale in discontinued operations, which is subject to change based upon the final terms of the sale, including subsequent adjustments to the purchase price related to additional proceeds.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the extent the Company incurs liabilities for exit costs, including severance, other employee benefits costs and operating lease obligations, the liabilities will be measured at fair value and recorded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businesses have been reported in discontinued operations as follows:</w:t>
      </w:r>
    </w:p>
    <w:p>
      <w:pPr>
        <w:spacing w:after="0" w:line="24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1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$12,124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$ 8,694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2"/>
              </w:rPr>
              <w:t>Loss before income taxes from discontinued operations</w:t>
            </w:r>
          </w:p>
        </w:tc>
        <w:tc>
          <w:tcPr>
            <w:tcW w:w="3640" w:type="dxa"/>
            <w:vAlign w:val="bottom"/>
            <w:gridSpan w:val="3"/>
          </w:tcPr>
          <w:p>
            <w:pPr>
              <w:jc w:val="right"/>
              <w:ind w:right="140"/>
              <w:spacing w:after="0"/>
              <w:rPr>
                <w:sz w:val="20"/>
                <w:szCs w:val="20"/>
                <w:color w:val="auto"/>
              </w:rPr>
            </w:pPr>
            <w:r>
              <w:rPr>
                <w:rFonts w:ascii="Arial" w:cs="Arial" w:eastAsia="Arial" w:hAnsi="Arial"/>
                <w:sz w:val="18"/>
                <w:szCs w:val="18"/>
                <w:color w:val="auto"/>
              </w:rPr>
              <w:t>$ (9,620)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w w:val="93"/>
              </w:rPr>
              <w:t>Loss from discontinued operations, net of income taxes</w:t>
            </w:r>
          </w:p>
        </w:tc>
        <w:tc>
          <w:tcPr>
            <w:tcW w:w="27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(2,739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(4,341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780" w:type="dxa"/>
            <w:vAlign w:val="bottom"/>
            <w:vMerge w:val="restart"/>
          </w:tcPr>
          <w:p>
            <w:pPr>
              <w:jc w:val="right"/>
              <w:ind w:right="2390"/>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assets and liabilities of businesses reported as discontinued operations are shown below:</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5"/>
              </w:rPr>
              <w:t>March 31,</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Accounts receivable—net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14,605</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revenues in excess of billings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12,427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Assets of discontinued operations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40,343</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6,466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loss on disposal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11,098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720"/>
              <w:spacing w:after="0"/>
              <w:rPr>
                <w:sz w:val="20"/>
                <w:szCs w:val="20"/>
                <w:color w:val="auto"/>
              </w:rPr>
            </w:pPr>
            <w:r>
              <w:rPr>
                <w:rFonts w:ascii="Arial" w:cs="Arial" w:eastAsia="Arial" w:hAnsi="Arial"/>
                <w:sz w:val="18"/>
                <w:szCs w:val="18"/>
                <w:color w:val="auto"/>
              </w:rPr>
              <w:t>Liabilities of discontinued operations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27,288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and remediation.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20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5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Contract revenues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161,960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173,959</w:t>
            </w: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Environmental &amp; remediation</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revenues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(4,544)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(4,504)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revenues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174,382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180,153</w:t>
            </w:r>
          </w:p>
        </w:tc>
        <w:tc>
          <w:tcPr>
            <w:tcW w:w="120" w:type="dxa"/>
            <w:vAlign w:val="bottom"/>
            <w:shd w:val="clear" w:color="auto" w:fill="CCEEFF"/>
          </w:tcPr>
          <w:p>
            <w:pPr>
              <w:spacing w:after="0"/>
              <w:rPr>
                <w:sz w:val="18"/>
                <w:szCs w:val="18"/>
                <w:color w:val="auto"/>
              </w:rPr>
            </w:pP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14,496</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Foreign dredging revenue of $16,470 and $38,385 for the three months ended March 31, 2014 and 2013, respectively, was primarily attributable to work done in Brazil as well as for the Wheatstone LNG project in Western Australia.</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 Subsidiary guarantors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long-term debt at March 31, 2014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12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5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 sheets as of March 31, 2014 and December 31,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(loss) for the three months ended March 31, 2014 and 2013;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of cash flows for the three months ended March 31, 2014 and 2013.</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MARCH 31,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Subsidiary</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56,659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65,507</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from affiliates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104,275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8,066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(158,406)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88,168</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4,893</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34,707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28,614</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29,647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11,599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407,577</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26,836</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56,670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(166,879)</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324,204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356,979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356,986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81,047</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36,707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585,671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(590,315)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9,220</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10,517</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908,838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26,900</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647,246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(757,194</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825,790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108,459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Payables to affiliates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124,689</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24,101</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9,616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(158,406)</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33,669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298,314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26,142</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(166,879)</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37,000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106,249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LIABILITIES HELD FOR SALE—Noncurrent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18,578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319,281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26,142</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409,546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(166,879)</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588,090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589,557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237,700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(590,315)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589,557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237,700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(590,315)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908,838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26,900</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647,246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(757,194</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825,790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GLDD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Corporation</w:t>
            </w:r>
          </w:p>
        </w:tc>
        <w:tc>
          <w:tcPr>
            <w:tcW w:w="1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71,939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95,476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from affiliates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131,984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12,205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(151,526)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23,549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20,478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460,802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32,683</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(160,062)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345,612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81,302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638,955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(640,167)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948,362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676,831</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(800,249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115,235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Payables to affiliates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96,270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24,862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30,394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(151,526)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 term debt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Liabilities held for sale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32,493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284,503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40,956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(160,062)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7 3/8% SENIOR NOTES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250,000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108,531</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SALE—Noncurrent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307,394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434,730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(160,082)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610,544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640,968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242,946</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(640,167)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640,968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242,101</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(640,167)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242,101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948,362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676,831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(800,249)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852,645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19</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173,322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(4,969)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(150,737)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(7,707)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4,969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(153,475)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17,870</w:t>
            </w:r>
          </w:p>
        </w:tc>
        <w:tc>
          <w:tcPr>
            <w:tcW w:w="0" w:type="dxa"/>
            <w:vAlign w:val="bottom"/>
          </w:tcPr>
          <w:p>
            <w:pPr>
              <w:spacing w:after="0"/>
              <w:rPr>
                <w:sz w:val="1"/>
                <w:szCs w:val="1"/>
                <w:color w:val="auto"/>
              </w:rPr>
            </w:pP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color w:val="auto"/>
              </w:rPr>
              <w:t>Loss on sale of assets—net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Interest expense—net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(4,956)</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9"/>
        </w:trPr>
        <w:tc>
          <w:tcPr>
            <w:tcW w:w="5440" w:type="dxa"/>
            <w:vAlign w:val="bottom"/>
          </w:tcPr>
          <w:p>
            <w:pPr>
              <w:ind w:left="720"/>
              <w:spacing w:after="0"/>
              <w:rPr>
                <w:sz w:val="20"/>
                <w:szCs w:val="20"/>
                <w:color w:val="auto"/>
              </w:rPr>
            </w:pPr>
            <w:r>
              <w:rPr>
                <w:rFonts w:ascii="Arial" w:cs="Arial" w:eastAsia="Arial" w:hAnsi="Arial"/>
                <w:sz w:val="18"/>
                <w:szCs w:val="18"/>
                <w:color w:val="auto"/>
              </w:rPr>
              <w:t>Income (loss) from continuing operations before income</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90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(1,451)</w:t>
            </w:r>
          </w:p>
        </w:tc>
        <w:tc>
          <w:tcPr>
            <w:tcW w:w="2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(2,362)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40" w:type="dxa"/>
            <w:vAlign w:val="bottom"/>
          </w:tcPr>
          <w:p>
            <w:pPr>
              <w:ind w:left="720"/>
              <w:spacing w:after="0"/>
              <w:rPr>
                <w:sz w:val="20"/>
                <w:szCs w:val="20"/>
                <w:color w:val="auto"/>
              </w:rPr>
            </w:pPr>
            <w:r>
              <w:rPr>
                <w:rFonts w:ascii="Arial" w:cs="Arial" w:eastAsia="Arial" w:hAnsi="Arial"/>
                <w:sz w:val="18"/>
                <w:szCs w:val="18"/>
                <w:color w:val="auto"/>
              </w:rPr>
              <w:t>Net loss attributable to common stockholders of Great</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900"/>
              <w:spacing w:after="0"/>
              <w:rPr>
                <w:sz w:val="20"/>
                <w:szCs w:val="20"/>
                <w:color w:val="auto"/>
              </w:rPr>
            </w:pPr>
            <w:r>
              <w:rPr>
                <w:rFonts w:ascii="Arial" w:cs="Arial" w:eastAsia="Arial" w:hAnsi="Arial"/>
                <w:sz w:val="18"/>
                <w:szCs w:val="18"/>
                <w:color w:val="auto"/>
              </w:rPr>
              <w:t>Lakes Dredge &amp; Dock Corporation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(684)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(2,824)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(5,195)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3,508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loss attributable to Great Lakes Dredge &amp; Dock</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ind w:right="3140"/>
        <w:spacing w:after="0" w:line="44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MARCH 31, 2013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4"/>
              </w:rPr>
              <w:t>Subsidiary</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GLDD</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177,907</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(147,283)</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(149,419)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30,624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16,236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16,236</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Loss on sale of assets—net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14,386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expense—net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(5,672)</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16,208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(14,538)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000" w:type="dxa"/>
            <w:vAlign w:val="bottom"/>
          </w:tcPr>
          <w:p>
            <w:pPr>
              <w:ind w:left="720"/>
              <w:spacing w:after="0"/>
              <w:rPr>
                <w:sz w:val="20"/>
                <w:szCs w:val="20"/>
                <w:color w:val="auto"/>
              </w:rPr>
            </w:pPr>
            <w:r>
              <w:rPr>
                <w:rFonts w:ascii="Arial" w:cs="Arial" w:eastAsia="Arial" w:hAnsi="Arial"/>
                <w:sz w:val="18"/>
                <w:szCs w:val="18"/>
                <w:color w:val="auto"/>
                <w:w w:val="96"/>
              </w:rPr>
              <w:t>Income from continuing operations before income taxes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12,142</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10,536</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(14,538)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(3,473)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23"/>
        </w:trPr>
        <w:tc>
          <w:tcPr>
            <w:tcW w:w="500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12,159</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7,063</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(14,538)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Income (loss) from discontinued operations, net of</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(4,383)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(6,652)</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23"/>
        </w:trPr>
        <w:tc>
          <w:tcPr>
            <w:tcW w:w="500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79"/>
              </w:rPr>
              <w:t>411</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7"/>
              </w:rPr>
              <w:t>Net (income) loss attributable to noncontrolling interest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5000" w:type="dxa"/>
            <w:vAlign w:val="bottom"/>
          </w:tcPr>
          <w:p>
            <w:pPr>
              <w:ind w:left="720"/>
              <w:spacing w:after="0"/>
              <w:rPr>
                <w:sz w:val="20"/>
                <w:szCs w:val="20"/>
                <w:color w:val="auto"/>
              </w:rPr>
            </w:pPr>
            <w:r>
              <w:rPr>
                <w:rFonts w:ascii="Arial" w:cs="Arial" w:eastAsia="Arial" w:hAnsi="Arial"/>
                <w:sz w:val="18"/>
                <w:szCs w:val="18"/>
                <w:color w:val="auto"/>
                <w:w w:val="98"/>
              </w:rPr>
              <w:t>Net income (loss) attributable to common stockholders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900"/>
              <w:spacing w:after="0"/>
              <w:rPr>
                <w:sz w:val="20"/>
                <w:szCs w:val="20"/>
                <w:color w:val="auto"/>
              </w:rPr>
            </w:pPr>
            <w:r>
              <w:rPr>
                <w:rFonts w:ascii="Arial" w:cs="Arial" w:eastAsia="Arial" w:hAnsi="Arial"/>
                <w:sz w:val="18"/>
                <w:szCs w:val="18"/>
                <w:color w:val="auto"/>
              </w:rPr>
              <w:t>of Great Lakes Dredge &amp; Dock Corporation</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(7,839)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 attributable to Great Lakes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Dredge &amp; Dock Corporation</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Subsidiary</w:t>
            </w:r>
          </w:p>
        </w:tc>
        <w:tc>
          <w:tcPr>
            <w:tcW w:w="2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GLDD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provided by (used in) operating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activities of continuing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11,746</w:t>
            </w:r>
          </w:p>
        </w:tc>
        <w:tc>
          <w:tcPr>
            <w:tcW w:w="300" w:type="dxa"/>
            <w:vAlign w:val="bottom"/>
          </w:tcPr>
          <w:p>
            <w:pPr>
              <w:spacing w:after="0"/>
              <w:rPr>
                <w:sz w:val="20"/>
                <w:szCs w:val="20"/>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provided by (used in) operating</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activities of discontinued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Cash provided by (used in) operating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5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(21,631)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ind w:left="340"/>
              <w:spacing w:after="0" w:line="201" w:lineRule="exact"/>
              <w:rPr>
                <w:sz w:val="20"/>
                <w:szCs w:val="20"/>
                <w:color w:val="auto"/>
              </w:rPr>
            </w:pPr>
            <w:r>
              <w:rPr>
                <w:rFonts w:ascii="Arial" w:cs="Arial" w:eastAsia="Arial" w:hAnsi="Arial"/>
                <w:sz w:val="18"/>
                <w:szCs w:val="18"/>
                <w:color w:val="auto"/>
              </w:rPr>
              <w:t>Proceeds from (payments on) vendor performance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(3,100)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Net cash flows used in investing activities of</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(25,389)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investing activities of</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Cash used in investing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(25,415)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79"/>
              </w:rPr>
              <w:t>722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Purchase of noncontrolling interest</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ind w:left="340"/>
              <w:spacing w:after="0" w:line="201" w:lineRule="exact"/>
              <w:rPr>
                <w:sz w:val="20"/>
                <w:szCs w:val="20"/>
                <w:color w:val="auto"/>
              </w:rPr>
            </w:pPr>
            <w:r>
              <w:rPr>
                <w:rFonts w:ascii="Arial" w:cs="Arial" w:eastAsia="Arial" w:hAnsi="Arial"/>
                <w:sz w:val="18"/>
                <w:szCs w:val="18"/>
                <w:color w:val="auto"/>
              </w:rPr>
              <w:t>Exercise of options and purchases from employee stock</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plans</w:t>
            </w: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revolving loans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(38,000)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Net cash flows provided by financing activities of</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1,864</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1,072</w:t>
            </w:r>
          </w:p>
        </w:tc>
        <w:tc>
          <w:tcPr>
            <w:tcW w:w="280" w:type="dxa"/>
            <w:vAlign w:val="bottom"/>
          </w:tcPr>
          <w:p>
            <w:pPr>
              <w:spacing w:after="0"/>
              <w:rPr>
                <w:sz w:val="20"/>
                <w:szCs w:val="20"/>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(15,280)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56,659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GLDD</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700"/>
              <w:spacing w:after="0" w:line="201" w:lineRule="exact"/>
              <w:rPr>
                <w:sz w:val="20"/>
                <w:szCs w:val="20"/>
                <w:color w:val="auto"/>
              </w:rPr>
            </w:pPr>
            <w:r>
              <w:rPr>
                <w:rFonts w:ascii="Arial" w:cs="Arial" w:eastAsia="Arial" w:hAnsi="Arial"/>
                <w:sz w:val="18"/>
                <w:szCs w:val="18"/>
                <w:color w:val="auto"/>
                <w:w w:val="99"/>
              </w:rPr>
              <w:t>Net cash flows provided by (used in) operating activities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88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2,333</w:t>
            </w:r>
          </w:p>
        </w:tc>
        <w:tc>
          <w:tcPr>
            <w:tcW w:w="240" w:type="dxa"/>
            <w:vAlign w:val="bottom"/>
          </w:tcPr>
          <w:p>
            <w:pPr>
              <w:spacing w:after="0"/>
              <w:rPr>
                <w:sz w:val="20"/>
                <w:szCs w:val="20"/>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(1,295)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(11,198)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9"/>
              </w:rPr>
              <w:t>Net cash flows provided by (used in) operating activities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rPr>
              <w:t>Cash provided by (used in) operating activities</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(11,198)</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(15,364)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investing activities of continuing</w:t>
            </w: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operations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(17,028)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used in investing activities of discontinued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8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(17,178)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long term note payable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(10,547)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Taxes paid on settlement of vested share awards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revolving loans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79,500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Repayments of revolving loans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(58,000)</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w w:val="98"/>
              </w:rPr>
              <w:t>Net cash flows provided by financing activities of continuing</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8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11,198</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(1,722)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financing activities of discontinued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operations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rPr>
              <w:t>Cash provided by (used in) financing activities</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11,198</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3"/>
              </w:rPr>
              <w:t>Effect of foreign currency exchange rates on cash and cash equivalents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(17,937)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140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307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23</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2013, and in other securities filings by Great Lakes with the SEC.</w:t>
      </w:r>
    </w:p>
    <w:p>
      <w:pPr>
        <w:spacing w:after="0" w:line="17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10% of its dredging revenues for the first three months of 2014, below the Company’s prior three year average of 18%. The mobility of the Company’s fleet enables the Company to move equipment in response to changes in demand for dredging services.</w:t>
      </w:r>
    </w:p>
    <w:p>
      <w:pPr>
        <w:spacing w:after="0" w:line="14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46% over the prior three years, including 46%, 58%, 33% and 50% of the domestic capital, coastal protection, maintenance and rivers &amp; lakes sectors, respectively.</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three months of 2014, the Company’s dredging revenues earned from contracts with federal government agencies, including the Corps as well as other federal entities such as the U.S. Coast Guard and the U.S. Navy were approximately 79% of dredging revenues, an increase compared to the Company’s prior three year average of 59%.</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environmental &amp; remediation subsidiaries provide soil, water and sediment environmental remediation for the municipal and private party markets. Remediation involves the retrieval and removal of contamination from an environment through the use of separation techniques or disposal based on the quantity and severity of the contamination. Besides environmental remediation, the environmental &amp; remediation segment performs industrial cleaning, abatement services and hazardous waste removal. In the first three months of 2014, environmental &amp; remediation revenues accounted for 7% of total revenues.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also owns 50% of Amboy Aggregates (“Amboy”) and 50% of TerraSea Environmental Solutions (“TerraSea”) as joint ventures. Amboy’s primary business is dredging sand from the entrance channel to New York Harbor to provide sand and aggregate for use in road and building construction and for clean land fill. Amboy also imports stone from upstate New York and Nova Scotia and distributes it throughout the New York area. TerraSea provides water and land based environmental services in the area of clean up and remediation of sediments, soil and groundwater for both marine and land based projects.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operates in four operating segments that, through aggregation, comprise two reportable segments: dredging and environmental &amp; remediation, previously referred to as the demolition segment. The historical demolition business has been retrospectively presented as discontinued operations and is no longer reflected in continuing operations.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following tables set forth the components of net income (loss) attributable to Great Lakes Dredge &amp; Dock Corporation and Adjusted EBITDA from continuing operations, as defined below, as a percentage of contract revenues for the three months ended March 31, 2014 and 2013:</w:t>
      </w:r>
    </w:p>
    <w:p>
      <w:pPr>
        <w:spacing w:after="0" w:line="165"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Three Months Ended</w:t>
      </w:r>
    </w:p>
    <w:p>
      <w:pPr>
        <w:jc w:val="center"/>
        <w:ind w:left="65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8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160" w:type="dxa"/>
            <w:vAlign w:val="bottom"/>
            <w:gridSpan w:val="2"/>
          </w:tcPr>
          <w:p>
            <w:pPr>
              <w:jc w:val="right"/>
              <w:ind w:right="510"/>
              <w:spacing w:after="0"/>
              <w:rPr>
                <w:sz w:val="20"/>
                <w:szCs w:val="20"/>
                <w:color w:val="auto"/>
              </w:rPr>
            </w:pPr>
            <w:r>
              <w:rPr>
                <w:rFonts w:ascii="Arial" w:cs="Arial" w:eastAsia="Arial" w:hAnsi="Arial"/>
                <w:sz w:val="18"/>
                <w:szCs w:val="18"/>
                <w:color w:val="auto"/>
              </w:rPr>
              <w:t>(88.0)</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assets—net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1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(2.9)</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160" w:type="dxa"/>
            <w:vAlign w:val="bottom"/>
            <w:gridSpan w:val="2"/>
          </w:tcPr>
          <w:p>
            <w:pPr>
              <w:jc w:val="right"/>
              <w:ind w:right="51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transactions—net</w:t>
            </w: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1160" w:type="dxa"/>
            <w:vAlign w:val="bottom"/>
            <w:gridSpan w:val="2"/>
          </w:tcPr>
          <w:p>
            <w:pPr>
              <w:jc w:val="right"/>
              <w:ind w:right="510"/>
              <w:spacing w:after="0"/>
              <w:rPr>
                <w:sz w:val="20"/>
                <w:szCs w:val="20"/>
                <w:color w:val="auto"/>
              </w:rPr>
            </w:pPr>
            <w:r>
              <w:rPr>
                <w:rFonts w:ascii="Arial" w:cs="Arial" w:eastAsia="Arial" w:hAnsi="Arial"/>
                <w:sz w:val="18"/>
                <w:szCs w:val="18"/>
                <w:color w:val="auto"/>
              </w:rPr>
              <w:t>(2.3)</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vMerge w:val="continue"/>
          </w:tcPr>
          <w:p>
            <w:pPr>
              <w:spacing w:after="0"/>
              <w:rPr>
                <w:sz w:val="19"/>
                <w:szCs w:val="19"/>
                <w:color w:val="auto"/>
              </w:rPr>
            </w:pPr>
          </w:p>
        </w:tc>
        <w:tc>
          <w:tcPr>
            <w:tcW w:w="1160" w:type="dxa"/>
            <w:vAlign w:val="bottom"/>
            <w:gridSpan w:val="2"/>
          </w:tcPr>
          <w:p>
            <w:pPr>
              <w:jc w:val="right"/>
              <w:ind w:right="510"/>
              <w:spacing w:after="0"/>
              <w:rPr>
                <w:sz w:val="20"/>
                <w:szCs w:val="20"/>
                <w:color w:val="auto"/>
              </w:rPr>
            </w:pPr>
            <w:r>
              <w:rPr>
                <w:rFonts w:ascii="Arial" w:cs="Arial" w:eastAsia="Arial" w:hAnsi="Arial"/>
                <w:sz w:val="18"/>
                <w:szCs w:val="18"/>
                <w:color w:val="auto"/>
              </w:rPr>
              <w:t>(1.4)</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1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(1.6)</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vMerge w:val="continue"/>
          </w:tcPr>
          <w:p>
            <w:pPr>
              <w:spacing w:after="0"/>
              <w:rPr>
                <w:sz w:val="19"/>
                <w:szCs w:val="19"/>
                <w:color w:val="auto"/>
              </w:rPr>
            </w:pPr>
          </w:p>
        </w:tc>
        <w:tc>
          <w:tcPr>
            <w:tcW w:w="1160" w:type="dxa"/>
            <w:vAlign w:val="bottom"/>
            <w:gridSpan w:val="2"/>
          </w:tcPr>
          <w:p>
            <w:pPr>
              <w:jc w:val="right"/>
              <w:ind w:right="510"/>
              <w:spacing w:after="0"/>
              <w:rPr>
                <w:sz w:val="20"/>
                <w:szCs w:val="20"/>
                <w:color w:val="auto"/>
              </w:rPr>
            </w:pPr>
            <w:r>
              <w:rPr>
                <w:rFonts w:ascii="Arial" w:cs="Arial" w:eastAsia="Arial" w:hAnsi="Arial"/>
                <w:sz w:val="18"/>
                <w:szCs w:val="18"/>
                <w:color w:val="auto"/>
              </w:rPr>
              <w:t>(3.0)</w:t>
            </w: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8"/>
                <w:szCs w:val="18"/>
                <w:color w:val="auto"/>
                <w:w w:val="99"/>
              </w:rPr>
              <w:t>Net income (loss) attributable to common stockholders of Great Lakes Dredge &amp; Dock</w:t>
            </w:r>
          </w:p>
        </w:tc>
        <w:tc>
          <w:tcPr>
            <w:tcW w:w="5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Corporation</w:t>
            </w:r>
          </w:p>
        </w:tc>
        <w:tc>
          <w:tcPr>
            <w:tcW w:w="1160" w:type="dxa"/>
            <w:vAlign w:val="bottom"/>
            <w:gridSpan w:val="2"/>
          </w:tcPr>
          <w:p>
            <w:pPr>
              <w:jc w:val="right"/>
              <w:ind w:right="350"/>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6.9 %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attributable to common stockholders of Great Lakes Dredge &amp; Dock Corporation, adjusted for net interest expense, income taxes, depreciation and amortization expense, debt extinguishment, accelerated maintenance expense for new international deployments and goodwill or asset impairments.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 attributable to common stockholders of Great Lakes Dredge &amp; Dock Corporation: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Net income (loss) attributable to common stockholders of Great Lakes Dredge &amp; Dock</w:t>
            </w:r>
          </w:p>
        </w:tc>
        <w:tc>
          <w:tcPr>
            <w:tcW w:w="3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Corporation</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(5,195)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(2,739)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Adjusted for:</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Interest expense—net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 (benefit)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11,992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00" w:type="dxa"/>
            <w:vAlign w:val="bottom"/>
          </w:tcPr>
          <w:p>
            <w:pPr>
              <w:spacing w:after="0"/>
              <w:rPr>
                <w:sz w:val="14"/>
                <w:szCs w:val="14"/>
                <w:color w:val="auto"/>
              </w:rPr>
            </w:pPr>
          </w:p>
        </w:tc>
        <w:tc>
          <w:tcPr>
            <w:tcW w:w="294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Capital—U.S.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34,475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45,508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Capital—foreign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38,385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70,720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56,921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27,764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5,381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dredging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161,960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173,959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12,730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6,194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105.5 %</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174,382</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180,153</w:t>
            </w:r>
          </w:p>
        </w:tc>
        <w:tc>
          <w:tcPr>
            <w:tcW w:w="460" w:type="dxa"/>
            <w:vAlign w:val="bottom"/>
            <w:vMerge w:val="continue"/>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Total revenue for the 2014 first quarter was $174.4 million, a decrease of $5.8 million or 3% from $180.2 million during the 2013 first quarter. For the three months ended March 31, 2014, increases in coastal protection and maintenance dredging revenues and environmental &amp; remediation revenues were offset by decreases in domestic and foreign capital and rivers &amp; lakes revenues.</w:t>
      </w:r>
    </w:p>
    <w:p>
      <w:pPr>
        <w:spacing w:after="0" w:line="18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decreased by $11.0 million, or 24%, to $34.5 million, in the first quarter of 2014 when compared to the first quarter of 2013. Domestic capital dredging revenues in the three months ended March 31, 2014 were primarily earned by port deepening projects in Miami, Florida and New York. In comparison, revenues of the first three months of 2013 were driven by a coastal restoration project in Louisiana that did not repeat in the current year.</w:t>
      </w:r>
    </w:p>
    <w:p>
      <w:pPr>
        <w:spacing w:after="0" w:line="16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Foreign capital projects typically involve land reclamations, channel deepening and port infrastructure development. Foreign dredging revenue decreased by $21.9 million, or 57%, in the first quarter of 2014 to $16.5 million. Revenues were from fewer foreign capital projects in the first three months of 2014 and primarily relate to dredging activities for the Wheatstone LNG Project in Western Australia and a port development project in Brazil.</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Coastal protection projects generally involve moving sand from the ocean floor to shoreline locations where erosion threatens shoreline assets. Coastal protection revenue in the 2014 first quarter increased $13.8 million, or 24%, from the 2013 first quarter. A larger number of projects in New York and New Jersey to repair damaged shorelines continued to add to increased revenue during the three months ended March 31, 2014. Additionally, the Company worked on projects in South Carolina and Florida.</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Maintenance dredging consists of the re-dredging of previously deepened waterways and harbors to remove silt, sand and other accumulated sediments. Maintenance revenue in the first quarter of 2013 increased by $8.5 million, or 31%, compared to the first quarter of 2013. A greater number of projects in the current quarter contributed to the increase. The Company worked on maintenance projects in Florida, New York, Maryland, Georgia and Tennessee during the first quarter of 2014.</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first quarter of 2014 was $4.0 million, a decrease of $1.4 million or 26% compared to the first quarter of 2013. Higher revenue in the first quarter of 2013 was impacted from the work on a large municipal lake project in Texas. Rivers &amp; lakes projects in the first quarter of 2014 included work in Florida, Nebraska and Illinois.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environmental &amp; remediation segment recorded revenues of $12.7 million for the three months ended March 31, 2014, up 106% compared to $6.2 million for the same period in 2013. The increase is attributable to a greater number of environmental &amp; remediation projects in the first three months 2014, including remediation projects in New Jersey and Michigan.</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Consolidated gross profit for the 2014 first quarter decreased by 32% to $20.9 million, from $30.7 million in the first quarter of 2013. Gross profit margin (gross profit divided by revenue) for the 2014 first quarter decreased to 12.0% from 17.1% in the 2013 first quarter. Gross profit margin for the three months ended March 31, 2014 was lower as many projects located in the northern U.S. experienced severe weather which both contributed to longer project durations and equipment downtime for maintenance. These weather impacts in the quarter lowered margins on existing projects and negatively affected the Company’s fixed cost coverage. In addition, fewer projects in the Middle East further lowered the gross profit margin in the first quarter.</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general and administrative expenses totaled $17.9 million for the three months ended March 31, 2014, up $1.7 million or 10% from the first quarter of 2013. General and administrative expenses totaled $16.2 million for the three months ended March 31, 2013. Additional payroll and benefit expenses of $1.5 million over the same period in 2013 contributed to the increase.</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operating income for the three months ended March 31, 2014 was $2.9 million compared to $14.5 million in the same period of 2013. The lower operating income is primarily due to higher unabsorbed fixed costs impacting gross profit margin.</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net interest expense totaled $5.0 million for the three months ended March 31, 2014, down from interest expense of $5.7 million from the same period of 2013 which included financing fees associated with amendments to our debt facilities.</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income tax expense for the three months ended March 31, 2014 was a benefit of $1.5 million compared to a provision of $3.5 million for the three months ended 2013. The decrease in income tax provision for the quarter was attributable to the lower taxable operating income in 2014. The effective tax rate for the three months ended March 31, 2014 is 37.2%, which is below the effective tax rate of 42.1% for the same period of 2013 due to larger credits allowed in the first quarter of 2014. The Company expects the tax rate for the full year before consideration of nondeductible pretax items to remain near 40%.</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loss from continuing operations was $2.5 million and the loss per diluted share was $0.04 for the 2014 first quarter compared to a net income from continuing operations of $4.8 million and earnings per share of $0.08 for the same period of 2013. The decrease in the first quarter of 2014 is due to lower operating results, for the periods described above.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Adjusted EBITDA (as defined on page 25) was $12.0 million for the three months ended March 31, 2014 compared with $25.4 million in the same 2013 period. This decrease is the result of lower operating income in the current year period.</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Dredging revenues for the three months ended March 31, 2014 were $162.0 compared to $174.0 million for the same period of 2013. The dredging segment for the three ended March 31, 2014 included increases in coastal protection and maintenance revenues which were offset by lower domestic and foreign capital and rivers &amp; lakes revenues. The prior year dredging revenues were driven by two projects in the Middle East and a coastal restoration project in Louisiana that did not repeat in the current year.</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profit margin in the dredging segment was 12.9% for the three months ended March 31, 2014 compared to gross profit margin of 18.0% for the same period in the prior year. Dredging gross profit margin was lower as many projects located in the northern U.S. experienced severe weather impacts which both contributed to longer project durations and equipment downtime for maintenance that negatively affected the first quarter of 2014. These weather impacts in the quarter lowered margins on existing projects and negatively affected the Company’s fixed cost coverage. In addition, fewer projects in the Middle East further lowered the gross profit margin in the first quarter.</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Dredging segment operating income was $7.4 million for the three months ended March 31, 2014 compared to operating income of $19.0 million for the three months ended March 31, 2013. The decrease in operating income for the first quarter of 2014 is a result of the aforementioned lower gross profit margins in the segment and a $1.0 million increase in general and administrative expenses primarily related to additional payroll and benefit expenses.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remediation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Environmental &amp; remediation revenues for the three months ended March 31, 2014 totaled $12.7 million compared to $6.2 million for the three months ended March 31, 2013. Environmental &amp; remediation revenues for the first three months of 2013 increased as a result of a greater number of projects in the current quarter.</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environmental &amp; remediation segment had a gross profit margin of 0.4% for the three months ended March 31, 2014 and a negative gross profit margin of 8.4% for the same period in the prior year. During the first quarter of 2014, better fixed cost coverage allowed for improvements in the gross profit margin, but some severe weather partially offset the improvement in contract margin at the environmental &amp; remediation segment.</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environmental &amp; remediation segment had an operating loss of $4.5 million for the three months ended March 31, 2014, in line with an operating loss of $4.5 million for the same periods of 2013. The foregoing increase in gross profit margin for the three months ended March 31, 2014 was offset by a $0.6 million increase in general and administrative expenses, specifically additional payroll and benefit expenses.</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On April 23, 2014, the Company completed the sale of its historical demolition business which previously was part of the environmental &amp; remediation segment. The historical demolition business has been retrospectively presented as discontinued operations and is no longer reflected in continuing operations.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Backlog (in thousands)</w:t>
            </w:r>
          </w:p>
        </w:tc>
        <w:tc>
          <w:tcPr>
            <w:tcW w:w="20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27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94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0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Capital—U.S.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$189,450</w:t>
            </w:r>
          </w:p>
        </w:tc>
        <w:tc>
          <w:tcPr>
            <w:tcW w:w="4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176,117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$103,061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Capital—foreign</w:t>
            </w:r>
          </w:p>
        </w:tc>
        <w:tc>
          <w:tcPr>
            <w:tcW w:w="3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98,849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98,666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195,292</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3260" w:type="dxa"/>
            <w:vAlign w:val="bottom"/>
            <w:gridSpan w:val="3"/>
          </w:tcPr>
          <w:p>
            <w:pPr>
              <w:jc w:val="right"/>
              <w:ind w:right="480"/>
              <w:spacing w:after="0"/>
              <w:rPr>
                <w:sz w:val="20"/>
                <w:szCs w:val="20"/>
                <w:color w:val="auto"/>
              </w:rPr>
            </w:pPr>
            <w:r>
              <w:rPr>
                <w:rFonts w:ascii="Arial" w:cs="Arial" w:eastAsia="Arial" w:hAnsi="Arial"/>
                <w:sz w:val="18"/>
                <w:szCs w:val="18"/>
                <w:color w:val="auto"/>
              </w:rPr>
              <w:t>76,583</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143,498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33,978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3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38,826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70,633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111,441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26,339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Dredging Backlog</w:t>
            </w: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515,149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515,072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360,881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77,363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27,548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592,512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543,402</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388,429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60% of the Company’s March 31, 2014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domestic dredging bid market for the 2014 first quarter totaled $376.4 million. This represents an increase of $139.4 million from the same period in the prior year. During the first quarter the Company was awarded the final phase of the PortMiami project, for $31.6 million. The two-year project commenced dredging operations in November 2013 and will deepen the port to a depth of 50/52 feet to accommodate the post-Panamax cargo ships that will start to pass through the expanded Panama Canal in 2015. Including the PortMiami award, the Company won 22%, or $45.8 million of the capital projects awarded through March 31, 2014. Also in the quarter, rivers &amp; lakes announced the receipt of an $89 million contract with the City of Decatur (IL) to provide dredging services to remove nearly 11 million cubic yards of material to increase the capacity of Lake Decatur. With this award, rivers &amp; lakes won 74% of the rivers &amp; lakes projects. The Company won 37% of the overall domestic bid market through March 31, 2014, which is below the Company’s prior three year average of 46%. Variability in contract wins from quarter to quarter is not unusual and one quarter’s win rate is generally not indicative of the win rate the Company is likely to achieve for a full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contracted dredging backlog was $515.1 million at March 31, 2014 which is the same level as the $515.1 million backlog as of December 31, 2013. These amounts do not reflect approximately $0.9 million of domestic low bids pending formal award and additional phases (“options”) pending on projects currently in backlog at March 31, 2014. At December 31, 2013 the amount of domestic low bids and options pending award was $136.4 million. Subsequent to the end of the quarter, the Company was low bidder on three additional contracts collectively totaling $50.9 million that will be included in future backlog when awarded.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Domestic capital dredging backlog at March 31, 2014 was $13.3 million greater than at December 31, 2013. The PortMiami project noted above will continue into 2015 adding to revenues throughout the current year. The Company also continues to work on a deepening project in New York. Several port deepenings on the East Coast have been congressionally authorized and states are agreeing to cost share the funding in advance of federal budget appropriations to ensure completion before the first ship passes through the expanded Panama Canal. The current </w:t>
      </w:r>
      <w:r>
        <w:rPr>
          <w:rFonts w:ascii="Arial" w:cs="Arial" w:eastAsia="Arial" w:hAnsi="Arial"/>
          <w:sz w:val="18"/>
          <w:szCs w:val="18"/>
          <w:i w:val="1"/>
          <w:iCs w:val="1"/>
          <w:color w:val="auto"/>
        </w:rPr>
        <w:t>Water Resources Reform and Development Act</w:t>
      </w:r>
      <w:r>
        <w:rPr>
          <w:rFonts w:ascii="Arial" w:cs="Arial" w:eastAsia="Arial" w:hAnsi="Arial"/>
          <w:sz w:val="18"/>
          <w:szCs w:val="18"/>
          <w:color w:val="auto"/>
        </w:rPr>
        <w:t xml:space="preserve"> under reconciliation by Congress has language that would allow the Port of Savannah to begin its deepening project and authorizes the Port of Jacksonville to commence studies on its deepening. We believe that the focus on the imminent Panama Canal completion will allow the Corps and representative states to move forward several port projects in the near future.</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Coastal protection dredging backlog at March 31, 2014 was $66.9 million lower than at December 31, 2013 as the Company worked a number of projects in backlog to repair damaged shorelines in New York and New Jersey. Additionally, the Company worked on projects in South Carolina and Florida that were part of the backlog at year end. The Corps is expected to let for bid a second round of coastal protection projects later in 2014. In addition, several states are recognizing the importance of coastal protection to their communities and are stepping up local funding for projects that will directly impact their communities.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Maintenance dredging backlog was $31.8 million lower at March 31, 2014 than at December 31, 2013. The Company primarily completed its backlog related to six projects in the quarter and will be working on its New York port maintenance contract throughout the second half of 2014. The previously mentioned </w:t>
      </w:r>
      <w:r>
        <w:rPr>
          <w:rFonts w:ascii="Arial" w:cs="Arial" w:eastAsia="Arial" w:hAnsi="Arial"/>
          <w:sz w:val="18"/>
          <w:szCs w:val="18"/>
          <w:i w:val="1"/>
          <w:iCs w:val="1"/>
          <w:color w:val="auto"/>
        </w:rPr>
        <w:t xml:space="preserve">Water Resources Reform and Development Act </w:t>
      </w:r>
      <w:r>
        <w:rPr>
          <w:rFonts w:ascii="Arial" w:cs="Arial" w:eastAsia="Arial" w:hAnsi="Arial"/>
          <w:sz w:val="18"/>
          <w:szCs w:val="18"/>
          <w:color w:val="auto"/>
        </w:rPr>
        <w:t>includes language that will require over time, more money from the Harbor Maintenance Trust Fund to be</w:t>
      </w:r>
      <w:r>
        <w:rPr>
          <w:rFonts w:ascii="Arial" w:cs="Arial" w:eastAsia="Arial" w:hAnsi="Arial"/>
          <w:sz w:val="18"/>
          <w:szCs w:val="18"/>
          <w:i w:val="1"/>
          <w:iCs w:val="1"/>
          <w:color w:val="auto"/>
        </w:rPr>
        <w:t xml:space="preserve"> </w:t>
      </w:r>
      <w:r>
        <w:rPr>
          <w:rFonts w:ascii="Arial" w:cs="Arial" w:eastAsia="Arial" w:hAnsi="Arial"/>
          <w:sz w:val="18"/>
          <w:szCs w:val="18"/>
          <w:color w:val="auto"/>
        </w:rPr>
        <w:t>spent on maintenance dredging. The Company encourages passage of this important infrastructure bill to provide necessary funding and long term planning visibility to the Corps.</w:t>
      </w:r>
    </w:p>
    <w:p>
      <w:pPr>
        <w:spacing w:after="0" w:line="18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Rivers &amp; lakes backlog is $85.3 million higher at March 31, 2014 than at December 31, 2013 on the Lake Decatur award in the current quarter. Rivers &amp; lakes continued to earn on projects in its backlog, including work on its large municipal lake project in Texas and a private company project in Florida.</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Foreign capital dredging backlog remained similar from year end with $98.8 million of backlog at March 31, 2014. Backlog from our Wheatstone LNG project, a new port project in Brazil and a Middle East project comprised the balance of backlog. We continue to pursue several international opportunities and collaborations to fully utilize our fleet of vessels.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Environmental &amp; remediation services backlog was $49.0 million higher at March 31, 2014 than at December 31, 2013. The increase was primarily driven by the award of a new phase of the Midwestern remediation project during the quarter. Terra’s reputation in the remediation specialty contracting business continued to allow it to pursue several important projects and Terra’s combined service offering with rivers &amp; lakes’ dredging highlights an important growth element of the Company.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net cash provided by (used in) operating activities of continuing operations for the three months ended March 31, 2014 and 2013 totaled $8.6 million, and $(10.2) million, respectively. Normal increases or decreases in the level of working capital relative to the level of operational activity impact cash flow from operating activities. The increase in the current quarter from the three months ended March 31, 2013 is related to a decrease in the investment in working capital partially offset by lower adjusted EBITDA from continuing operations in the current quarter.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Company’s net cash flows used in investing activities of continuing operations for the first three months of 2014 and 2013 totaled $24.7 million and</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$15.3 million, respectively. Investing activities in both periods primarily relate to normal course upgrades and capital maintenance of the Company’s dredging fleet. During the three months ended March 31, 2014, the Company spent $10.1 million on construction in progress for a vessel being built to our specifications. The Company intends to secure financing during construction and upon completion of the vessel.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net cash flows provided by financing activities of continuing operations for the three months ended March 31, 2014 and 2013 totaled $2.2 million and $10.9 million, respectively. The decrease in net cash flows provided by financing activities is primarily due to lower net borrowings on the Company’s revolver during the current quarter. In addition, in the first three months of 2013, the Company paid $10.5 million on a promissory note related to the Terra acquisition.</w:t>
      </w:r>
    </w:p>
    <w:p>
      <w:pPr>
        <w:spacing w:after="0" w:line="18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being in pro forma compliance with the existing financial covenants after giving effect to the increase and other standard conditions.</w:t>
      </w:r>
    </w:p>
    <w:p>
      <w:pPr>
        <w:spacing w:after="0" w:line="19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2013, outstanding obligations under the Credit Agreement, which were previously unsecured, were secured by liens on certain of the Company’s vessels and all of its domestic accounts receivable, subject to the liens and interests of certain other parties holding first priority perfected liens. Under the terms of the Credit Agreement, the obligations thereunder that became secured could again become unsecured provided that (i) no event of default has occurred and is continuing, (ii) the Company has maintained for two consecutive quarters, and is projected to maintain for the next two consecutive quarters, a total leverage ratio less than or equal to 3.75 to 1.0 and (iii) the Company has delivered to the lenders its audited financial statements with respect to its fiscal year ending December 31, 2013. At March 31, 2014, the Credit Agreement remains secured by liens on certain of the Company’s vessels and all of its domestic accounts receivable.</w:t>
      </w:r>
    </w:p>
    <w:p>
      <w:pPr>
        <w:spacing w:after="0" w:line="1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March 31, 2014, the Company had $37.0 million of borrowings on the revolver and $90.8 million of letters of credit outstanding, resulting in $47.2 million of availability under the Credit Agreement. Borrowings under the line of credit may be limited based on the Company’s requirements to comply with its covenants. At March 31, 2014, the Company was in compliance with its various covenants under its Credit Agreement.</w:t>
      </w:r>
    </w:p>
    <w:p>
      <w:pPr>
        <w:spacing w:after="0" w:line="19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demolition projects. The Company has a bonding agreement (the “Zurich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 million to $10 million. At March 31, 2014, the Company had outstanding performance bonds valued at approximately $843.3 million, of which $71.9 million relates to projects accounted for in discontinued operations. The revenue value remaining in backlog related to the projects of continuing operations totaled approximately $318.8 million.</w:t>
      </w:r>
    </w:p>
    <w:p>
      <w:pPr>
        <w:spacing w:after="0" w:line="16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addition to its credit facility, the Company has a $24 million International Letter of Credit Facility with Wells Fargo Bank, National Association, as successor by merger to Wells Fargo HSBC Trade Bank (the “International Letter of Credit Facility”). This facility is used for performance and advance payment guarantees on foreign contracts. The Company’s obligations under the agreement are guaranteed by the Company’s foreign accounts receivable. In addition, the Export-Import Bank of the United States (“Ex-Im Bank”) has issued a guarantee under the Ex-Im Bank’s Working Capital Guarantee Program, which covers 90% of the obligations owing under the facility. The Company had no letters of credit issued under this facility at March 31, 2014.</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sale of NASDI, LLC and Yankee Environmental Services, LLC, the Company’s two subsidiaries that comprised the historical demolition business, on April 23, 2014, the Company, certain of its subsidiaries and Zurich entered into a rider to the Zurich Bonding Agreement. Under this rider, Zurich consented to the sale and agreed, among other things, to release and discharge such subsidiaries from their obligations under the Zurich Bonding Agreement, and release the Transferred Bonds (as defined below) from under the Zurich Bonding Agreement. As a condition to Zurich’s consent and agreement to release, the rider required (i) the buyer of the historical demolition business to enter into a General Indemnity Agreement in favor of Zurich with respect to the performance bonds issued by Zurich for existing projects that were transferred with the sale (the “Transferred Bonds”) and (ii) the Company to:</w:t>
      </w:r>
    </w:p>
    <w:p>
      <w:pPr>
        <w:spacing w:after="0" w:line="70" w:lineRule="exact"/>
        <w:rPr>
          <w:sz w:val="20"/>
          <w:szCs w:val="20"/>
          <w:color w:val="auto"/>
        </w:rPr>
      </w:pPr>
    </w:p>
    <w:p>
      <w:pPr>
        <w:ind w:left="900" w:right="160" w:hanging="325"/>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enter into a Guarantee and Indemnity Agreement with respect to the Transferred Bonds in favor of Zurich (“Zurich Guarantee”) pursuant to which the Company agreed to guarantee the obligations of such former subsidiaries under, and indemnify and hold Zurich harmless against any losses and liabilities incurred by it in respect of, the Transferred Bonds up to an aggregate amount of $25 million;</w:t>
      </w:r>
    </w:p>
    <w:p>
      <w:pPr>
        <w:spacing w:after="0" w:line="70" w:lineRule="exact"/>
        <w:rPr>
          <w:rFonts w:ascii="Arial" w:cs="Arial" w:eastAsia="Arial" w:hAnsi="Arial"/>
          <w:sz w:val="17"/>
          <w:szCs w:val="17"/>
          <w:color w:val="auto"/>
        </w:rPr>
      </w:pPr>
    </w:p>
    <w:p>
      <w:pPr>
        <w:ind w:left="900" w:right="180" w:hanging="325"/>
        <w:spacing w:after="0" w:line="31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enter into an agreement with Zurich providing for the issuance to Zurich of a letter of credit by the Company in the original face amount of $20 million (the “Zurich Letter of Credit”) to secure the obligations of (a) the Company under the Zurich Bonding Agreement with respect to the bonds issued thereunder and under the Zurich Guarantee and (b) such former subsidiaries with respect to the Transferred Bonds; and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 the Zurich Letter of Credit.</w:t>
      </w:r>
    </w:p>
    <w:p>
      <w:pPr>
        <w:spacing w:after="0" w:line="22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addition, on April 23, 2014, the Company entered into (i) an amendment to the Credit Agreement, which amended the Credit Agreement to permit the entrance into the Zurich Guarantee by the Company and to exclude the Zurich Guarantee and the Zurich Letter of Credit from the calculation of the Company’s financial covenants under the Credit Agreement related to total consolidated indebtedness and total leverage ratio and (ii) an amendment to the International Letter of Credit Facility, to exclude the Zurich Guarantee and the Zurich Letter of Credit from the calculation of the Company’s financial covenants thereunder related to total consolidated indebtedness and total leverage ratio.</w:t>
      </w:r>
    </w:p>
    <w:p>
      <w:pPr>
        <w:spacing w:after="0" w:line="17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2013.</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March 31, 2014 has not materially changed since December 31, 2013. The market risk profile of the Company on December 31, 2013 is disclosed in Item 7A. “Quantitative and Qualitative Disclosures about Market Risk” of the Company’s Annual Report on Form 10-K for the year ended December 31,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Interim Chief Financial Officer, evaluated the effectiveness of the Company’s disclosure controls and procedures, as required by Rule 13a-15(b) and 15d-15(b) under the Securities Exchange Act of 1934 (the “Exchange Act”) as of March 31, 2014. Our disclosure controls and procedures are designed to provide reasonable assurance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Chief Executive Officer and Interim Chief Financial Officer concluded that our disclosure controls and procedures were effective in providing such a reasonable assurance.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March 31, 2014 that have materially affected, or are reasonably likely to materially affect, our internal control over financial reporting.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7 “Commitments and Contingencies” in the Notes to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during the three months ended March 31, 2014 to the risk factors previously disclosed in Item 1A. Risk Factors in the Company’s Annual Report on Form 10-K for the year ended December 31,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0500" w:type="dxa"/>
            <w:vAlign w:val="bottom"/>
          </w:tcPr>
          <w:p>
            <w:pPr>
              <w:ind w:left="240"/>
              <w:spacing w:after="0"/>
              <w:rPr>
                <w:sz w:val="20"/>
                <w:szCs w:val="20"/>
                <w:color w:val="auto"/>
              </w:rPr>
            </w:pPr>
            <w:r>
              <w:rPr>
                <w:rFonts w:ascii="Arial" w:cs="Arial" w:eastAsia="Arial" w:hAnsi="Arial"/>
                <w:sz w:val="18"/>
                <w:szCs w:val="18"/>
                <w:color w:val="auto"/>
                <w:w w:val="98"/>
              </w:rPr>
              <w:t>Fourth Amendment to International Letter of Credit Agreement, dated August 30, 2013, by and among Great Lakes Dredge &amp; Dock</w:t>
            </w: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w w:val="94"/>
              </w:rPr>
              <w:t>Corporation, Great Lakes Dredge &amp; Dock Company, LLC and Wells Fargo Bank, National Association, as successor by merger to Wells</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Fargo HSBC Trade Bank, as amended (the “International Letter of Credit Facility”). *</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10.2</w:t>
            </w: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Fifth Amendment to International Letter of Credit Agreement, dated April 22, 2014, by and among Great Lakes Dredge &amp; Dock Corporation,</w:t>
            </w: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w w:val="94"/>
              </w:rPr>
              <w:t>Great Lakes Dredge &amp; Dock Company, LLC and Wells Fargo Bank, National Association, as successor by merger to Wells Fargo HSBC</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Trade Bank, as amended (the “International Letter of Credit Facility”). *</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Amendment No. 4 to Credit Agreement, dated as of April 23, 2014, by and among Great Lakes Dredge &amp; Dock Corporation, the other Credit</w:t>
            </w: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w w:val="94"/>
              </w:rPr>
              <w:t>Parties party thereto, Wells Fargo Bank, National Association, as Administrative Agent, Swingline Lender and an Issuing Lender, and the</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other lenders party thereto. *</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10500" w:type="dxa"/>
            <w:vAlign w:val="bottom"/>
          </w:tcPr>
          <w:p>
            <w:pPr>
              <w:ind w:left="240"/>
              <w:spacing w:after="0"/>
              <w:rPr>
                <w:sz w:val="20"/>
                <w:szCs w:val="20"/>
                <w:color w:val="auto"/>
              </w:rPr>
            </w:pPr>
            <w:r>
              <w:rPr>
                <w:rFonts w:ascii="Arial" w:cs="Arial" w:eastAsia="Arial" w:hAnsi="Arial"/>
                <w:sz w:val="18"/>
                <w:szCs w:val="18"/>
                <w:color w:val="auto"/>
                <w:w w:val="93"/>
              </w:rPr>
              <w:t>Second Rider to General Agreement of Indemnity, dated as April 23, 2014, by and among Great Lakes Dredge &amp; Dock Corporation, Great</w:t>
            </w: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w w:val="97"/>
              </w:rPr>
              <w:t>Lakes Dredge &amp; Dock Company, LLC, Lydon Dredging and Construction Company, Ltd., Fifty-Three Dredging Corporation, Dawson</w:t>
            </w:r>
          </w:p>
        </w:tc>
      </w:tr>
      <w:tr>
        <w:trPr>
          <w:trHeight w:val="216"/>
        </w:trPr>
        <w:tc>
          <w:tcPr>
            <w:tcW w:w="920" w:type="dxa"/>
            <w:vAlign w:val="bottom"/>
          </w:tcPr>
          <w:p>
            <w:pPr>
              <w:spacing w:after="0"/>
              <w:rPr>
                <w:sz w:val="18"/>
                <w:szCs w:val="18"/>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Marine Services Company, Great Lakes Dredge &amp; Dock Environmental, Inc. f/k/a Great Lakes Caribbean Dredging, Inc., Great Lakes Dredge</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&amp; Dock (Bahamas) Ltd. and Zurich American Insurance Company and its subsidiaries and affiliates. *</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Certification Pursuant to Rules 13a-14(a) and 15d-14(a) under the Securities Exchange Act of 1934, as Adopted Pursuant to Section 302 of</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the Sarbanes-Oxley Act of 2002. *</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Certification Pursuant to Rules 13a-14(a) and 15d-14(a) under the Securities Exchange Act of 1934, as Adopted Pursuant to Section 302 of</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the Sarbanes-Oxley Act of 2002. *</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1050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32.2</w:t>
            </w:r>
          </w:p>
        </w:tc>
        <w:tc>
          <w:tcPr>
            <w:tcW w:w="1050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42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w:t>
      </w:r>
      <w:r>
        <w:rPr>
          <w:rFonts w:ascii="Arial" w:cs="Arial" w:eastAsia="Arial" w:hAnsi="Arial"/>
          <w:sz w:val="15"/>
          <w:szCs w:val="15"/>
          <w:color w:val="auto"/>
        </w:rPr>
        <w:t>ATHERINE</w:t>
      </w:r>
      <w:r>
        <w:rPr>
          <w:rFonts w:ascii="Arial" w:cs="Arial" w:eastAsia="Arial" w:hAnsi="Arial"/>
          <w:sz w:val="18"/>
          <w:szCs w:val="18"/>
          <w:color w:val="auto"/>
        </w:rPr>
        <w:t xml:space="preserve"> M. H</w:t>
      </w:r>
      <w:r>
        <w:rPr>
          <w:rFonts w:ascii="Arial" w:cs="Arial" w:eastAsia="Arial" w:hAnsi="Arial"/>
          <w:sz w:val="15"/>
          <w:szCs w:val="15"/>
          <w:color w:val="auto"/>
        </w:rPr>
        <w:t>AYES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Katherine M.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Interim Chief Financial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(Principal Financial and Accounting Officer and Duly Authorized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24"/>
                <w:szCs w:val="24"/>
                <w:color w:val="auto"/>
              </w:rPr>
            </w:pPr>
          </w:p>
        </w:tc>
        <w:tc>
          <w:tcPr>
            <w:tcW w:w="10500" w:type="dxa"/>
            <w:vAlign w:val="bottom"/>
            <w:gridSpan w:val="3"/>
          </w:tcPr>
          <w:p>
            <w:pPr>
              <w:ind w:left="4680"/>
              <w:spacing w:after="0"/>
              <w:rPr>
                <w:sz w:val="20"/>
                <w:szCs w:val="20"/>
                <w:color w:val="auto"/>
              </w:rPr>
            </w:pPr>
            <w:r>
              <w:rPr>
                <w:rFonts w:ascii="Arial" w:cs="Arial" w:eastAsia="Arial" w:hAnsi="Arial"/>
                <w:sz w:val="14"/>
                <w:szCs w:val="14"/>
                <w:b w:val="1"/>
                <w:bCs w:val="1"/>
                <w:color w:val="auto"/>
              </w:rPr>
              <w:t>Document Description</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9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8"/>
              </w:rPr>
              <w:t>Fourth Amendment to International Letter of Credit Agreement, dated August 30, 2013, by and among Great Lakes Dredge &amp; Dock</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4"/>
              </w:rPr>
              <w:t>Corporation, Great Lakes Dredge &amp; Dock Company, LLC and Wells Fargo Bank, National Association, as successor by merger to Wells</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Fargo HSBC Trade Bank, as amended (the “International Letter of Credit Facility”). *</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2"/>
              </w:rPr>
              <w:t>Fifth Amendment to International Letter of Credit Agreement, dated April 22, 2014, by and among Great Lakes Dredge &amp; Dock Corporation,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4"/>
              </w:rPr>
              <w:t>Great Lakes Dredge &amp; Dock Company, LLC and Wells Fargo Bank, National Association, as successor by merger to Wells Fargo HSBC</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Trade Bank, as amended (the “International Letter of Credit Facility”). *</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1"/>
              </w:rPr>
              <w:t>Amendment No. 4 to Credit Agreement, dated as of April 23, 2014, by and among Great Lakes Dredge &amp; Dock Corporation, the other Credit</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4"/>
              </w:rPr>
              <w:t>Parties party thereto, Wells Fargo Bank, National Association, as Administrative Agent, Swingline Lender and an Issuing Lender, and the</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other lenders party thereto. *</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3"/>
              </w:rPr>
              <w:t>Second Rider to General Agreement of Indemnity, dated as April 23, 2014, by and among Great Lakes Dredge &amp; Dock Corporation, Great</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7"/>
              </w:rPr>
              <w:t>Lakes Dredge &amp; Dock Company, LLC, Lydon Dredging and Construction Company, Ltd., Fifty-Three Dredging Corporation, Dawson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1"/>
              </w:rPr>
              <w:t>Marine Services Company, Great Lakes Dredge &amp; Dock Environmental, Inc. f/k/a Great Lakes Caribbean Dredging, Inc., Great Lakes Dredge</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&amp; Dock (Bahamas) Ltd. and Zurich American Insurance Company and its subsidiaries and affiliates. *</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Pursuant to Rules 13a-14(a) and 15d-14(a) under the Securities Exchange Act of 1934, as Adopted Pursuant to Section 302 of</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the Sarbanes-Oxley Act of 2002. *</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Pursuant to Rules 13a-14(a) and 15d-14(a) under the Securities Exchange Act of 1934, as Adopted Pursuant to Section 302 of</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the Sarbanes-Oxley Act of 2002. *</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INTERNATIONAL LETTER OF CREDIT AGREEMENT</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FOURTH AMENDMENT TO INTERNATIONAL LETTER OF CREDIT AGREEMENT is dated as of August 30, 2013 (this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and entered into among GREAT LAKES DREDGE &amp; DOCK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GREAT LAKES DREDGE &amp; DOCK COMPANY, LLC, a Delaware limited liability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and WELLS FARGO BANK, N.A., successor by merger to WELLS FARGO HSBC TRADE BANK, N.A. (the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A. The Borrower, the Guarantor and Bank entered into an International Letter of Credit Agreement, dated as of September 29, 2006 (as amended through the date hereof and as it may be further amended, modified or supplemented, the “</w:t>
      </w:r>
      <w:r>
        <w:rPr>
          <w:rFonts w:ascii="Arial" w:cs="Arial" w:eastAsia="Arial" w:hAnsi="Arial"/>
          <w:sz w:val="18"/>
          <w:szCs w:val="18"/>
          <w:u w:val="single" w:color="auto"/>
          <w:color w:val="auto"/>
        </w:rPr>
        <w:t>Agreement</w:t>
      </w:r>
      <w:r>
        <w:rPr>
          <w:rFonts w:ascii="Arial" w:cs="Arial" w:eastAsia="Arial" w:hAnsi="Arial"/>
          <w:sz w:val="18"/>
          <w:szCs w:val="18"/>
          <w:color w:val="auto"/>
        </w:rPr>
        <w:t>”). Unless specifically defined or redefined below, capitalized terms used herein shall have the meanings ascribed thereto in the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Borrower has requested an extension of the Final Disbursement Date and the Maturity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The Bank hereby agrees to extend the Final Disbursement Date and the Maturity Date, subject to the terms and conditions set forth herein.</w:t>
      </w:r>
    </w:p>
    <w:p>
      <w:pPr>
        <w:spacing w:after="0" w:line="23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NOW, THEREFORE, in consideration of the covenants, conditions and agreements hereafter set forth, and for other good and valuable consideration, the receipt and adequacy of which are all hereby acknowledged, the Borrower, the Guarantor and the Bank covenant and agree as follows: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Amendment to Section 4.1</w:t>
      </w:r>
      <w:r>
        <w:rPr>
          <w:rFonts w:ascii="Arial" w:cs="Arial" w:eastAsia="Arial" w:hAnsi="Arial"/>
          <w:sz w:val="18"/>
          <w:szCs w:val="18"/>
          <w:color w:val="auto"/>
        </w:rPr>
        <w:t>. Section 4.1 of the Agreement is amended and restated to read as follows:</w:t>
      </w:r>
    </w:p>
    <w:p>
      <w:pPr>
        <w:spacing w:after="0" w:line="117" w:lineRule="exact"/>
        <w:rPr>
          <w:sz w:val="20"/>
          <w:szCs w:val="20"/>
          <w:color w:val="auto"/>
        </w:rPr>
      </w:pPr>
    </w:p>
    <w:p>
      <w:pPr>
        <w:ind w:left="460" w:right="200" w:firstLine="438"/>
        <w:spacing w:after="0" w:line="288" w:lineRule="auto"/>
        <w:rPr>
          <w:sz w:val="20"/>
          <w:szCs w:val="20"/>
          <w:color w:val="auto"/>
        </w:rPr>
      </w:pPr>
      <w:r>
        <w:rPr>
          <w:rFonts w:ascii="Arial" w:cs="Arial" w:eastAsia="Arial" w:hAnsi="Arial"/>
          <w:sz w:val="16"/>
          <w:szCs w:val="16"/>
          <w:u w:val="single" w:color="auto"/>
          <w:color w:val="auto"/>
        </w:rPr>
        <w:t>Facility Fee</w:t>
      </w:r>
      <w:r>
        <w:rPr>
          <w:rFonts w:ascii="Arial" w:cs="Arial" w:eastAsia="Arial" w:hAnsi="Arial"/>
          <w:sz w:val="16"/>
          <w:szCs w:val="16"/>
          <w:color w:val="auto"/>
        </w:rPr>
        <w:t>. The Borrower shall pay to the Bank (i) on September 12, 2013, for the period from August 30, 2013 to the next Loan Facility Anniversary Date, a non-refundable facility fee in an amount equal to the product of (x) the Commitment and (y) the Annual Facility Fee Percentage, and (ii) on each Loan Facility Anniversary Date (other than the Maturity Date), a non-refundable facility fee in an amount equal to the product of</w:t>
      </w:r>
    </w:p>
    <w:p>
      <w:pPr>
        <w:ind w:left="460" w:right="180" w:firstLine="4"/>
        <w:spacing w:after="0" w:line="261" w:lineRule="auto"/>
        <w:tabs>
          <w:tab w:leader="none" w:pos="7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Commitment and (y) the Annual Facility Fee Percentage, prorated to the Maturity Date in the case of the final Loan Facility Anniversary Date prior to the Maturity Date.</w:t>
      </w:r>
    </w:p>
    <w:p>
      <w:pPr>
        <w:sectPr>
          <w:pgSz w:w="11900" w:h="16838" w:orient="portrait"/>
          <w:cols w:equalWidth="0" w:num="1">
            <w:col w:w="11420"/>
          </w:cols>
          <w:pgMar w:left="240" w:top="121" w:right="239" w:bottom="1440" w:gutter="0" w:footer="0" w:header="0"/>
        </w:sectPr>
      </w:pPr>
    </w:p>
    <w:bookmarkStart w:id="38" w:name="page39"/>
    <w:bookmarkEnd w:id="38"/>
    <w:p>
      <w:pPr>
        <w:ind w:right="560" w:firstLine="464"/>
        <w:spacing w:after="0" w:line="277"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to Exhibit “A” of the Agreement</w:t>
      </w:r>
      <w:r>
        <w:rPr>
          <w:rFonts w:ascii="Arial" w:cs="Arial" w:eastAsia="Arial" w:hAnsi="Arial"/>
          <w:sz w:val="18"/>
          <w:szCs w:val="18"/>
          <w:color w:val="auto"/>
        </w:rPr>
        <w:t>. The following definitions in Exhibit “A” of the Agreement are amended and restated in their entireties to read as follows: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Facility Fee Percentage</w:t>
      </w:r>
      <w:r>
        <w:rPr>
          <w:rFonts w:ascii="Arial" w:cs="Arial" w:eastAsia="Arial" w:hAnsi="Arial"/>
          <w:sz w:val="18"/>
          <w:szCs w:val="18"/>
          <w:color w:val="auto"/>
        </w:rPr>
        <w:t>” shall mean 1.75%.</w:t>
      </w:r>
    </w:p>
    <w:p>
      <w:pPr>
        <w:spacing w:after="0" w:line="117"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Agreement</w:t>
      </w:r>
      <w:r>
        <w:rPr>
          <w:rFonts w:ascii="Arial" w:cs="Arial" w:eastAsia="Arial" w:hAnsi="Arial"/>
          <w:sz w:val="18"/>
          <w:szCs w:val="18"/>
          <w:color w:val="auto"/>
        </w:rPr>
        <w:t>” shall mean the Borrower Agreement dated as of August 29, 2013, executed by the Borrower and the Bank, as amended, restated, replaced, supplemented or otherwise modified from time to time.</w:t>
      </w:r>
    </w:p>
    <w:p>
      <w:pPr>
        <w:spacing w:after="0" w:line="62"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Fast Track Borrower Supplement</w:t>
      </w:r>
      <w:r>
        <w:rPr>
          <w:rFonts w:ascii="Arial" w:cs="Arial" w:eastAsia="Arial" w:hAnsi="Arial"/>
          <w:sz w:val="18"/>
          <w:szCs w:val="18"/>
          <w:color w:val="auto"/>
        </w:rPr>
        <w:t>” shall mean the Fast Track Borrower Agreement Supplement executed by the Borrower as of August 29, 2013, as the same may be amended, restated, modified or supplemented from time to time.</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Authorization Agreement</w:t>
      </w:r>
      <w:r>
        <w:rPr>
          <w:rFonts w:ascii="Arial" w:cs="Arial" w:eastAsia="Arial" w:hAnsi="Arial"/>
          <w:sz w:val="18"/>
          <w:szCs w:val="18"/>
          <w:color w:val="auto"/>
        </w:rPr>
        <w:t>” shall mean the Loan Authorization Agreement executed by the Borrower as of August 29, 2013, as the same may be amended, restated, replaced, modified or supplemented from time to time.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Facility Anniversary Date</w:t>
      </w:r>
      <w:r>
        <w:rPr>
          <w:rFonts w:ascii="Arial" w:cs="Arial" w:eastAsia="Arial" w:hAnsi="Arial"/>
          <w:sz w:val="18"/>
          <w:szCs w:val="18"/>
          <w:color w:val="auto"/>
        </w:rPr>
        <w:t>” shall mean each one (1) year anniversary of August 30,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shall mean June 12, 2015.</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TRUE; NO EVENT OF DEFAULT</w:t>
      </w:r>
      <w:r>
        <w:rPr>
          <w:rFonts w:ascii="Arial" w:cs="Arial" w:eastAsia="Arial" w:hAnsi="Arial"/>
          <w:sz w:val="18"/>
          <w:szCs w:val="18"/>
          <w:color w:val="auto"/>
        </w:rPr>
        <w:t>. By its execution and delivery hereof, the Borrower represents and warrants that, as of the date hereof:</w:t>
      </w:r>
    </w:p>
    <w:p>
      <w:pPr>
        <w:spacing w:after="0" w:line="62" w:lineRule="exact"/>
        <w:rPr>
          <w:sz w:val="20"/>
          <w:szCs w:val="20"/>
          <w:color w:val="auto"/>
        </w:rPr>
      </w:pPr>
    </w:p>
    <w:p>
      <w:pPr>
        <w:ind w:right="340" w:firstLine="464"/>
        <w:spacing w:after="0" w:line="286" w:lineRule="auto"/>
        <w:tabs>
          <w:tab w:leader="none" w:pos="7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the Borrower has all requisite power and authority to execute and deliver this Fourth Amendment, (ii) this Fourth Amendment has been duly executed and delivered by the Borrower, and (iii) this Fourth Amendment and the Agreement, as amended hereby, constitute valid and legally binding obligations of the Borrower, enforceable against the Borrower in accordance with their respective terms, except as limited by Debtor Laws;</w:t>
      </w:r>
    </w:p>
    <w:p>
      <w:pPr>
        <w:spacing w:after="0" w:line="57" w:lineRule="exact"/>
        <w:rPr>
          <w:rFonts w:ascii="Arial" w:cs="Arial" w:eastAsia="Arial" w:hAnsi="Arial"/>
          <w:sz w:val="17"/>
          <w:szCs w:val="17"/>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exists no Event of Default or Default under the Agreement both before and after giving effect to this Fourth Amendment;</w:t>
      </w:r>
    </w:p>
    <w:p>
      <w:pPr>
        <w:spacing w:after="0" w:line="117" w:lineRule="exact"/>
        <w:rPr>
          <w:rFonts w:ascii="Arial" w:cs="Arial" w:eastAsia="Arial" w:hAnsi="Arial"/>
          <w:sz w:val="18"/>
          <w:szCs w:val="18"/>
          <w:color w:val="auto"/>
        </w:rPr>
      </w:pPr>
    </w:p>
    <w:p>
      <w:pPr>
        <w:jc w:val="both"/>
        <w:ind w:firstLine="464"/>
        <w:spacing w:after="0" w:line="286" w:lineRule="auto"/>
        <w:tabs>
          <w:tab w:leader="none" w:pos="7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representations and warranties set forth in the Agreement and other International Loan Documents are true and correct in all material respects on the date hereof both before and after giving effect to this Fourth Amendment, except to the extent that such representations and warranties specifically refer to an earlier date, in which case they shall be true and correct in all material respects as of such earlier date;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9" w:name="page40"/>
    <w:bookmarkEnd w:id="39"/>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Agreement, as amended hereby, and the other International Loan Documents remain in full force and effect; and</w:t>
      </w:r>
    </w:p>
    <w:p>
      <w:pPr>
        <w:spacing w:after="0" w:line="117" w:lineRule="exact"/>
        <w:rPr>
          <w:rFonts w:ascii="Arial" w:cs="Arial" w:eastAsia="Arial" w:hAnsi="Arial"/>
          <w:sz w:val="18"/>
          <w:szCs w:val="18"/>
          <w:color w:val="auto"/>
        </w:rPr>
      </w:pPr>
    </w:p>
    <w:p>
      <w:pPr>
        <w:ind w:right="320" w:firstLine="464"/>
        <w:spacing w:after="0" w:line="259"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execution, delivery and performance of this Fourth Amendment or the Agreement, as amended hereby, nor the consummation of any transactions contemplated herein or therein, will (a) contravene the terms of the Organization Documents of the Borrower, (b) violate any Governmental Requirement or (c) conflict with any Obligation to which the Borrower is a party; except in the case of clauses (b) and (c) above to the extent that such conflict could not reasonably be expected to have a Material Adverse Effect.</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All provisions of this Fourth Amendment shall be effective upon receipt by the Bank of the following:</w:t>
      </w:r>
    </w:p>
    <w:p>
      <w:pPr>
        <w:spacing w:after="0" w:line="62" w:lineRule="exact"/>
        <w:rPr>
          <w:sz w:val="20"/>
          <w:szCs w:val="20"/>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Fourth Amendment duly executed by the Borrower, the Guarantor and the Bank;</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Secretary’s Certificate of Borrower duly executed by the Borrower, in form and substance satisfactory to Bank;</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Secretary’s Certificate of Guarantor duly executed by the Guarantor, in form and substance satisfactory to Bank;</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Acknowledgement of Country Limitation Schedule duly executed by the Borrower;</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Executed copies of the Borrower Agreement and Fast Track Borrower Supplement;</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letter from Ex-Im Bank;</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by the Borrower of the facility fee pursuant to Section 4.1 of the Agreement;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Executed Ex-Im Bank Loan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Bank will provide to Ex-Im Bank a new Loan Authorization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ACKNOWLEDGEMENT AND AGREEMENT OF GUARANTOR</w:t>
      </w:r>
      <w:r>
        <w:rPr>
          <w:rFonts w:ascii="Arial" w:cs="Arial" w:eastAsia="Arial" w:hAnsi="Arial"/>
          <w:sz w:val="17"/>
          <w:szCs w:val="17"/>
          <w:color w:val="auto"/>
        </w:rPr>
        <w:t>. Guarantor hereby (i) consents to the terms and execution hereof;</w:t>
      </w:r>
    </w:p>
    <w:p>
      <w:pPr>
        <w:spacing w:after="0" w:line="35" w:lineRule="exact"/>
        <w:rPr>
          <w:sz w:val="20"/>
          <w:szCs w:val="20"/>
          <w:color w:val="auto"/>
        </w:rPr>
      </w:pPr>
    </w:p>
    <w:p>
      <w:pPr>
        <w:ind w:firstLine="8"/>
        <w:spacing w:after="0" w:line="254"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reaffirms its obligations to the Bank pursuant to the terms of its Guaranty; and (iii) acknowledges that the Bank may amend, restate, extend, renew or otherwise modify the Agreement and any indebtedness or agreement of the Borrower, or enter into any agreement or extend additional or other credit accommodations, without notifying or obtaining the consent of the Guarantor and without impairing the liability of the Guarantor under its Guaranty for all of the Borrower’s present and future indebtedness to the Bank.</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8"/>
          <w:szCs w:val="18"/>
          <w:u w:val="single" w:color="auto"/>
          <w:color w:val="auto"/>
        </w:rPr>
        <w:t>REFERENCE TO THE AGREEMENT</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77" w:lineRule="auto"/>
        <w:tabs>
          <w:tab w:leader="none" w:pos="7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effectiveness of this Fourth Amendment, each reference in the Agreement to “this Agreement”, “hereunder”, or words of like import shall mean and be a reference to the Agreement, as affected and amended hereby.</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Agreement, as amended by the amendments referred to above, shall remain in full force and effect and is hereby ratified and confirmed.</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COSTS, EXPENSES AND TAXES</w:t>
      </w:r>
      <w:r>
        <w:rPr>
          <w:rFonts w:ascii="Arial" w:cs="Arial" w:eastAsia="Arial" w:hAnsi="Arial"/>
          <w:sz w:val="18"/>
          <w:szCs w:val="18"/>
          <w:color w:val="auto"/>
        </w:rPr>
        <w:t>. The Borrower agrees to pay all reasonable out-of-pocket costs and expenses incurred by the Bank in connection with the preparation, reproduction, execution and delivery of this Fourth Amendment and the other instruments and documents to be delivered hereunder (including the reasonable fees, charges and disbursements of counsel with respect thereto).</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Fourth Amendment may be executed in any number of counterparts and by different parties hereto in separate counterparts, each of which when so executed and delivered shall be deemed to be an original and all of which when taken together shall constitute but one and the same instrument. For purposes of this Fourth Amendment, a counterpart hereof (or signature page thereto) signed and transmitted by any Person party hereto to the Bank (or its counsel) by facsimile machine, telecopier or electronic mail is to be treated as an original. The signature of such Person thereon, for purposes hereof, is to be considered as an original signature, and the counterpart (or signature page thereto) so transmitted is to be considered to have the same binding effect as an original signature on an original document.</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Fourth Amendment are included herein for convenience of reference only and shall not constitute a part of this Fourth Amendment for any other purpose.</w:t>
      </w:r>
    </w:p>
    <w:p>
      <w:pPr>
        <w:spacing w:after="0" w:line="166" w:lineRule="exact"/>
        <w:rPr>
          <w:sz w:val="20"/>
          <w:szCs w:val="20"/>
          <w:color w:val="auto"/>
        </w:rPr>
      </w:pPr>
    </w:p>
    <w:p>
      <w:pPr>
        <w:ind w:right="540" w:firstLine="456"/>
        <w:spacing w:after="0" w:line="261"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THIS FOURTH AMENDMENT AND THE OTHER INTERNATIONAL LOAN DOCUMENTS</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FOURTH AMENDMENT SHALL BE GOVERNED BY, AND CONSTRUED IN ACCORDANCE WITH, THE LAWS OF THE STATE OF NEW YORK WITHOUT REGARD TO ITS CONFLICTS OF LAW PRINCIPLES (OTHER THAN PROVISIONS OF 5-1401 AND 5-1402 OF THE NEW YORK GENERAL OBLIGATIONS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1" w:name="page42"/>
    <w:bookmarkEnd w:id="41"/>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Arial" w:cs="Arial" w:eastAsia="Arial" w:hAnsi="Arial"/>
          <w:sz w:val="17"/>
          <w:szCs w:val="17"/>
          <w:u w:val="single" w:color="auto"/>
          <w:color w:val="auto"/>
        </w:rPr>
        <w:t>WAIVERS OF JURY TRIAL</w:t>
      </w:r>
      <w:r>
        <w:rPr>
          <w:rFonts w:ascii="Arial" w:cs="Arial" w:eastAsia="Arial" w:hAnsi="Arial"/>
          <w:sz w:val="17"/>
          <w:szCs w:val="17"/>
          <w:color w:val="auto"/>
        </w:rPr>
        <w:t>. TO THE FULLEST EXTENT PERMITTED BY APPLICABLE LAWS, THE PARTIES HERETO HEREBY WAIVE ANY RIGHT TO A TRIAL BY JURY IN ANY ACTION OR PROCEEDING TO ENFORCE OR DEFEND ANY RIGHTS OR REMEDIES UNDER THIS FOURTH AMENDMENT OR INTERNATIONAL LOAN DOCUMENTS, OR ARISING FROM ANY FINANCING RELATIONSHIP EXISTING IN CONNECTION WITH THIS FOURTH AMENDMENT OR ANY INTERNATIONAL LOAN DOCUMENT AND AGREE THAT ANY ACTION OR PROCEEDING SHALL BE TRIED BEFORE A COURT AND NOT BEFORE A JURY.</w:t>
      </w:r>
    </w:p>
    <w:p>
      <w:pPr>
        <w:spacing w:after="0" w:line="17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240" w:top="274" w:right="7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Fourth Amendment is executed as of the date first set forth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GREAT LAKES DREDGE &amp; DOCK CORPORATION</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William S. Steckel</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-130810</wp:posOffset>
            </wp:positionV>
            <wp:extent cx="2727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GREAT LAKES DREDGE &amp; DOCK COMPANY, LLC</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William S. Steckel</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-130810</wp:posOffset>
            </wp:positionV>
            <wp:extent cx="2727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WELLS FARGO BANK, N.A.</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Sushim R. Shah</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Sushim R.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-130810</wp:posOffset>
            </wp:positionV>
            <wp:extent cx="2727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Senior Relationship Manager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700" w:top="274" w:right="7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INTERNATIONAL LETTER OF CREDIT AGREEMENT</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FIFTH AMENDMENT TO INTERNATIONAL LETTER OF CREDIT AGREEMENT is dated as of April 22, 2014 (this “</w:t>
      </w:r>
      <w:r>
        <w:rPr>
          <w:rFonts w:ascii="Arial" w:cs="Arial" w:eastAsia="Arial" w:hAnsi="Arial"/>
          <w:sz w:val="18"/>
          <w:szCs w:val="18"/>
          <w:u w:val="single" w:color="auto"/>
          <w:color w:val="auto"/>
        </w:rPr>
        <w:t>Fifth Amendment</w:t>
      </w:r>
      <w:r>
        <w:rPr>
          <w:rFonts w:ascii="Arial" w:cs="Arial" w:eastAsia="Arial" w:hAnsi="Arial"/>
          <w:sz w:val="18"/>
          <w:szCs w:val="18"/>
          <w:color w:val="auto"/>
        </w:rPr>
        <w:t>”), and entered into among GREAT LAKES DREDGE &amp; DOCK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GREAT LAKES DREDGE &amp; DOCK COMPANY, LLC, a Delaware limited liability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and WELLS FARGO BANK, N.A., successor by merger to WELLS FARGO HSBC TRADE BANK, N.A. (the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A. The Borrower, the Guarantor and Bank entered into an International Letter of Credit Agreement, dated as of September 29, 2006 (as amended through the date hereof and as it may be further amended, modified or supplemented, the “</w:t>
      </w:r>
      <w:r>
        <w:rPr>
          <w:rFonts w:ascii="Arial" w:cs="Arial" w:eastAsia="Arial" w:hAnsi="Arial"/>
          <w:sz w:val="18"/>
          <w:szCs w:val="18"/>
          <w:u w:val="single" w:color="auto"/>
          <w:color w:val="auto"/>
        </w:rPr>
        <w:t>Agreement</w:t>
      </w:r>
      <w:r>
        <w:rPr>
          <w:rFonts w:ascii="Arial" w:cs="Arial" w:eastAsia="Arial" w:hAnsi="Arial"/>
          <w:sz w:val="18"/>
          <w:szCs w:val="18"/>
          <w:color w:val="auto"/>
        </w:rPr>
        <w:t>”). Unless specifically defined or redefined below, capitalized terms used herein shall have the meanings ascribed thereto in the Agreement.</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 The Borrower has requested that the Bank amend certain provisions of the Agreement and the Bank has agreed to amend the Agreement as herein provided.</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NOW, THEREFORE, in consideration of the covenants, conditions and agreements hereafter set forth, and for other good and valuable consideration, the receipt and adequacy of which are all hereby acknowledged, the Borrower, the Guarantor and the Bank covenant and agree as follows: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OF EXHIBIT “A” TO THE AGREEMENT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 “A” of the Agreement is amended to add the following definitions thereto in the appropriate alphabetical order:</w:t>
      </w:r>
    </w:p>
    <w:p>
      <w:pPr>
        <w:spacing w:after="0" w:line="11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NASDI Bonds</w:t>
      </w:r>
      <w:r>
        <w:rPr>
          <w:rFonts w:ascii="Arial" w:cs="Arial" w:eastAsia="Arial" w:hAnsi="Arial"/>
          <w:sz w:val="18"/>
          <w:szCs w:val="18"/>
          <w:color w:val="auto"/>
        </w:rPr>
        <w:t>” means those certain surety bonds issued by Zurich for the benefit of NASDI, LLC and Yankee Environmental Services, LLC prior to, but which remain outstanding as of, April 22, 2014.</w:t>
      </w:r>
    </w:p>
    <w:p>
      <w:pPr>
        <w:spacing w:after="0" w:line="62"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Zurich Guaranty Obligations</w:t>
      </w:r>
      <w:r>
        <w:rPr>
          <w:rFonts w:ascii="Arial" w:cs="Arial" w:eastAsia="Arial" w:hAnsi="Arial"/>
          <w:sz w:val="18"/>
          <w:szCs w:val="18"/>
          <w:color w:val="auto"/>
        </w:rPr>
        <w:t>” means Guaranty Obligations of the Borrower to Zurich under that certain Guarantee and Indemnity Agreement dated as of April 22, 2014, executed by the Borrower in favor of Zurich, relating to the NASDI Bonds in an aggregate amount not to exceed $25,000,000.</w:t>
      </w:r>
    </w:p>
    <w:p>
      <w:pPr>
        <w:sectPr>
          <w:pgSz w:w="11900" w:h="16838" w:orient="portrait"/>
          <w:cols w:equalWidth="0" w:num="1">
            <w:col w:w="11420"/>
          </w:cols>
          <w:pgMar w:left="240" w:top="121"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The following definition in Exhibit “A” of the Agreement is amended and restated in its entirety to read as follows:</w:t>
      </w:r>
    </w:p>
    <w:p>
      <w:pPr>
        <w:spacing w:after="0" w:line="117"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Indebtedness</w:t>
      </w:r>
      <w:r>
        <w:rPr>
          <w:rFonts w:ascii="Arial" w:cs="Arial" w:eastAsia="Arial" w:hAnsi="Arial"/>
          <w:sz w:val="17"/>
          <w:szCs w:val="17"/>
          <w:color w:val="auto"/>
        </w:rPr>
        <w:t xml:space="preserve">” of the Borrower, means as of any date of determination, the sum of (without duplication), (a) all Indebtedness (other than (i) contingent Bonding Obligations and (ii) Operating Leases) of the Borrower and its Subsidiaries on a Consolidated basis which, in accordance with GAAP, should be included as liabilities in the consolidated balance sheet of the Borrower and its Subsidiaries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undrawn face amount of letters of credit (other than (i) letters of credit issued to (x) Zurich in an aggregate amount not to exceed $20,000,000 to support (A) the Bonding Obligations held by Zurich and/or (B) obligations with respect to the NASDI Bonds and (y) Travelers pursuant to the terms set forth in the Travelers’ Termination Agreement, (ii) Performance Letters of Credit and (iii) standby letters of credit issued pursuant to the Agreement) and bank guarantees (other than those issued to support performance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principal amount of all guarantees executed by such Person (other than the Permitted Zurich Guaranty Obligations, but solely to the extent Zurich has not asserted any claim for reimbursement from NASDI, LLC, Yankee Environmental Services, LLC or the Borrower with respect to the NASDI Bonds).</w:t>
      </w:r>
    </w:p>
    <w:p>
      <w:pPr>
        <w:spacing w:after="0" w:line="18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TRUE; NO EVENT OF DEFAULT</w:t>
      </w:r>
      <w:r>
        <w:rPr>
          <w:rFonts w:ascii="Arial" w:cs="Arial" w:eastAsia="Arial" w:hAnsi="Arial"/>
          <w:sz w:val="18"/>
          <w:szCs w:val="18"/>
          <w:color w:val="auto"/>
        </w:rPr>
        <w:t>. By its execution and delivery hereof, the Borrower represents and warrants that, as of the date hereof:</w:t>
      </w:r>
    </w:p>
    <w:p>
      <w:pPr>
        <w:spacing w:after="0" w:line="62" w:lineRule="exact"/>
        <w:rPr>
          <w:sz w:val="20"/>
          <w:szCs w:val="20"/>
          <w:color w:val="auto"/>
        </w:rPr>
      </w:pPr>
    </w:p>
    <w:p>
      <w:pPr>
        <w:jc w:val="both"/>
        <w:ind w:right="580" w:firstLine="464"/>
        <w:spacing w:after="0" w:line="312" w:lineRule="auto"/>
        <w:tabs>
          <w:tab w:leader="none" w:pos="7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the Borrower has all requisite power and authority to execute and deliver this Fifth Amendment, (ii) this Fifth Amendment has been duly executed and delivered by the Borrower, and (iii) this Fourth Amendment and the Agreement, as amended hereby, constitute valid and legally binding obligations of the Borrower, enforceable against the Borrower in accordance with their respective terms, except as limited by Debtor Laws;</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exists no Event of Default or Default under the Agreement both before and after giving effect to this Fifth Amendment;</w:t>
      </w:r>
    </w:p>
    <w:p>
      <w:pPr>
        <w:spacing w:after="0" w:line="117" w:lineRule="exact"/>
        <w:rPr>
          <w:rFonts w:ascii="Arial" w:cs="Arial" w:eastAsia="Arial" w:hAnsi="Arial"/>
          <w:sz w:val="18"/>
          <w:szCs w:val="18"/>
          <w:color w:val="auto"/>
        </w:rPr>
      </w:pPr>
    </w:p>
    <w:p>
      <w:pPr>
        <w:ind w:firstLine="464"/>
        <w:spacing w:after="0" w:line="264" w:lineRule="auto"/>
        <w:tabs>
          <w:tab w:leader="none" w:pos="7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the Agreement and other International Loan Documents are true and correct in all material respects on the date hereof both before and after giving effect to this Fifth Amendment, except to the extent that such representations and warranties specifically refer to an earlier date, in which case they shall be true and correct in all material respects as of such earlier date;</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Agreement, as amended hereby, and the other International Loan Documents remain in full force and effect;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5" w:name="page46"/>
    <w:bookmarkEnd w:id="45"/>
    <w:p>
      <w:pPr>
        <w:jc w:val="both"/>
        <w:ind w:right="420" w:firstLine="464"/>
        <w:spacing w:after="0" w:line="259"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execution, delivery and performance of this Fifth Amendment or the Agreement, as amended hereby, nor the consummation of any transactions contemplated herein or therein, will (a) contravene the terms of the Organization Documents of the Borrower, (b) violate any Governmental Requirement or (c) conflict with any Obligation to which the Borrower is a party; except in the case of clauses (b) and (c) above to the extent that such conflict could not reasonably be expected to have a Material Adverse Effect.</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All provisions of this Fifth Amendment shall be effective upon receipt by the Bank of this Fifth Amendment duly executed by the Borrower, the Guarantor and the Bank.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ACKNOWLEDGEMENT AND AGREEMENT OF GUARANTOR</w:t>
      </w:r>
      <w:r>
        <w:rPr>
          <w:rFonts w:ascii="Arial" w:cs="Arial" w:eastAsia="Arial" w:hAnsi="Arial"/>
          <w:sz w:val="17"/>
          <w:szCs w:val="17"/>
          <w:color w:val="auto"/>
        </w:rPr>
        <w:t>. Guarantor hereby (i) consents to the terms and execution hereof;</w:t>
      </w:r>
    </w:p>
    <w:p>
      <w:pPr>
        <w:spacing w:after="0" w:line="35" w:lineRule="exact"/>
        <w:rPr>
          <w:sz w:val="20"/>
          <w:szCs w:val="20"/>
          <w:color w:val="auto"/>
        </w:rPr>
      </w:pPr>
    </w:p>
    <w:p>
      <w:pPr>
        <w:ind w:firstLine="8"/>
        <w:spacing w:after="0" w:line="254"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reaffirms its obligations to the Bank pursuant to the terms of its Guaranty; and (iii) acknowledges that the Bank may amend, restate, extend, renew or otherwise modify the Agreement and any indebtedness or agreement of the Borrower, or enter into any agreement or extend additional or other credit accommodations, without notifying or obtaining the consent of the Guarantor and without impairing the liability of the Guarantor under its Guaranty for all of the Borrower’s present and future indebtedness to the Bank.</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REFERENCE TO THE AGREEMENT</w:t>
      </w:r>
      <w:r>
        <w:rPr>
          <w:rFonts w:ascii="Arial" w:cs="Arial" w:eastAsia="Arial" w:hAnsi="Arial"/>
          <w:sz w:val="18"/>
          <w:szCs w:val="18"/>
          <w:color w:val="auto"/>
        </w:rPr>
        <w:t>.</w:t>
      </w:r>
    </w:p>
    <w:p>
      <w:pPr>
        <w:spacing w:after="0" w:line="117" w:lineRule="exact"/>
        <w:rPr>
          <w:sz w:val="20"/>
          <w:szCs w:val="20"/>
          <w:color w:val="auto"/>
        </w:rPr>
      </w:pPr>
    </w:p>
    <w:p>
      <w:pPr>
        <w:ind w:right="180" w:firstLine="464"/>
        <w:spacing w:after="0" w:line="277"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effectiveness of this Fifth Amendment, each reference in the Agreement to “this Agreement”, “hereunder”, or words of like import shall mean and be a reference to the Agreement, as affected and amended hereby.</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Agreement, as amended by the amendments referred to above, shall remain in full force and effect and is hereby ratified and confirmed.</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COSTS, EXPENSES AND TAXES</w:t>
      </w:r>
      <w:r>
        <w:rPr>
          <w:rFonts w:ascii="Arial" w:cs="Arial" w:eastAsia="Arial" w:hAnsi="Arial"/>
          <w:sz w:val="18"/>
          <w:szCs w:val="18"/>
          <w:color w:val="auto"/>
        </w:rPr>
        <w:t>. The Borrower agrees to pay all reasonable out-of-pocket costs and expenses incurred by the Bank in connection with the preparation, reproduction, execution and delivery of this Fifth Amendment and the other instruments and documents to be delivered hereunder (including the reasonable fees, charges and disbursements of counsel with respect thereto).</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Fifth Amendment may be executed in any number of counterparts and by different parties hereto in separate counterparts, each of which when so executed and delivered shall be deemed to be an original and all of which when taken together shall constitute but one and the same instrument. For purposes of this Fifth Amendment, a counterpart hereof (or signature page thereto) signed and transmitted by any Person party hereto to the Bank (or its counsel) by facsimile machine, telecopier or electronic mail is to be treated as an original. The signature of such Person thereon, for purposes hereof, is to be considered as an original signature, and the counterpart (or signature page thereto) so transmitted is to be considered to have the same binding effect as an original signature on an original document.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6" w:name="page47"/>
    <w:bookmarkEnd w:id="46"/>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Fifth Amendment are included herein for convenience of reference only and shall not constitute a part of this Fifth Amendment for any other purpose.</w:t>
      </w:r>
    </w:p>
    <w:p>
      <w:pPr>
        <w:spacing w:after="0" w:line="166" w:lineRule="exact"/>
        <w:rPr>
          <w:sz w:val="20"/>
          <w:szCs w:val="20"/>
          <w:color w:val="auto"/>
        </w:rPr>
      </w:pPr>
    </w:p>
    <w:p>
      <w:pPr>
        <w:ind w:right="600" w:firstLine="456"/>
        <w:spacing w:after="0" w:line="261"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THIS FIFTH AMENDMENT AND THE OTHER INTERNATIONAL LOAN DOCUMENTS</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FIFTH AMENDMENT SHALL BE GOVERNED BY, AND CONSTRUED IN ACCORDANCE WITH, THE LAWS OF THE STATE OF NEW YORK WITHOUT REGARD TO ITS CONFLICTS OF LAW PRINCIPLES (OTHER THAN PROVISIONS OF 5-1401 AND 5-1402 OF THE NEW YORK GENERAL OBLIGATIONS LAW).</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TO THE FULLEST EXTENT PERMITTED BY APPLICABLE LAWS, THE PARTIES HERETO HEREBY WAIVE ANY RIGHT TO A TRIAL BY JURY IN ANY ACTION OR PROCEEDING TO ENFORCE OR DEFEND ANY RIGHTS OR REMEDIES UNDER THIS FIFTH AMENDMENT OR INTERNATIONAL LOAN DOCUMENTS, OR ARISING FROM ANY FINANCING RELATIONSHIP EXISTING IN CONNECTION WITH THIS FIFTH AMENDMENT OR ANY INTERNATIONAL LOAN DOCUMENT AND AGREE THAT ANY ACTION OR PROCEEDING SHALL BE TRIED BEFORE A COURT AND NOT BEFORE A JURY.</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Fifth Amendment is executed as of the date first set forth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GREAT LAKES DREDGE &amp; DOCK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Katherine M. Hayes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Katherine M. Hayes</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&amp; Controller</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GUARANTOR:</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GREAT LAKES DREDGE &amp; DOCK COMPANY, LLC</w:t>
            </w: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Katherine M. Hayes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Katherine M. Hayes</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&amp; Controller</w:t>
            </w: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BANK:</w:t>
            </w:r>
          </w:p>
        </w:tc>
        <w:tc>
          <w:tcPr>
            <w:tcW w:w="3980" w:type="dxa"/>
            <w:vAlign w:val="bottom"/>
          </w:tcPr>
          <w:p>
            <w:pPr>
              <w:spacing w:after="0"/>
              <w:rPr>
                <w:sz w:val="24"/>
                <w:szCs w:val="24"/>
                <w:color w:val="auto"/>
              </w:rPr>
            </w:pP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WELLS FARGO BANK, N.A.</w:t>
            </w: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Sushim R. Shah</w:t>
            </w:r>
          </w:p>
        </w:tc>
      </w:tr>
      <w:tr>
        <w:trPr>
          <w:trHeight w:val="211"/>
        </w:trPr>
        <w:tc>
          <w:tcPr>
            <w:tcW w:w="5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Sushim R. Shah</w:t>
            </w:r>
          </w:p>
        </w:tc>
      </w:tr>
    </w:tbl>
    <w:p>
      <w:pPr>
        <w:ind w:left="6980"/>
        <w:spacing w:after="0"/>
        <w:rPr>
          <w:sz w:val="20"/>
          <w:szCs w:val="20"/>
          <w:color w:val="auto"/>
        </w:rPr>
      </w:pPr>
      <w:r>
        <w:rPr>
          <w:rFonts w:ascii="Arial" w:cs="Arial" w:eastAsia="Arial" w:hAnsi="Arial"/>
          <w:sz w:val="18"/>
          <w:szCs w:val="18"/>
          <w:color w:val="auto"/>
        </w:rPr>
        <w:t>Vice President and</w:t>
      </w:r>
    </w:p>
    <w:p>
      <w:pPr>
        <w:spacing w:after="0" w:line="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Relationship Manager</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CREDIT AGREEMENT</w:t>
      </w:r>
    </w:p>
    <w:p>
      <w:pPr>
        <w:spacing w:after="0" w:line="211"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THIS AMENDMENT NO. 4 TO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April 23, 2014, is made by and among Great Lakes Dredge &amp; Dock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other “Credit Parties” from time to time party to the Credit Agreement referred to and defined below (together with the Borrower, the “</w:t>
      </w:r>
      <w:r>
        <w:rPr>
          <w:rFonts w:ascii="Arial" w:cs="Arial" w:eastAsia="Arial" w:hAnsi="Arial"/>
          <w:sz w:val="17"/>
          <w:szCs w:val="17"/>
          <w:u w:val="single" w:color="auto"/>
          <w:color w:val="auto"/>
        </w:rPr>
        <w:t>Credit Parties</w:t>
      </w:r>
      <w:r>
        <w:rPr>
          <w:rFonts w:ascii="Arial" w:cs="Arial" w:eastAsia="Arial" w:hAnsi="Arial"/>
          <w:sz w:val="17"/>
          <w:szCs w:val="17"/>
          <w:color w:val="auto"/>
        </w:rPr>
        <w:t>”), the Lenders (as defined below) signatory hereto and Wells Fargo Bank, National Association (“</w:t>
      </w:r>
      <w:r>
        <w:rPr>
          <w:rFonts w:ascii="Arial" w:cs="Arial" w:eastAsia="Arial" w:hAnsi="Arial"/>
          <w:sz w:val="17"/>
          <w:szCs w:val="17"/>
          <w:u w:val="single" w:color="auto"/>
          <w:color w:val="auto"/>
        </w:rPr>
        <w:t>Wells</w:t>
      </w:r>
      <w:r>
        <w:rPr>
          <w:rFonts w:ascii="Arial" w:cs="Arial" w:eastAsia="Arial" w:hAnsi="Arial"/>
          <w:sz w:val="17"/>
          <w:szCs w:val="17"/>
          <w:color w:val="auto"/>
        </w:rPr>
        <w:t xml:space="preserve"> </w:t>
      </w:r>
      <w:r>
        <w:rPr>
          <w:rFonts w:ascii="Arial" w:cs="Arial" w:eastAsia="Arial" w:hAnsi="Arial"/>
          <w:sz w:val="17"/>
          <w:szCs w:val="17"/>
          <w:u w:val="single" w:color="auto"/>
          <w:color w:val="auto"/>
        </w:rPr>
        <w:t>Fargo</w:t>
      </w:r>
      <w:r>
        <w:rPr>
          <w:rFonts w:ascii="Arial" w:cs="Arial" w:eastAsia="Arial" w:hAnsi="Arial"/>
          <w:sz w:val="17"/>
          <w:szCs w:val="17"/>
          <w:color w:val="auto"/>
        </w:rPr>
        <w:t>”), as the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Capitalized terms used herein and not otherwise defined herein shall have the meanings ascribed to such terms in the Credit Agreement referred to and defined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WHEREAS, the Borrower, the other Credit Parties, the financial institutions from time to time party thereto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Wells Fargo, as the Administrative Agent for the Lenders, as Swingline Lender and as an Issuing Lender are parties to that certain Credit Agreement, dated as of June 4, 2012 (as amended, restated, supplemented or otherwise modified prior to the date hereof,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and</w:t>
      </w:r>
    </w:p>
    <w:p>
      <w:pPr>
        <w:spacing w:after="0" w:line="166"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WHEREAS, the Borrower has requested that the Required Lenders, and subject to the terms and conditions set forth herein the Required Lenders have agreed to, amend certain provisions of the Credit Agreement;</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NOW, THEREFORE, in consideration of the foregoing premises, the terms and conditions stated herein and other valuable consideration, the receipt and sufficiency of which are hereby acknowledged by the Borrower, the other Credit Parties, the Required Lenders and the Administrative Agent, such parties hereby agree as follows:</w:t>
      </w:r>
    </w:p>
    <w:p>
      <w:pPr>
        <w:spacing w:after="0" w:line="73"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 to the Credit Agreement</w:t>
      </w:r>
      <w:r>
        <w:rPr>
          <w:rFonts w:ascii="Arial" w:cs="Arial" w:eastAsia="Arial" w:hAnsi="Arial"/>
          <w:sz w:val="18"/>
          <w:szCs w:val="18"/>
          <w:color w:val="auto"/>
        </w:rPr>
        <w:t xml:space="preserve">. Subject to the satisfaction of each of the conditions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Amendment, the Credit Agreement is hereby amended as follows: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Section 1.1 of the Credit Agreement is amended to add the following definitions thereto in the appropriate alphabetical order:</w:t>
      </w:r>
    </w:p>
    <w:p>
      <w:pPr>
        <w:spacing w:after="0" w:line="117" w:lineRule="exact"/>
        <w:rPr>
          <w:sz w:val="20"/>
          <w:szCs w:val="20"/>
          <w:color w:val="auto"/>
        </w:rPr>
      </w:pPr>
    </w:p>
    <w:p>
      <w:pPr>
        <w:ind w:left="460" w:right="360" w:firstLine="876"/>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NASDI Bonds</w:t>
      </w:r>
      <w:r>
        <w:rPr>
          <w:rFonts w:ascii="Arial" w:cs="Arial" w:eastAsia="Arial" w:hAnsi="Arial"/>
          <w:sz w:val="18"/>
          <w:szCs w:val="18"/>
          <w:color w:val="auto"/>
        </w:rPr>
        <w:t>”</w:t>
      </w:r>
      <w:r>
        <w:rPr>
          <w:rFonts w:ascii="Arial" w:cs="Arial" w:eastAsia="Arial" w:hAnsi="Arial"/>
          <w:sz w:val="18"/>
          <w:szCs w:val="18"/>
          <w:i w:val="1"/>
          <w:iCs w:val="1"/>
          <w:color w:val="auto"/>
        </w:rPr>
        <w:t xml:space="preserve"> means those certain surety bonds issued by Zurich for the benefit of NASDI, LLC and Yankee Environmental Services, LLC prior to, but which remain outstanding as of, April 23, 2014 .</w:t>
      </w:r>
    </w:p>
    <w:p>
      <w:pPr>
        <w:spacing w:after="0" w:line="62" w:lineRule="exact"/>
        <w:rPr>
          <w:sz w:val="20"/>
          <w:szCs w:val="20"/>
          <w:color w:val="auto"/>
        </w:rPr>
      </w:pPr>
    </w:p>
    <w:p>
      <w:pPr>
        <w:ind w:left="460" w:right="40" w:firstLine="87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Permitted Zurich Guaranty Obligations</w:t>
      </w:r>
      <w:r>
        <w:rPr>
          <w:rFonts w:ascii="Arial" w:cs="Arial" w:eastAsia="Arial" w:hAnsi="Arial"/>
          <w:sz w:val="18"/>
          <w:szCs w:val="18"/>
          <w:i w:val="1"/>
          <w:iCs w:val="1"/>
          <w:color w:val="auto"/>
        </w:rPr>
        <w:t>” means Guaranty Obligations of the Borrower to Zurich under that certain Guarantee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 Agreement dated as of April 23, 2014, executed by the Borrower in favor of Zurich, relating to the NASDI Bonds in an aggregate amount not to exceed $25,000,000.</w:t>
      </w:r>
    </w:p>
    <w:p>
      <w:pPr>
        <w:sectPr>
          <w:pgSz w:w="11900" w:h="16838" w:orient="portrait"/>
          <w:cols w:equalWidth="0" w:num="1">
            <w:col w:w="11420"/>
          </w:cols>
          <w:pgMar w:left="240" w:top="121" w:right="239" w:bottom="1440" w:gutter="0" w:footer="0" w:header="0"/>
        </w:sectPr>
      </w:pPr>
    </w:p>
    <w:bookmarkStart w:id="49" w:name="page50"/>
    <w:bookmarkEnd w:id="49"/>
    <w:p>
      <w:pPr>
        <w:ind w:right="120" w:firstLine="921"/>
        <w:spacing w:after="0" w:line="277"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 of the Credit Agreement is amended to delete the definition of Consolidated Total Indebtedness appearing therein and substitute the following therefor:</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Consolidated Total Indebtedness</w:t>
      </w:r>
      <w:r>
        <w:rPr>
          <w:rFonts w:ascii="Arial" w:cs="Arial" w:eastAsia="Arial" w:hAnsi="Arial"/>
          <w:sz w:val="17"/>
          <w:szCs w:val="17"/>
          <w:i w:val="1"/>
          <w:iCs w:val="1"/>
          <w:color w:val="auto"/>
        </w:rPr>
        <w:t>” of the Borrower, means as of any date of determination, the sum of (without duplication), (a) all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Indebtedness (other than (i) contingent Bonding Obligations and (ii) Operating Leases) of the Borrower and its Subsidiaries on a Consolidated basis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which, in accordance with GAAP, should be included as liabilities in the consolidated balance sheet of the Borrower and its Subsidiaries at such time,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i w:val="1"/>
          <w:iCs w:val="1"/>
          <w:u w:val="single" w:color="auto"/>
          <w:color w:val="auto"/>
        </w:rPr>
        <w:t>plus</w:t>
      </w:r>
      <w:r>
        <w:rPr>
          <w:rFonts w:ascii="Arial" w:cs="Arial" w:eastAsia="Arial" w:hAnsi="Arial"/>
          <w:sz w:val="17"/>
          <w:szCs w:val="17"/>
          <w:i w:val="1"/>
          <w:iCs w:val="1"/>
          <w:color w:val="auto"/>
        </w:rPr>
        <w:t xml:space="preserve"> (b) the undrawn face amount of letters of credit (other than (i) letters of credit issued to (x) Zurich in an aggregate amount not to exceed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$20,000,000 to support (A) the Bonding Obligations held by Zurich and/or (B) obligations with respect to the NASDI Bonds and (y) Travelers pursuant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to the terms set forth in the Travelers’ Termination Agreement, (ii) Performance Letters of Credit and (iii) standby letters of credit issued pursuant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the Wells Fargo Agreement) and bank guarantees (other than those issued to support performance obligations), </w:t>
      </w:r>
      <w:r>
        <w:rPr>
          <w:rFonts w:ascii="Arial" w:cs="Arial" w:eastAsia="Arial" w:hAnsi="Arial"/>
          <w:sz w:val="16"/>
          <w:szCs w:val="16"/>
          <w:i w:val="1"/>
          <w:iCs w:val="1"/>
          <w:u w:val="single" w:color="auto"/>
          <w:color w:val="auto"/>
        </w:rPr>
        <w:t>plus</w:t>
      </w:r>
      <w:r>
        <w:rPr>
          <w:rFonts w:ascii="Arial" w:cs="Arial" w:eastAsia="Arial" w:hAnsi="Arial"/>
          <w:sz w:val="16"/>
          <w:szCs w:val="16"/>
          <w:i w:val="1"/>
          <w:iCs w:val="1"/>
          <w:color w:val="auto"/>
        </w:rPr>
        <w:t xml:space="preserve"> (c) the principal amount of all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guarantees executed by such Person (other than the Permitted Zurich Guaranty Obligations, but solely to the extent Zurich has not asserted any claim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reimbursement from NASDI, LLC, Yankee Environmental Services, LLC or the Borrower with respect to the NASDI Bonds).</w:t>
      </w:r>
    </w:p>
    <w:p>
      <w:pPr>
        <w:spacing w:after="0" w:line="103" w:lineRule="exact"/>
        <w:rPr>
          <w:sz w:val="20"/>
          <w:szCs w:val="20"/>
          <w:color w:val="auto"/>
        </w:rPr>
      </w:pPr>
    </w:p>
    <w:p>
      <w:pPr>
        <w:ind w:left="1160" w:hanging="239"/>
        <w:spacing w:after="0"/>
        <w:tabs>
          <w:tab w:leader="none" w:pos="11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Section 9.1 of the Credit Agreement is amended to (i) delete the “and” appearing at the end of clause (t) thereof, (ii) amend and restate clause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thereof in its entirety as follows and (iii) add the following new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thereto immediately following </w:t>
      </w:r>
      <w:r>
        <w:rPr>
          <w:rFonts w:ascii="Arial" w:cs="Arial" w:eastAsia="Arial" w:hAnsi="Arial"/>
          <w:sz w:val="18"/>
          <w:szCs w:val="18"/>
          <w:u w:val="single" w:color="auto"/>
          <w:color w:val="auto"/>
        </w:rPr>
        <w:t>clause (u)</w:t>
      </w:r>
      <w:r>
        <w:rPr>
          <w:rFonts w:ascii="Arial" w:cs="Arial" w:eastAsia="Arial" w:hAnsi="Arial"/>
          <w:sz w:val="18"/>
          <w:szCs w:val="18"/>
          <w:color w:val="auto"/>
        </w:rPr>
        <w:t xml:space="preserve"> thereof:</w:t>
      </w:r>
    </w:p>
    <w:p>
      <w:pPr>
        <w:spacing w:after="0" w:line="102" w:lineRule="exact"/>
        <w:rPr>
          <w:rFonts w:ascii="Arial" w:cs="Arial" w:eastAsia="Arial" w:hAnsi="Arial"/>
          <w:sz w:val="18"/>
          <w:szCs w:val="18"/>
          <w:color w:val="auto"/>
        </w:rPr>
      </w:pPr>
    </w:p>
    <w:p>
      <w:pPr>
        <w:ind w:left="1600" w:hanging="259"/>
        <w:spacing w:after="0"/>
        <w:tabs>
          <w:tab w:leader="none" w:pos="1600" w:val="left"/>
        </w:tabs>
        <w:numPr>
          <w:ilvl w:val="2"/>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Permitted Zurich Guaranty Obligations; and</w:t>
      </w:r>
    </w:p>
    <w:p>
      <w:pPr>
        <w:spacing w:after="0" w:line="117" w:lineRule="exact"/>
        <w:rPr>
          <w:rFonts w:ascii="Arial" w:cs="Arial" w:eastAsia="Arial" w:hAnsi="Arial"/>
          <w:sz w:val="18"/>
          <w:szCs w:val="18"/>
          <w:i w:val="1"/>
          <w:iCs w:val="1"/>
          <w:color w:val="auto"/>
        </w:rPr>
      </w:pPr>
    </w:p>
    <w:p>
      <w:pPr>
        <w:ind w:left="460" w:right="480" w:firstLine="881"/>
        <w:spacing w:after="0" w:line="277" w:lineRule="auto"/>
        <w:tabs>
          <w:tab w:leader="none" w:pos="1581" w:val="left"/>
        </w:tabs>
        <w:numPr>
          <w:ilvl w:val="2"/>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all premiums (if any), interest (including post-petition interest), fees, expenses, indemnities, charges and additional or contingent interest on obligations described in clauses (a) through (u) of this Section 9.1.</w:t>
      </w:r>
    </w:p>
    <w:p>
      <w:pPr>
        <w:spacing w:after="0" w:line="170" w:lineRule="exact"/>
        <w:rPr>
          <w:sz w:val="20"/>
          <w:szCs w:val="20"/>
          <w:color w:val="auto"/>
        </w:rPr>
      </w:pPr>
    </w:p>
    <w:p>
      <w:pPr>
        <w:jc w:val="both"/>
        <w:ind w:right="340" w:firstLine="913"/>
        <w:spacing w:after="0" w:line="31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Effectiveness of this Amendment; Conditions Precedent</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this Amendment shall be deemed to have become effective as of the date first written above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but such effectiveness shall be expressly conditioned upon the Administrative Agent’s receipt of counterparts of this Amendment duly executed by the Borrower, the other Credit Parties and the Required Lenders.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4" w:lineRule="auto"/>
        <w:tabs>
          <w:tab w:leader="none" w:pos="11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Borrower and each other Credit Party hereby represents and warrants that this Amendment and the Credit Agreement as amended hereby (collectively, the “</w:t>
      </w:r>
      <w:r>
        <w:rPr>
          <w:rFonts w:ascii="Arial" w:cs="Arial" w:eastAsia="Arial" w:hAnsi="Arial"/>
          <w:sz w:val="18"/>
          <w:szCs w:val="18"/>
          <w:u w:val="single" w:color="auto"/>
          <w:color w:val="auto"/>
        </w:rPr>
        <w:t>Amendment Documents</w:t>
      </w:r>
      <w:r>
        <w:rPr>
          <w:rFonts w:ascii="Arial" w:cs="Arial" w:eastAsia="Arial" w:hAnsi="Arial"/>
          <w:sz w:val="18"/>
          <w:szCs w:val="18"/>
          <w:color w:val="auto"/>
        </w:rPr>
        <w:t>”) constitute legal, valid and binding obligations of the Borrower and the other Credit Parties enforceable against the Borrower and the other Credit Parties in accordance with their terms.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0" w:name="page51"/>
    <w:bookmarkEnd w:id="50"/>
    <w:p>
      <w:pPr>
        <w:ind w:right="40" w:firstLine="921"/>
        <w:spacing w:after="0" w:line="276" w:lineRule="auto"/>
        <w:tabs>
          <w:tab w:leader="none" w:pos="1168"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and each other Credit Party hereby represents and warrants that its execution and delivery of this Amendment, and the performance of the Amendment Documents, have been duly authorized by all proper corporate or limited liability company action, do not violate any provision of its organizational documents, will not violate any law, regulation, court order or writ applicable to it, and will not require the approval or consent of any governmental agency, or of any other third party under the terms of any contract or agreement to which it or any of its Affiliates is bound (which has not been previously obtained), including without limitation, the Bonding Agreement, the Wells Fargo Documents and the Note Indenture.</w:t>
      </w:r>
    </w:p>
    <w:p>
      <w:pPr>
        <w:spacing w:after="0" w:line="64" w:lineRule="exact"/>
        <w:rPr>
          <w:rFonts w:ascii="Arial" w:cs="Arial" w:eastAsia="Arial" w:hAnsi="Arial"/>
          <w:sz w:val="17"/>
          <w:szCs w:val="17"/>
          <w:color w:val="auto"/>
        </w:rPr>
      </w:pPr>
    </w:p>
    <w:p>
      <w:pPr>
        <w:ind w:right="140" w:firstLine="921"/>
        <w:spacing w:after="0" w:line="276" w:lineRule="auto"/>
        <w:tabs>
          <w:tab w:leader="none" w:pos="11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Borrower and each other Credit Party hereby represents and warrants that before and after giving effect to the provisions of this Amendment, (i) no Default or Event of Default has occurred and is continuing or will have occurred and be continuing and (ii) all of the representations and warranties of the Borrower and each other Credit Party contained in the Credit Agreement and in each other Loan Document (other than representations and warranties which, in accordance with their express terms, are made only as of an earlier specified date) are, and will be, true and correct as of the date of its execution and delivery hereof or thereof in all material respects as though made on and as of such date.</w:t>
      </w:r>
    </w:p>
    <w:p>
      <w:pPr>
        <w:spacing w:after="0" w:line="173"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Reaffirmation, Ratification and Acknowledgment</w:t>
      </w:r>
      <w:r>
        <w:rPr>
          <w:rFonts w:ascii="Arial" w:cs="Arial" w:eastAsia="Arial" w:hAnsi="Arial"/>
          <w:sz w:val="17"/>
          <w:szCs w:val="17"/>
          <w:color w:val="auto"/>
        </w:rPr>
        <w:t>. The Borrower and each other Credit Party hereby (a) ratifies and reaffirms all of its payment and performance obligations, contingent or otherwise, under each Loan Document to which it is a party, (b) agrees and acknowledges that such ratification and reaffirmation is not a condition to the continued effectiveness of such Loan Documents and (c) agrees that neither such ratification and reaffirmation, nor the Administrative Agent’s, or any Lender’s solicitation of such ratification and reaffirmation, constitutes a course of dealing giving rise to any obligation or condition requiring a similar or any other ratification or reaffirmation from the Borrower or such other Credit Parties with respect to any subsequent modifications to the Credit Agreement or the other Loan Documents. Except as modified hereby, the Credit Agreement is in all respects ratified and confirmed, and the Credit Agreement as modified by this Amendment shall be read, taken and so construed as one and the same instrument. Each of the Loan Documents shall remain in full force and effect and are hereby ratified and confirmed. Neither the execution, delivery nor effectiveness of this Amendment shall operate as a waiver of any right, power or remedy of the Administrative Agent or the Lenders, or of any Default or Event of Default (whether or not known to the Administrative Agent or the Lenders), under any of the Loan Documents, except as specifically set forth herein. From and after the effectiveness of this Amendment, (x) each reference in the Credit Agreement to “this Agreement,” “hereunder,” “hereof,” “herein” or words of like import shall mean and be a reference to the Credit Agreement, as amended hereby and (y) all references to the Credit Agreement appearing in any other Loan Document, or any other document, instrument or agreement executed and/or delivered in connection therewith, shall mean and be a reference to the Credit Agreement, as amended hereby.</w:t>
      </w:r>
    </w:p>
    <w:p>
      <w:pPr>
        <w:spacing w:after="0" w:line="18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 OF THE STATE OF NEW YORK.</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Administrative Agent’s Expenses</w:t>
      </w:r>
      <w:r>
        <w:rPr>
          <w:rFonts w:ascii="Arial" w:cs="Arial" w:eastAsia="Arial" w:hAnsi="Arial"/>
          <w:sz w:val="18"/>
          <w:szCs w:val="18"/>
          <w:color w:val="auto"/>
        </w:rPr>
        <w:t>. The Borrower hereby agrees to promptly reimburse the Administrative Agent for all of the reasonable and documented out-of-pocket expenses (including the reasonable fees, charges and disbursements of counsel for the Administrative Agent) it has heretofore or hereafter incurred or incurs in connection with the preparation, negotiation and execution of this Amendment and the other documents, agreements and instruments contemplated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1" w:name="page52"/>
    <w:bookmarkEnd w:id="51"/>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an original and all of which when together shall constitute one and the same agreement among the parties. Delivery of any executed counterpart of a signature page of this Amendment by facsimile or other electronic imaging shall be effective as delivery of a manually executed counterpart hereof.</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274" w:right="4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as of the day and year first above written.</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GREAT LAKES DREDGE &amp; DOCK</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as Borrower</w:t>
      </w:r>
    </w:p>
    <w:p>
      <w:pPr>
        <w:spacing w:after="0" w:line="224"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Roman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Roman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Treasurer</w:t>
            </w:r>
          </w:p>
        </w:tc>
      </w:tr>
    </w:tbl>
    <w:p>
      <w:pPr>
        <w:spacing w:after="0" w:line="19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GREAT LAKES DREDGE &amp; DOCK</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ENVIRONMENTAL, INC.</w:t>
      </w:r>
      <w:r>
        <w:rPr>
          <w:rFonts w:ascii="Arial" w:cs="Arial" w:eastAsia="Arial" w:hAnsi="Arial"/>
          <w:sz w:val="18"/>
          <w:szCs w:val="18"/>
          <w:color w:val="auto"/>
        </w:rPr>
        <w:t>, as a Credit Party</w:t>
      </w:r>
    </w:p>
    <w:p>
      <w:pPr>
        <w:spacing w:after="0" w:line="224"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Katherine M. Hayes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Katherine M. Hayes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Treasurer</w:t>
            </w:r>
          </w:p>
        </w:tc>
      </w:tr>
    </w:tbl>
    <w:p>
      <w:pPr>
        <w:spacing w:after="0" w:line="19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GREAT LAKES DREDGE &amp; DOCK</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COMPANY, LLC</w:t>
      </w:r>
      <w:r>
        <w:rPr>
          <w:rFonts w:ascii="Arial" w:cs="Arial" w:eastAsia="Arial" w:hAnsi="Arial"/>
          <w:sz w:val="18"/>
          <w:szCs w:val="18"/>
          <w:color w:val="auto"/>
        </w:rPr>
        <w:t>, as a Credit Party</w:t>
      </w:r>
    </w:p>
    <w:p>
      <w:pPr>
        <w:spacing w:after="0" w:line="224"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Roman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Roman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Treasurer</w:t>
            </w:r>
          </w:p>
        </w:tc>
      </w:tr>
    </w:tbl>
    <w:p>
      <w:pPr>
        <w:spacing w:after="0" w:line="19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DAWSON MARINE SERVICES COMPANY</w:t>
      </w:r>
      <w:r>
        <w:rPr>
          <w:rFonts w:ascii="Arial" w:cs="Arial" w:eastAsia="Arial" w:hAnsi="Arial"/>
          <w:sz w:val="18"/>
          <w:szCs w:val="18"/>
          <w:color w:val="auto"/>
        </w:rPr>
        <w:t>, as a Credit</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Catherine M. Hoffman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Catherine M. Hoffman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xml:space="preserve">NASDI HOLDINGS CORPORATION, </w:t>
      </w:r>
      <w:r>
        <w:rPr>
          <w:rFonts w:ascii="Arial" w:cs="Arial" w:eastAsia="Arial" w:hAnsi="Arial"/>
          <w:sz w:val="18"/>
          <w:szCs w:val="18"/>
          <w:color w:val="auto"/>
        </w:rPr>
        <w:t>as a</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Credit Party</w:t>
      </w:r>
    </w:p>
    <w:p>
      <w:pPr>
        <w:spacing w:after="0" w:line="224"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Katherine M. Hayes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Katherine M. Hayes</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Treasurer</w:t>
            </w:r>
          </w:p>
        </w:tc>
      </w:tr>
      <w:tr>
        <w:trPr>
          <w:trHeight w:val="593"/>
        </w:trPr>
        <w:tc>
          <w:tcPr>
            <w:tcW w:w="540" w:type="dxa"/>
            <w:vAlign w:val="bottom"/>
          </w:tcPr>
          <w:p>
            <w:pPr>
              <w:spacing w:after="0"/>
              <w:rPr>
                <w:sz w:val="24"/>
                <w:szCs w:val="24"/>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Signature Page to</w:t>
            </w:r>
          </w:p>
        </w:tc>
      </w:tr>
      <w:tr>
        <w:trPr>
          <w:trHeight w:val="230"/>
        </w:trPr>
        <w:tc>
          <w:tcPr>
            <w:tcW w:w="540" w:type="dxa"/>
            <w:vAlign w:val="bottom"/>
          </w:tcPr>
          <w:p>
            <w:pPr>
              <w:spacing w:after="0"/>
              <w:rPr>
                <w:sz w:val="20"/>
                <w:szCs w:val="20"/>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Amendment No.4 to GLDD Credit Agreement</w:t>
            </w:r>
          </w:p>
        </w:tc>
      </w:tr>
    </w:tbl>
    <w:p>
      <w:pPr>
        <w:sectPr>
          <w:pgSz w:w="11900" w:h="16838" w:orient="portrait"/>
          <w:cols w:equalWidth="0" w:num="1">
            <w:col w:w="10500"/>
          </w:cols>
          <w:pgMar w:left="1160" w:top="274" w:right="239" w:bottom="1440" w:gutter="0" w:footer="0" w:header="0"/>
        </w:sectPr>
      </w:pPr>
    </w:p>
    <w:bookmarkStart w:id="53" w:name="page54"/>
    <w:bookmarkEnd w:id="5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NASDI, LLC</w:t>
      </w:r>
      <w:r>
        <w:rPr>
          <w:rFonts w:ascii="Arial" w:cs="Arial" w:eastAsia="Arial" w:hAnsi="Arial"/>
          <w:sz w:val="18"/>
          <w:szCs w:val="18"/>
          <w:color w:val="auto"/>
        </w:rPr>
        <w:t>, as a Credit Party</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Katherine M. Hayes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Katherine M. Hayes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Treasurer</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FIFTY-THREE DREDGING CORPORATION</w:t>
      </w:r>
      <w:r>
        <w:rPr>
          <w:rFonts w:ascii="Arial" w:cs="Arial" w:eastAsia="Arial" w:hAnsi="Arial"/>
          <w:sz w:val="17"/>
          <w:szCs w:val="17"/>
          <w:color w:val="auto"/>
        </w:rPr>
        <w:t>, as a Credit</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Paul E. Dinquel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Paul E. Dinquel</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YANKEE ENVIRONMENTAL SERVICES, LLC</w:t>
      </w:r>
      <w:r>
        <w:rPr>
          <w:rFonts w:ascii="Arial" w:cs="Arial" w:eastAsia="Arial" w:hAnsi="Arial"/>
          <w:sz w:val="18"/>
          <w:szCs w:val="18"/>
          <w:color w:val="auto"/>
        </w:rPr>
        <w:t>, 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Credit Party</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Katherine M. Hayes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Katherine M. Hayes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Treasurer</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TERRA CONTRACTING SERVICES, LLC</w:t>
      </w:r>
      <w:r>
        <w:rPr>
          <w:rFonts w:ascii="Arial" w:cs="Arial" w:eastAsia="Arial" w:hAnsi="Arial"/>
          <w:sz w:val="18"/>
          <w:szCs w:val="18"/>
          <w:color w:val="auto"/>
        </w:rPr>
        <w:t>, as a Credit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Katherine M. Hayes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Katherine M. Hayes</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Treasurer</w:t>
            </w:r>
          </w:p>
        </w:tc>
      </w:tr>
      <w:tr>
        <w:trPr>
          <w:trHeight w:val="350"/>
        </w:trPr>
        <w:tc>
          <w:tcPr>
            <w:tcW w:w="540" w:type="dxa"/>
            <w:vAlign w:val="bottom"/>
          </w:tcPr>
          <w:p>
            <w:pPr>
              <w:spacing w:after="0"/>
              <w:rPr>
                <w:sz w:val="24"/>
                <w:szCs w:val="24"/>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Signature Page to</w:t>
            </w:r>
          </w:p>
        </w:tc>
      </w:tr>
      <w:tr>
        <w:trPr>
          <w:trHeight w:val="230"/>
        </w:trPr>
        <w:tc>
          <w:tcPr>
            <w:tcW w:w="540" w:type="dxa"/>
            <w:vAlign w:val="bottom"/>
          </w:tcPr>
          <w:p>
            <w:pPr>
              <w:spacing w:after="0"/>
              <w:rPr>
                <w:sz w:val="20"/>
                <w:szCs w:val="20"/>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Amendment No.4 to GLDD Credit Agreement</w:t>
            </w:r>
          </w:p>
        </w:tc>
      </w:tr>
    </w:tbl>
    <w:p>
      <w:pPr>
        <w:sectPr>
          <w:pgSz w:w="11900" w:h="16838" w:orient="portrait"/>
          <w:cols w:equalWidth="0" w:num="1">
            <w:col w:w="10220"/>
          </w:cols>
          <w:pgMar w:left="1440" w:top="270" w:right="239" w:bottom="1440" w:gutter="0" w:footer="0" w:header="0"/>
        </w:sectPr>
      </w:pPr>
    </w:p>
    <w:bookmarkStart w:id="54" w:name="page55"/>
    <w:bookmarkEnd w:id="5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BANK, NATIONAL</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ASSOCIATION</w:t>
      </w:r>
      <w:r>
        <w:rPr>
          <w:rFonts w:ascii="Arial" w:cs="Arial" w:eastAsia="Arial" w:hAnsi="Arial"/>
          <w:sz w:val="17"/>
          <w:szCs w:val="17"/>
          <w:color w:val="auto"/>
        </w:rPr>
        <w:t>, as Administrative Agent and as a Lender</w:t>
      </w:r>
    </w:p>
    <w:p>
      <w:pPr>
        <w:spacing w:after="0" w:line="236"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Sushim Shah</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Sushim Shah</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VP</w:t>
            </w:r>
          </w:p>
        </w:tc>
      </w:tr>
      <w:tr>
        <w:trPr>
          <w:trHeight w:val="350"/>
        </w:trPr>
        <w:tc>
          <w:tcPr>
            <w:tcW w:w="540" w:type="dxa"/>
            <w:vAlign w:val="bottom"/>
          </w:tcPr>
          <w:p>
            <w:pPr>
              <w:spacing w:after="0"/>
              <w:rPr>
                <w:sz w:val="24"/>
                <w:szCs w:val="24"/>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Signature Page to</w:t>
            </w:r>
          </w:p>
        </w:tc>
      </w:tr>
      <w:tr>
        <w:trPr>
          <w:trHeight w:val="230"/>
        </w:trPr>
        <w:tc>
          <w:tcPr>
            <w:tcW w:w="540" w:type="dxa"/>
            <w:vAlign w:val="bottom"/>
          </w:tcPr>
          <w:p>
            <w:pPr>
              <w:spacing w:after="0"/>
              <w:rPr>
                <w:sz w:val="20"/>
                <w:szCs w:val="20"/>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Amendment No.4 to GLDD Credit Agreement</w:t>
            </w:r>
          </w:p>
        </w:tc>
      </w:tr>
    </w:tbl>
    <w:p>
      <w:pPr>
        <w:sectPr>
          <w:pgSz w:w="11900" w:h="16838" w:orient="portrait"/>
          <w:cols w:equalWidth="0" w:num="1">
            <w:col w:w="10220"/>
          </w:cols>
          <w:pgMar w:left="1440" w:top="270" w:right="239" w:bottom="1440" w:gutter="0" w:footer="0" w:header="0"/>
        </w:sectPr>
      </w:pPr>
    </w:p>
    <w:bookmarkStart w:id="55" w:name="page56"/>
    <w:bookmarkEnd w:id="5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Jonathan M. Phillips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Jonathan M. Phillips</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Senior Vice President</w:t>
            </w:r>
          </w:p>
        </w:tc>
      </w:tr>
      <w:tr>
        <w:trPr>
          <w:trHeight w:val="350"/>
        </w:trPr>
        <w:tc>
          <w:tcPr>
            <w:tcW w:w="540" w:type="dxa"/>
            <w:vAlign w:val="bottom"/>
          </w:tcPr>
          <w:p>
            <w:pPr>
              <w:spacing w:after="0"/>
              <w:rPr>
                <w:sz w:val="24"/>
                <w:szCs w:val="24"/>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Signature Page to</w:t>
            </w:r>
          </w:p>
        </w:tc>
      </w:tr>
      <w:tr>
        <w:trPr>
          <w:trHeight w:val="230"/>
        </w:trPr>
        <w:tc>
          <w:tcPr>
            <w:tcW w:w="540" w:type="dxa"/>
            <w:vAlign w:val="bottom"/>
          </w:tcPr>
          <w:p>
            <w:pPr>
              <w:spacing w:after="0"/>
              <w:rPr>
                <w:sz w:val="20"/>
                <w:szCs w:val="20"/>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Amendment No.4 to GLDD Credit Agreement</w:t>
            </w:r>
          </w:p>
        </w:tc>
      </w:tr>
    </w:tbl>
    <w:p>
      <w:pPr>
        <w:sectPr>
          <w:pgSz w:w="11900" w:h="16838" w:orient="portrait"/>
          <w:cols w:equalWidth="0" w:num="1">
            <w:col w:w="10220"/>
          </w:cols>
          <w:pgMar w:left="1440" w:top="270" w:right="239" w:bottom="1440" w:gutter="0" w:footer="0" w:header="0"/>
        </w:sectPr>
      </w:pPr>
    </w:p>
    <w:bookmarkStart w:id="56" w:name="page57"/>
    <w:bookmarkEnd w:id="5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PNC BANK, NATIONAL ASSOCIATION</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Patrick Flaherty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Patrick Flaherty</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50"/>
        </w:trPr>
        <w:tc>
          <w:tcPr>
            <w:tcW w:w="540" w:type="dxa"/>
            <w:vAlign w:val="bottom"/>
          </w:tcPr>
          <w:p>
            <w:pPr>
              <w:spacing w:after="0"/>
              <w:rPr>
                <w:sz w:val="24"/>
                <w:szCs w:val="24"/>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Signature Page to</w:t>
            </w:r>
          </w:p>
        </w:tc>
      </w:tr>
      <w:tr>
        <w:trPr>
          <w:trHeight w:val="230"/>
        </w:trPr>
        <w:tc>
          <w:tcPr>
            <w:tcW w:w="540" w:type="dxa"/>
            <w:vAlign w:val="bottom"/>
          </w:tcPr>
          <w:p>
            <w:pPr>
              <w:spacing w:after="0"/>
              <w:rPr>
                <w:sz w:val="20"/>
                <w:szCs w:val="20"/>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Amendment No.4 to GLDD Credit Agreement</w:t>
            </w:r>
          </w:p>
        </w:tc>
      </w:tr>
    </w:tbl>
    <w:p>
      <w:pPr>
        <w:sectPr>
          <w:pgSz w:w="11900" w:h="16838" w:orient="portrait"/>
          <w:cols w:equalWidth="0" w:num="1">
            <w:col w:w="10220"/>
          </w:cols>
          <w:pgMar w:left="1440" w:top="270" w:right="239" w:bottom="1440" w:gutter="0" w:footer="0" w:header="0"/>
        </w:sectPr>
      </w:pPr>
    </w:p>
    <w:bookmarkStart w:id="57" w:name="page58"/>
    <w:bookmarkEnd w:id="5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BMO HARRIS FINANCING, INC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John Armstrong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John Armstrong</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r>
      <w:tr>
        <w:trPr>
          <w:trHeight w:val="350"/>
        </w:trPr>
        <w:tc>
          <w:tcPr>
            <w:tcW w:w="540" w:type="dxa"/>
            <w:vAlign w:val="bottom"/>
          </w:tcPr>
          <w:p>
            <w:pPr>
              <w:spacing w:after="0"/>
              <w:rPr>
                <w:sz w:val="24"/>
                <w:szCs w:val="24"/>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Signature Page to</w:t>
            </w:r>
          </w:p>
        </w:tc>
      </w:tr>
      <w:tr>
        <w:trPr>
          <w:trHeight w:val="230"/>
        </w:trPr>
        <w:tc>
          <w:tcPr>
            <w:tcW w:w="540" w:type="dxa"/>
            <w:vAlign w:val="bottom"/>
          </w:tcPr>
          <w:p>
            <w:pPr>
              <w:spacing w:after="0"/>
              <w:rPr>
                <w:sz w:val="20"/>
                <w:szCs w:val="20"/>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Amendment No.4 to GLDD Credit Agreement</w:t>
            </w:r>
          </w:p>
        </w:tc>
      </w:tr>
    </w:tbl>
    <w:p>
      <w:pPr>
        <w:sectPr>
          <w:pgSz w:w="11900" w:h="16838" w:orient="portrait"/>
          <w:cols w:equalWidth="0" w:num="1">
            <w:col w:w="10220"/>
          </w:cols>
          <w:pgMar w:left="1440" w:top="270" w:right="239" w:bottom="1440" w:gutter="0" w:footer="0" w:header="0"/>
        </w:sectPr>
      </w:pPr>
    </w:p>
    <w:bookmarkStart w:id="58" w:name="page59"/>
    <w:bookmarkEnd w:id="5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THIRD BANK</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Robert R. Mangers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Robert R. Mangers</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50"/>
        </w:trPr>
        <w:tc>
          <w:tcPr>
            <w:tcW w:w="540" w:type="dxa"/>
            <w:vAlign w:val="bottom"/>
          </w:tcPr>
          <w:p>
            <w:pPr>
              <w:spacing w:after="0"/>
              <w:rPr>
                <w:sz w:val="24"/>
                <w:szCs w:val="24"/>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Signature Page to</w:t>
            </w:r>
          </w:p>
        </w:tc>
      </w:tr>
      <w:tr>
        <w:trPr>
          <w:trHeight w:val="230"/>
        </w:trPr>
        <w:tc>
          <w:tcPr>
            <w:tcW w:w="540" w:type="dxa"/>
            <w:vAlign w:val="bottom"/>
          </w:tcPr>
          <w:p>
            <w:pPr>
              <w:spacing w:after="0"/>
              <w:rPr>
                <w:sz w:val="20"/>
                <w:szCs w:val="20"/>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Amendment No.4 to GLDD Credit Agreement</w:t>
            </w:r>
          </w:p>
        </w:tc>
      </w:tr>
    </w:tbl>
    <w:p>
      <w:pPr>
        <w:sectPr>
          <w:pgSz w:w="11900" w:h="16838" w:orient="portrait"/>
          <w:cols w:equalWidth="0" w:num="1">
            <w:col w:w="10220"/>
          </w:cols>
          <w:pgMar w:left="1440" w:top="270" w:right="239" w:bottom="1440" w:gutter="0" w:footer="0" w:header="0"/>
        </w:sectPr>
      </w:pPr>
    </w:p>
    <w:bookmarkStart w:id="59" w:name="page60"/>
    <w:bookmarkEnd w:id="5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Mary Kay Coyle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Mary Kay Coyle</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Managing Director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Peter Cucchiara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Peter Cucchiara</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50"/>
        </w:trPr>
        <w:tc>
          <w:tcPr>
            <w:tcW w:w="540" w:type="dxa"/>
            <w:vAlign w:val="bottom"/>
          </w:tcPr>
          <w:p>
            <w:pPr>
              <w:spacing w:after="0"/>
              <w:rPr>
                <w:sz w:val="24"/>
                <w:szCs w:val="24"/>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Signature Page to</w:t>
            </w:r>
          </w:p>
        </w:tc>
      </w:tr>
      <w:tr>
        <w:trPr>
          <w:trHeight w:val="230"/>
        </w:trPr>
        <w:tc>
          <w:tcPr>
            <w:tcW w:w="540" w:type="dxa"/>
            <w:vAlign w:val="bottom"/>
          </w:tcPr>
          <w:p>
            <w:pPr>
              <w:spacing w:after="0"/>
              <w:rPr>
                <w:sz w:val="20"/>
                <w:szCs w:val="20"/>
                <w:color w:val="auto"/>
              </w:rPr>
            </w:pPr>
          </w:p>
        </w:tc>
        <w:tc>
          <w:tcPr>
            <w:tcW w:w="4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Amendment No.4 to GLDD Credit Agreement</w:t>
            </w:r>
          </w:p>
        </w:tc>
      </w:tr>
    </w:tbl>
    <w:p>
      <w:pPr>
        <w:sectPr>
          <w:pgSz w:w="11900" w:h="16838" w:orient="portrait"/>
          <w:cols w:equalWidth="0" w:num="1">
            <w:col w:w="10220"/>
          </w:cols>
          <w:pgMar w:left="1440" w:top="27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Second Rider to General Agreement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51510" cy="4800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1510" cy="48006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with respect to NASDI/ Yankee Transferred Bonds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GIA: September 7,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RIDER: April 23, 2014</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SECOND RIDER TO THE GENERAL AGREEMENT OF INDEMNITY WITH RESPECT TO NASDI/ YANKEE TRANSFERRED BONDS (“RIDER”), shall be attached to and incorporated into the General Agreement of Indemnity (“GIA”), dated as of the date set forth above which has been executed by GREAT LAKES DREDGE &amp; DOCK CORPORATION (“GLDD”), GREAT LAKES DREDGE &amp; DOCK COMPANY, LLC, LYDON DREDGING &amp; CONSTRUCTION COMPANY, LTD., FIFTY-THREE DREDGING CORPORATION, DAWSON MARINE SERVICES COMPANY, GREAT LAKES DREDGE &amp; DOCK ENVIRONMENTAL, INC. (f/k/a Great Lakes Caribbean Dredging, Inc.), NASDI, LLC, NASDI HOLDINGS CORPORATION, YANKEE ENVIRONMENTAL SERVICES, LLC. and GREAT LAKES DREDGE &amp; DOCK (BAHAMAS) LTD., as Contractors and Indemnitors (“Indemnitors”), on behalf of ZURICH AMERICAN INSURANCE COMPANY and its Subsidiaries and Affiliates in any jurisdiction, including, but not limited to FIDELITY AND DEPOSIT COMPANY OF MARYLAND, COLONIAL AMERICAN CASUALTY AND SURETY COMPANY, and AMERICAN GUARANTEE AND LIABILITY INSURANCE COMPANY, their successors and assigns (“Surety”) (individually and collectively “Surety”).</w:t>
      </w:r>
    </w:p>
    <w:p>
      <w:pPr>
        <w:spacing w:after="0" w:line="18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Indemnitors have requested that Surety (i) consent to the sale of NASDI, LLC (“NASDI”) and Yankee Environmental Services, LLC (“Yankee”), (ii) release and discharge NASDI and Yankee from the GLDD Bonding Agreements and their respective duties, obligations and liabilities thereunder, (iii) release and terminate all of its security interests in and liens on the property and assets of NASDI and Yankee granted under the GLDD Bonding Agreements and</w:t>
      </w:r>
    </w:p>
    <w:p>
      <w:pPr>
        <w:ind w:right="520" w:firstLine="8"/>
        <w:spacing w:after="0" w:line="261" w:lineRule="auto"/>
        <w:tabs>
          <w:tab w:leader="none" w:pos="3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agree that Indemnitors’ liability under the GLDD Bonding Agreements be released or transferred with respect to the Transferred Bonds (as defined below); and</w:t>
      </w:r>
    </w:p>
    <w:p>
      <w:pPr>
        <w:spacing w:after="0" w:line="18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Surety is willing to (i) consent to the sale of NASDI and Yankee, (ii) release and discharge NASDI and Yankee from the GLDD Bonding Agreements and their respective duties, obligations and liabilities thereunder, (iii) release and terminate all of its security interests in and liens on the property and assets of NASDI and Yankee granted under the GLDD Bonding Agreements and (iv) consent to the limited release of Indemnitors’ liability for the Transferred Bonds under the GLDD Bonding Agreements in exchange for and on the condition (a) of the transfer of GLDD’s obligations with respect to the Transferred Bonds from the GLDD Bonding Agreements to the separate GLDD Guarantee for Transferred Bonds (as defined below) in accordance with this Rider and (b) that, as of the closing of the Permitted Sale (as defined below), Dore &amp; Associates Contracting, Inc. (“Dore”), the Purchaser (as defined below), NASDI, Yankee and the other subsidiaries and affiliates of Dore party thereto as “Indemnitors” execute a new General Indemnity Agreement with respect to the Transferred Bonds, together with other underwriting conditions and security required by Surety and set forth herein.</w:t>
      </w:r>
    </w:p>
    <w:p>
      <w:pPr>
        <w:spacing w:after="0" w:line="16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an inducement to Surety to issue or refrain from cancelling Transferred Bonds, to release and discharge NASDI and Yankee from the GLDD Bonding Agreements and their respective duties, obligations and liabilities thereunder, to release and terminate all of its security interests in and liens on the property and assets of NASDI and Yankee granted under the GLDD Bonding Agreements, to release the liability of Indemnitors for the Transferred Bonds under the GLDD Bonding Agreements and to accept the GLDD Guarantee for Transferred Bonds in lieu of Indemnitors’ indemnity for the Transferred Bonds, Indemnitors represent and agree for themselves, their heirs, executors, administrators, successors and assigns, jointly and severally, as follows:</w:t>
      </w:r>
    </w:p>
    <w:p>
      <w:pPr>
        <w:spacing w:after="0" w:line="46" w:lineRule="exact"/>
        <w:rPr>
          <w:sz w:val="20"/>
          <w:szCs w:val="20"/>
          <w:color w:val="auto"/>
        </w:rPr>
      </w:pPr>
    </w:p>
    <w:p>
      <w:pPr>
        <w:ind w:right="20" w:firstLine="8"/>
        <w:spacing w:after="0" w:line="298"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SCOPE: </w:t>
      </w:r>
      <w:r>
        <w:rPr>
          <w:rFonts w:ascii="Arial" w:cs="Arial" w:eastAsia="Arial" w:hAnsi="Arial"/>
          <w:sz w:val="16"/>
          <w:szCs w:val="16"/>
          <w:color w:val="auto"/>
        </w:rPr>
        <w:t>Except as otherwise stated in the Release of NASDI and Yankee in Section 4 below, this Rider applies only to the transferred bonds set forth on</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A, List of Transferred Bonds, which is attached to this Rider and incorporated by reference, including all renewals, extensions, modifications, replacements or substitutions thereof (collectively, the “Transferred Bonds” and each individually a “Transferred Bond”). This Rider does not cover any other bond which Surety may issue for GLDD or others which is not a Transferred Bond (the “Non-Transferred Bonds”), and with respect to those Non-Transferred Bonds, the GLDD Bonding Agreements remain in full force and effect, subject to the Release of NASDI and Yankee set forth in Section 4 below.</w:t>
      </w:r>
    </w:p>
    <w:p>
      <w:pPr>
        <w:spacing w:after="0" w:line="46" w:lineRule="exact"/>
        <w:rPr>
          <w:rFonts w:ascii="Arial" w:cs="Arial" w:eastAsia="Arial" w:hAnsi="Arial"/>
          <w:sz w:val="16"/>
          <w:szCs w:val="16"/>
          <w:color w:val="auto"/>
        </w:rPr>
      </w:pPr>
    </w:p>
    <w:p>
      <w:pPr>
        <w:ind w:firstLine="8"/>
        <w:spacing w:after="0" w:line="298"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PERMITTED SALE: </w:t>
      </w:r>
      <w:r>
        <w:rPr>
          <w:rFonts w:ascii="Arial" w:cs="Arial" w:eastAsia="Arial" w:hAnsi="Arial"/>
          <w:sz w:val="16"/>
          <w:szCs w:val="16"/>
          <w:color w:val="auto"/>
        </w:rPr>
        <w:t>Pursuant to the Ownership Interest Purchase Agreement dated as of April 23, 2014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by and among</w:t>
      </w:r>
      <w:r>
        <w:rPr>
          <w:rFonts w:ascii="Arial" w:cs="Arial" w:eastAsia="Arial" w:hAnsi="Arial"/>
          <w:sz w:val="16"/>
          <w:szCs w:val="16"/>
          <w:b w:val="1"/>
          <w:bCs w:val="1"/>
          <w:color w:val="auto"/>
        </w:rPr>
        <w:t xml:space="preserve"> </w:t>
      </w:r>
      <w:r>
        <w:rPr>
          <w:rFonts w:ascii="Arial" w:cs="Arial" w:eastAsia="Arial" w:hAnsi="Arial"/>
          <w:sz w:val="16"/>
          <w:szCs w:val="16"/>
          <w:color w:val="auto"/>
        </w:rPr>
        <w:t>North American Leasing, Inc. a Michigan corporation (the “</w:t>
      </w:r>
      <w:r>
        <w:rPr>
          <w:rFonts w:ascii="Arial" w:cs="Arial" w:eastAsia="Arial" w:hAnsi="Arial"/>
          <w:sz w:val="16"/>
          <w:szCs w:val="16"/>
          <w:u w:val="single" w:color="auto"/>
          <w:color w:val="auto"/>
        </w:rPr>
        <w:t>Purchaser</w:t>
      </w:r>
      <w:r>
        <w:rPr>
          <w:rFonts w:ascii="Arial" w:cs="Arial" w:eastAsia="Arial" w:hAnsi="Arial"/>
          <w:sz w:val="16"/>
          <w:szCs w:val="16"/>
          <w:color w:val="auto"/>
        </w:rPr>
        <w:t>”), NASDI Holdings Corporation, (“</w:t>
      </w:r>
      <w:r>
        <w:rPr>
          <w:rFonts w:ascii="Arial" w:cs="Arial" w:eastAsia="Arial" w:hAnsi="Arial"/>
          <w:sz w:val="16"/>
          <w:szCs w:val="16"/>
          <w:u w:val="single" w:color="auto"/>
          <w:color w:val="auto"/>
        </w:rPr>
        <w:t>NASDI Holdings</w:t>
      </w:r>
      <w:r>
        <w:rPr>
          <w:rFonts w:ascii="Arial" w:cs="Arial" w:eastAsia="Arial" w:hAnsi="Arial"/>
          <w:sz w:val="16"/>
          <w:szCs w:val="16"/>
          <w:color w:val="auto"/>
        </w:rPr>
        <w:t>”), GLDD, Yankee and NASDI, the Purchaser will purchase from NASDI Holdings, and NASDI Holdings will sell, convey, assign, transfer and deliver to the Purchaser, all of the ownership interests of NASDI and Yankee, as provided in the Purchase Agreement (the “</w:t>
      </w:r>
      <w:r>
        <w:rPr>
          <w:rFonts w:ascii="Arial" w:cs="Arial" w:eastAsia="Arial" w:hAnsi="Arial"/>
          <w:sz w:val="16"/>
          <w:szCs w:val="16"/>
          <w:u w:val="single" w:color="auto"/>
          <w:color w:val="auto"/>
        </w:rPr>
        <w:t>Permitted Sale</w:t>
      </w:r>
      <w:r>
        <w:rPr>
          <w:rFonts w:ascii="Arial" w:cs="Arial" w:eastAsia="Arial" w:hAnsi="Arial"/>
          <w:sz w:val="16"/>
          <w:szCs w:val="16"/>
          <w:color w:val="auto"/>
        </w:rPr>
        <w:t>”). The Surety consents to such Permitted Sale and acknowledges and agrees that the consummation of the Permitted Sale shall not constitute an “Event of Default” under the GLDD Bonding Agreements.</w:t>
      </w:r>
    </w:p>
    <w:p>
      <w:pPr>
        <w:sectPr>
          <w:pgSz w:w="11900" w:h="16838" w:orient="portrait"/>
          <w:cols w:equalWidth="0" w:num="1">
            <w:col w:w="11420"/>
          </w:cols>
          <w:pgMar w:left="240" w:top="121" w:right="239" w:bottom="1440" w:gutter="0" w:footer="0" w:header="0"/>
        </w:sectPr>
      </w:pPr>
    </w:p>
    <w:bookmarkStart w:id="61" w:name="page62"/>
    <w:bookmarkEnd w:id="61"/>
    <w:p>
      <w:pPr>
        <w:ind w:right="220"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Permitted Sale, Surety requests that Indemnitors execute and deliver to Surety this Rider and the other documents required below, simultaneously with the closing of the Permitted Sale.</w:t>
      </w:r>
    </w:p>
    <w:p>
      <w:pPr>
        <w:spacing w:after="0" w:line="58"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RELEASE OF NASDI AND YANKEE FROM THE GLDD BONDING AGREEMENTS</w:t>
      </w:r>
      <w:r>
        <w:rPr>
          <w:rFonts w:ascii="Arial" w:cs="Arial" w:eastAsia="Arial" w:hAnsi="Arial"/>
          <w:sz w:val="17"/>
          <w:szCs w:val="17"/>
          <w:color w:val="auto"/>
        </w:rPr>
        <w:t>: Effective as of the closing of the Permitted Sale, Surety</w:t>
      </w:r>
    </w:p>
    <w:p>
      <w:pPr>
        <w:spacing w:after="0" w:line="38" w:lineRule="exact"/>
        <w:rPr>
          <w:rFonts w:ascii="Arial" w:cs="Arial" w:eastAsia="Arial" w:hAnsi="Arial"/>
          <w:sz w:val="17"/>
          <w:szCs w:val="17"/>
          <w:color w:val="auto"/>
        </w:rPr>
      </w:pPr>
    </w:p>
    <w:p>
      <w:pPr>
        <w:spacing w:after="0" w:line="251" w:lineRule="auto"/>
        <w:rPr>
          <w:rFonts w:ascii="Arial" w:cs="Arial" w:eastAsia="Arial" w:hAnsi="Arial"/>
          <w:sz w:val="17"/>
          <w:szCs w:val="17"/>
          <w:color w:val="auto"/>
        </w:rPr>
      </w:pPr>
      <w:r>
        <w:rPr>
          <w:rFonts w:ascii="Arial" w:cs="Arial" w:eastAsia="Arial" w:hAnsi="Arial"/>
          <w:sz w:val="18"/>
          <w:szCs w:val="18"/>
          <w:color w:val="auto"/>
        </w:rPr>
        <w:t xml:space="preserve">(i) releases and discharges NASDI and Yankee from the GLDD Bonding Agreements, and from all obligations and Loss under the GLDD Bonding Agreements, and (ii) releases and terminates all of its security interests in and liens on the property and assets of NASDI and Yankee granted under the GLDD Bonding Agreements, in each case, on the condition that (a) NASDI and Yankee execute the Dore Agreement to transfer their obligations under the GLDD Bonding Agreements to the Dore Agreement with respect to the Transferred Bonds; (b) GLDD execute the GLDD Guarantee for Transferred Bonds to transfer GLDD’s obligations under the GLDD Bonding Agreements with respect to the Transferred Bonds to the GLDD Guarantee for Transferred Bonds; and (c) the Administrative Agent’s execution of its Release and Termination with respect to the Permitted Sale. The release and discharge of NASDI and Yankee set forth in this Section 4, once the Dore Agreement is executed, applies to all Bonds issued under the GIA and is not limited to the Transferred Bonds;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nothing in this Section 4 is intended to or does release and discharge NASDI and Yankee from their obligations with respect to the Transferred Bonds in accordance with the Dore Agreement and such obligations shall be novated with NASDI’s and Yankee’s execution of the Dore Agreement.</w:t>
      </w:r>
    </w:p>
    <w:p>
      <w:pPr>
        <w:spacing w:after="0" w:line="85" w:lineRule="exact"/>
        <w:rPr>
          <w:rFonts w:ascii="Arial" w:cs="Arial" w:eastAsia="Arial" w:hAnsi="Arial"/>
          <w:sz w:val="17"/>
          <w:szCs w:val="17"/>
          <w:color w:val="auto"/>
        </w:rPr>
      </w:pPr>
    </w:p>
    <w:p>
      <w:pPr>
        <w:ind w:right="40" w:firstLine="8"/>
        <w:spacing w:after="0" w:line="295"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RELEASE OF GLDD AND ALL OTHER INDEMNITORS WITH RESPECT TO THE TRANSFERRED BONDS</w:t>
      </w:r>
      <w:r>
        <w:rPr>
          <w:rFonts w:ascii="Arial" w:cs="Arial" w:eastAsia="Arial" w:hAnsi="Arial"/>
          <w:sz w:val="16"/>
          <w:szCs w:val="16"/>
          <w:color w:val="auto"/>
        </w:rPr>
        <w:t>: Effective as of the closing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Permitted Sale, Surety (i) releases GLDD and the other Indemnitors from the GLDD Bonding Agreements, and from all obligations and Loss under the GLDD Bonding Agreements, with respect to the Transferred Bonds, and (ii) agrees that the Transferred Bonds shall not constitute “Bonds” under and for all purposes of the GLDD Bonding Agreements, in each case, on the condition that (a) GLDD execute the GLDD Guarantee for Transferred Bonds to transfer GLDD’s obligations under the GLDD Bonding Agreements to the GLDD Guarantee for Transferred Bonds and that (b) NASDI and Yankee execute the Dore Agreement to transfer NASDI and Yankee’s obligations under the GLDD Bonding Agreements to the Dore Agreement with respect to the Transferred Bonds.</w:t>
      </w:r>
    </w:p>
    <w:p>
      <w:pPr>
        <w:spacing w:after="0" w:line="47" w:lineRule="exact"/>
        <w:rPr>
          <w:rFonts w:ascii="Arial" w:cs="Arial" w:eastAsia="Arial" w:hAnsi="Arial"/>
          <w:sz w:val="16"/>
          <w:szCs w:val="16"/>
          <w:color w:val="auto"/>
        </w:rPr>
      </w:pPr>
    </w:p>
    <w:p>
      <w:pPr>
        <w:ind w:right="40" w:firstLine="8"/>
        <w:spacing w:after="0" w:line="282"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Rider shall be governed by and interpreted under the laws of the State of New York, without regard to principles of conflicts of</w:t>
      </w:r>
      <w:r>
        <w:rPr>
          <w:rFonts w:ascii="Arial" w:cs="Arial" w:eastAsia="Arial" w:hAnsi="Arial"/>
          <w:sz w:val="18"/>
          <w:szCs w:val="18"/>
          <w:b w:val="1"/>
          <w:bCs w:val="1"/>
          <w:color w:val="auto"/>
        </w:rPr>
        <w:t xml:space="preserve"> </w:t>
      </w:r>
      <w:r>
        <w:rPr>
          <w:rFonts w:ascii="Arial" w:cs="Arial" w:eastAsia="Arial" w:hAnsi="Arial"/>
          <w:sz w:val="18"/>
          <w:szCs w:val="18"/>
          <w:color w:val="auto"/>
        </w:rPr>
        <w:t>laws.</w:t>
      </w:r>
    </w:p>
    <w:p>
      <w:pPr>
        <w:spacing w:after="0" w:line="53" w:lineRule="exact"/>
        <w:rPr>
          <w:rFonts w:ascii="Arial" w:cs="Arial" w:eastAsia="Arial" w:hAnsi="Arial"/>
          <w:sz w:val="18"/>
          <w:szCs w:val="18"/>
          <w:color w:val="auto"/>
        </w:rPr>
      </w:pPr>
    </w:p>
    <w:p>
      <w:pPr>
        <w:ind w:right="80" w:firstLine="8"/>
        <w:spacing w:after="0" w:line="303"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EXECUTION AND CHANGES</w:t>
      </w:r>
      <w:r>
        <w:rPr>
          <w:rFonts w:ascii="Arial" w:cs="Arial" w:eastAsia="Arial" w:hAnsi="Arial"/>
          <w:sz w:val="16"/>
          <w:szCs w:val="16"/>
          <w:color w:val="auto"/>
        </w:rPr>
        <w:t>: This Rider may be executed in any number of counterparts with separate signature pages, all of which taken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constitute the Rider, and any of the parties hereto may execute this Rider by signing any such counterpart. This Rider shall be effective and immediately binding as to each Indemnitor when Indemnitor executes this Agreement and complies with the conditions indicated in Sections 4 and 5 above, regardless of whether any other party has executed this Rider or fails to execute this Rider. This Rider shall only be changed or modified in writing.</w:t>
      </w:r>
    </w:p>
    <w:p>
      <w:pPr>
        <w:spacing w:after="0" w:line="43" w:lineRule="exact"/>
        <w:rPr>
          <w:rFonts w:ascii="Arial" w:cs="Arial" w:eastAsia="Arial" w:hAnsi="Arial"/>
          <w:sz w:val="16"/>
          <w:szCs w:val="16"/>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means any notice, claim, demand, defense, counterclaim, setoff, lawsuit or proceeding or circumstance which may constitute, lead to or result in Loss,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or asserted liability in connection with any Transferred Bond.</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Dore Agreement </w:t>
      </w:r>
      <w:r>
        <w:rPr>
          <w:rFonts w:ascii="Arial" w:cs="Arial" w:eastAsia="Arial" w:hAnsi="Arial"/>
          <w:sz w:val="18"/>
          <w:szCs w:val="18"/>
          <w:color w:val="auto"/>
        </w:rPr>
        <w:t>means the General Indemnity Agreement executed by Dore and others, dated April 23, 2014 a copy of which is attached to this Rider as</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B and is incorporated herein by reference.</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GLDD Bonding Agreements </w:t>
      </w:r>
      <w:r>
        <w:rPr>
          <w:rFonts w:ascii="Arial" w:cs="Arial" w:eastAsia="Arial" w:hAnsi="Arial"/>
          <w:sz w:val="18"/>
          <w:szCs w:val="18"/>
          <w:color w:val="auto"/>
        </w:rPr>
        <w:t>means the GIA as subsequently modified, amended, supplemented or replaced, including but not limited to the Rider dated</w:t>
      </w:r>
      <w:r>
        <w:rPr>
          <w:rFonts w:ascii="Arial" w:cs="Arial" w:eastAsia="Arial" w:hAnsi="Arial"/>
          <w:sz w:val="18"/>
          <w:szCs w:val="18"/>
          <w:b w:val="1"/>
          <w:bCs w:val="1"/>
          <w:color w:val="auto"/>
        </w:rPr>
        <w:t xml:space="preserve"> </w:t>
      </w:r>
      <w:r>
        <w:rPr>
          <w:rFonts w:ascii="Arial" w:cs="Arial" w:eastAsia="Arial" w:hAnsi="Arial"/>
          <w:sz w:val="18"/>
          <w:szCs w:val="18"/>
          <w:color w:val="auto"/>
        </w:rPr>
        <w:t>June 4, 2012, and all underlying and related agreements and modifications of agreements, including the Equipment Utilization Agreement dated June 4, 2012 and the Lender-Surety Agreement dated June 4, 2012.</w:t>
      </w:r>
    </w:p>
    <w:p>
      <w:pPr>
        <w:spacing w:after="0" w:line="176"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GLDD Guarantee for Transferred Bonds </w:t>
      </w:r>
      <w:r>
        <w:rPr>
          <w:rFonts w:ascii="Arial" w:cs="Arial" w:eastAsia="Arial" w:hAnsi="Arial"/>
          <w:sz w:val="16"/>
          <w:szCs w:val="16"/>
          <w:color w:val="auto"/>
        </w:rPr>
        <w:t>means the Guarantee and Indemnity Agreement provided with respect to the Transferred Bonds, dated April 23,</w:t>
      </w:r>
      <w:r>
        <w:rPr>
          <w:rFonts w:ascii="Arial" w:cs="Arial" w:eastAsia="Arial" w:hAnsi="Arial"/>
          <w:sz w:val="16"/>
          <w:szCs w:val="16"/>
          <w:b w:val="1"/>
          <w:bCs w:val="1"/>
          <w:color w:val="auto"/>
        </w:rPr>
        <w:t xml:space="preserve"> </w:t>
      </w:r>
      <w:r>
        <w:rPr>
          <w:rFonts w:ascii="Arial" w:cs="Arial" w:eastAsia="Arial" w:hAnsi="Arial"/>
          <w:sz w:val="16"/>
          <w:szCs w:val="16"/>
          <w:color w:val="auto"/>
        </w:rPr>
        <w:t>2014, which is executed concurrently with this Rider, a copy of which is attached to this Rider as Exhibit C and is incorporated herein by reference.</w:t>
      </w:r>
    </w:p>
    <w:p>
      <w:pPr>
        <w:spacing w:after="0" w:line="11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means, with respect to any Transferred Bond, all premiums due to Surety and any and all liability, loss, Claims, damages, court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fees (including those of Surety), consultant fees, and all other costs and expenses, including but not limited to any additional or extra-contractual damages arising from Surety’s Settlement of any Claim. Pre-judgment and post-judgment interest shall accrue from the date of any payment made by Surety with respect to any of the foregoing at the maximum default rate permitted by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2" w:name="page63"/>
    <w:bookmarkEnd w:id="62"/>
    <w:p>
      <w:pP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Settlement </w:t>
      </w:r>
      <w:r>
        <w:rPr>
          <w:rFonts w:ascii="Arial" w:cs="Arial" w:eastAsia="Arial" w:hAnsi="Arial"/>
          <w:sz w:val="18"/>
          <w:szCs w:val="18"/>
          <w:color w:val="auto"/>
        </w:rPr>
        <w:t>means to adjust, pay, perform, decline to perform, compromise, settle, deny, litigate or otherwise resolve any Claim and/or any claim,</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counterclaim, defense or setoff held by or made against any Indemnitor or other entity and/or to take any action to protect any rights of Surety or to preserve or protect Surety’s interests, or to avoid or lessen any alleged liability.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and sealed this </w:t>
      </w:r>
      <w:r>
        <w:rPr>
          <w:rFonts w:ascii="Arial" w:cs="Arial" w:eastAsia="Arial" w:hAnsi="Arial"/>
          <w:sz w:val="18"/>
          <w:szCs w:val="18"/>
          <w:b w:val="1"/>
          <w:bCs w:val="1"/>
          <w:color w:val="auto"/>
        </w:rPr>
        <w:t>23rd</w:t>
      </w:r>
      <w:r>
        <w:rPr>
          <w:rFonts w:ascii="Arial" w:cs="Arial" w:eastAsia="Arial" w:hAnsi="Arial"/>
          <w:sz w:val="18"/>
          <w:szCs w:val="18"/>
          <w:color w:val="auto"/>
        </w:rPr>
        <w:t xml:space="preserve"> day of </w:t>
      </w:r>
      <w:r>
        <w:rPr>
          <w:rFonts w:ascii="Arial" w:cs="Arial" w:eastAsia="Arial" w:hAnsi="Arial"/>
          <w:sz w:val="18"/>
          <w:szCs w:val="18"/>
          <w:b w:val="1"/>
          <w:bCs w:val="1"/>
          <w:color w:val="auto"/>
        </w:rPr>
        <w:t>April</w:t>
      </w:r>
      <w:r>
        <w:rPr>
          <w:rFonts w:ascii="Arial" w:cs="Arial" w:eastAsia="Arial" w:hAnsi="Arial"/>
          <w:sz w:val="18"/>
          <w:szCs w:val="18"/>
          <w:color w:val="auto"/>
        </w:rPr>
        <w:t xml:space="preserve">, </w:t>
      </w:r>
      <w:r>
        <w:rPr>
          <w:rFonts w:ascii="Arial" w:cs="Arial" w:eastAsia="Arial" w:hAnsi="Arial"/>
          <w:sz w:val="18"/>
          <w:szCs w:val="18"/>
          <w:b w:val="1"/>
          <w:bCs w:val="1"/>
          <w:color w:val="auto"/>
        </w:rPr>
        <w:t>2014.</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PAGE(S) TO FOLLOW</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(The remainder of this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0" w:right="3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INSTRUCTIONS</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All signatures should be notarized and dated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72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signer is a Corporation, an officer on the operational side (i.e. President, CEO, COO) and an officer on the finance side (i.e. Secretary, CFO, Treasurer) should sign and the Corporation should attach its seal.</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one signer is signing in two different capacities (i.e. President and Secretary), then list both titles in the signature block and notary acknowledgement.</w:t>
      </w:r>
    </w:p>
    <w:p>
      <w:pPr>
        <w:spacing w:after="0" w:line="140" w:lineRule="exact"/>
        <w:rPr>
          <w:rFonts w:ascii="Arial" w:cs="Arial" w:eastAsia="Arial" w:hAnsi="Arial"/>
          <w:sz w:val="16"/>
          <w:szCs w:val="16"/>
          <w:color w:val="auto"/>
        </w:rPr>
      </w:pPr>
    </w:p>
    <w:p>
      <w:pPr>
        <w:ind w:right="16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signer is an individual (personal) Indemnitor, each Indemnitor should sign and date their signature and provide all of the required information. Each signature should be witnessed and notarized.</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By signing below, each Indemnitor affirms to Surety that they have read this Rider carefully and understand their obligations as an Indemnitor. Each signer executing this Rider on behalf of such Indemnitor represents and warrants solely in their capacity as an officer of such Indemnitor and not individually that he or she holds the office or position shown and that he or she is duly authorized by Indemnitor to execute this Rider on behalf of Indemnitor and to bind Indemnitor to all of the terms and conditions of this Rider.</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GREAT LAKES DREDGE &amp; DOCK CORPORATION</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ATTEST OR WITNESS:</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/s/ Ellen Parker Burke</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Richard Roman</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Ellen Parker Burke, Assistant Treasurer</w:t>
            </w:r>
          </w:p>
        </w:tc>
        <w:tc>
          <w:tcPr>
            <w:tcW w:w="1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Richard Roman, Treasurer</w:t>
            </w:r>
          </w:p>
        </w:tc>
      </w:tr>
      <w:tr>
        <w:trPr>
          <w:trHeight w:val="40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GREAT LAKES DREDGE &amp; DOCK COMPANY, LLC</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ATTEST OR WITNESS:</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/s/ Ellen Parker Burke</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Richard Roman</w:t>
            </w:r>
          </w:p>
        </w:tc>
      </w:t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Ellen Parker Burke, Secretary and</w:t>
            </w:r>
          </w:p>
        </w:tc>
        <w:tc>
          <w:tcPr>
            <w:tcW w:w="156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Roman, Treasurer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Assistant Treasurer</w:t>
            </w: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LYDON DREDGING &amp; CONSTRUCTION COMPANY, LTD.</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ATTEST OR WITNESS:</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/s/ Ellen Parker Burke</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Katherine M. Hayes</w:t>
            </w:r>
          </w:p>
        </w:tc>
      </w:t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Ellen Parker Burke, Secretary and</w:t>
            </w:r>
          </w:p>
        </w:tc>
        <w:tc>
          <w:tcPr>
            <w:tcW w:w="156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Katherine M. Hayes, Treasurer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Assistant Treasurer</w:t>
            </w: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720" w:type="dxa"/>
            <w:vAlign w:val="bottom"/>
            <w:gridSpan w:val="3"/>
          </w:tcPr>
          <w:p>
            <w:pPr>
              <w:jc w:val="center"/>
              <w:ind w:right="3590"/>
              <w:spacing w:after="0"/>
              <w:rPr>
                <w:sz w:val="20"/>
                <w:szCs w:val="20"/>
                <w:color w:val="auto"/>
              </w:rPr>
            </w:pPr>
            <w:r>
              <w:rPr>
                <w:rFonts w:ascii="Arial" w:cs="Arial" w:eastAsia="Arial" w:hAnsi="Arial"/>
                <w:sz w:val="18"/>
                <w:szCs w:val="18"/>
                <w:i w:val="1"/>
                <w:iCs w:val="1"/>
                <w:color w:val="auto"/>
                <w:w w:val="90"/>
              </w:rPr>
              <w:t>(signatures continued next page)</w:t>
            </w:r>
          </w:p>
        </w:tc>
      </w:tr>
      <w:tr>
        <w:trPr>
          <w:trHeight w:val="36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4" w:name="page65"/>
    <w:bookmarkEnd w:id="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FIFTY-THREE DREDGING CORPORATION</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ATTEST OR WITNESS:</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/s/ Katherine M. Hayes</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Paul E. Dinquel</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Katherine M. Hayes, Treasurer</w:t>
            </w:r>
          </w:p>
        </w:tc>
        <w:tc>
          <w:tcPr>
            <w:tcW w:w="1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Paul E. Dinquel, Vice President</w:t>
            </w:r>
          </w:p>
        </w:tc>
      </w:tr>
      <w:tr>
        <w:trPr>
          <w:trHeight w:val="40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DAWSON MARINE SERVICES COMPANY</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ATTEST OR WITNESS:</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/s/ Cheryle A. Stone</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Catherine M. Hoffman</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Cheryle A. Stone, Secretary</w:t>
            </w:r>
          </w:p>
        </w:tc>
        <w:tc>
          <w:tcPr>
            <w:tcW w:w="1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Catherine M. Hoffman, President</w:t>
            </w:r>
          </w:p>
        </w:tc>
      </w:tr>
      <w:tr>
        <w:trPr>
          <w:trHeight w:val="40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GREAT LAKES DREDGE &amp; DOCK ENVIRONMENTAL, INC. (f/k/a</w:t>
            </w: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Great Lakes Caribbean Dredging, Inc.)</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ATTEST OR WITNESS:</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/s/ Ellen Parker Burke</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Katherine M. Hayes</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Ellen Parker Burke, Secretary</w:t>
            </w:r>
          </w:p>
        </w:tc>
        <w:tc>
          <w:tcPr>
            <w:tcW w:w="1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Katherine M. Hayes, Treasurer</w:t>
            </w:r>
          </w:p>
        </w:tc>
      </w:tr>
      <w:tr>
        <w:trPr>
          <w:trHeight w:val="40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NASDI, LLC</w:t>
            </w: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ATTEST OR WITNESS:</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/s/ Ellen Parker Burke</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Katherine M. Hayes</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Ellen Parker Burke, Assistant Secretary</w:t>
            </w:r>
          </w:p>
        </w:tc>
        <w:tc>
          <w:tcPr>
            <w:tcW w:w="1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Katherine M. Hayes, Treasurer</w:t>
            </w:r>
          </w:p>
        </w:tc>
      </w:tr>
      <w:tr>
        <w:trPr>
          <w:trHeight w:val="418"/>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720" w:type="dxa"/>
            <w:vAlign w:val="bottom"/>
            <w:gridSpan w:val="3"/>
          </w:tcPr>
          <w:p>
            <w:pPr>
              <w:jc w:val="center"/>
              <w:ind w:right="3590"/>
              <w:spacing w:after="0"/>
              <w:rPr>
                <w:sz w:val="20"/>
                <w:szCs w:val="20"/>
                <w:color w:val="auto"/>
              </w:rPr>
            </w:pPr>
            <w:r>
              <w:rPr>
                <w:rFonts w:ascii="Arial" w:cs="Arial" w:eastAsia="Arial" w:hAnsi="Arial"/>
                <w:sz w:val="18"/>
                <w:szCs w:val="18"/>
                <w:i w:val="1"/>
                <w:iCs w:val="1"/>
                <w:color w:val="auto"/>
                <w:w w:val="90"/>
              </w:rPr>
              <w:t>(signatures continued next page)</w:t>
            </w:r>
          </w:p>
        </w:tc>
      </w:tr>
      <w:tr>
        <w:trPr>
          <w:trHeight w:val="36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NASDI HOLDINGS CORPORATION</w:t>
            </w: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color w:val="auto"/>
              </w:rPr>
              <w:t>ATTEST OR WITNESS:</w:t>
            </w:r>
          </w:p>
        </w:tc>
        <w:tc>
          <w:tcPr>
            <w:tcW w:w="5460" w:type="dxa"/>
            <w:vAlign w:val="bottom"/>
          </w:tcPr>
          <w:p>
            <w:pPr>
              <w:spacing w:after="0"/>
              <w:rPr>
                <w:sz w:val="24"/>
                <w:szCs w:val="24"/>
                <w:color w:val="auto"/>
              </w:rPr>
            </w:pP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color w:val="auto"/>
              </w:rPr>
              <w:t>/s/ Ellen Parker Burke</w:t>
            </w:r>
          </w:p>
        </w:tc>
        <w:tc>
          <w:tcPr>
            <w:tcW w:w="5460" w:type="dxa"/>
            <w:vAlign w:val="bottom"/>
          </w:tcPr>
          <w:p>
            <w:pPr>
              <w:ind w:left="100"/>
              <w:spacing w:after="0"/>
              <w:rPr>
                <w:sz w:val="20"/>
                <w:szCs w:val="20"/>
                <w:color w:val="auto"/>
              </w:rPr>
            </w:pPr>
            <w:r>
              <w:rPr>
                <w:rFonts w:ascii="Arial" w:cs="Arial" w:eastAsia="Arial" w:hAnsi="Arial"/>
                <w:sz w:val="18"/>
                <w:szCs w:val="18"/>
                <w:color w:val="auto"/>
              </w:rPr>
              <w:t>/s/ Katherine M. Hayes</w:t>
            </w:r>
          </w:p>
        </w:tc>
      </w:tr>
      <w:tr>
        <w:trPr>
          <w:trHeight w:val="195"/>
        </w:trPr>
        <w:tc>
          <w:tcPr>
            <w:tcW w:w="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Ellen Parker Burke, Secretary and</w:t>
            </w:r>
          </w:p>
        </w:tc>
        <w:tc>
          <w:tcPr>
            <w:tcW w:w="70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Katherine M. Hayes, Treasurer</w:t>
            </w: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Assistant Treasurer</w:t>
            </w:r>
          </w:p>
        </w:tc>
        <w:tc>
          <w:tcPr>
            <w:tcW w:w="5460" w:type="dxa"/>
            <w:vAlign w:val="bottom"/>
          </w:tcPr>
          <w:p>
            <w:pPr>
              <w:spacing w:after="0"/>
              <w:rPr>
                <w:sz w:val="20"/>
                <w:szCs w:val="20"/>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YANKEE ENVIRONMENTAL SERVICES, LLC</w:t>
            </w: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color w:val="auto"/>
              </w:rPr>
              <w:t>ATTEST OR WITNESS:</w:t>
            </w:r>
          </w:p>
        </w:tc>
        <w:tc>
          <w:tcPr>
            <w:tcW w:w="5460" w:type="dxa"/>
            <w:vAlign w:val="bottom"/>
          </w:tcPr>
          <w:p>
            <w:pPr>
              <w:spacing w:after="0"/>
              <w:rPr>
                <w:sz w:val="24"/>
                <w:szCs w:val="24"/>
                <w:color w:val="auto"/>
              </w:rPr>
            </w:pP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color w:val="auto"/>
              </w:rPr>
              <w:t>/s/ Ellen Parker Burke</w:t>
            </w:r>
          </w:p>
        </w:tc>
        <w:tc>
          <w:tcPr>
            <w:tcW w:w="5460" w:type="dxa"/>
            <w:vAlign w:val="bottom"/>
          </w:tcPr>
          <w:p>
            <w:pPr>
              <w:ind w:left="100"/>
              <w:spacing w:after="0"/>
              <w:rPr>
                <w:sz w:val="20"/>
                <w:szCs w:val="20"/>
                <w:color w:val="auto"/>
              </w:rPr>
            </w:pPr>
            <w:r>
              <w:rPr>
                <w:rFonts w:ascii="Arial" w:cs="Arial" w:eastAsia="Arial" w:hAnsi="Arial"/>
                <w:sz w:val="18"/>
                <w:szCs w:val="18"/>
                <w:color w:val="auto"/>
              </w:rPr>
              <w:t>/s/ Katherine M. Hayes</w:t>
            </w:r>
          </w:p>
        </w:tc>
      </w:tr>
      <w:tr>
        <w:trPr>
          <w:trHeight w:val="195"/>
        </w:trPr>
        <w:tc>
          <w:tcPr>
            <w:tcW w:w="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Ellen Parker Burke, Assistant</w:t>
            </w:r>
          </w:p>
        </w:tc>
        <w:tc>
          <w:tcPr>
            <w:tcW w:w="70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Katherine M. Hayes, Treasurer</w:t>
            </w: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Treasurer and Assistant Secretary</w:t>
            </w:r>
          </w:p>
        </w:tc>
        <w:tc>
          <w:tcPr>
            <w:tcW w:w="5460" w:type="dxa"/>
            <w:vAlign w:val="bottom"/>
          </w:tcPr>
          <w:p>
            <w:pPr>
              <w:spacing w:after="0"/>
              <w:rPr>
                <w:sz w:val="20"/>
                <w:szCs w:val="20"/>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GREAT LAKES DREDGE &amp; DOCK (BAHAMAS) LTD.</w:t>
            </w: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color w:val="auto"/>
              </w:rPr>
              <w:t>ATTEST OR WITNESS:</w:t>
            </w: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color w:val="auto"/>
              </w:rPr>
              <w:t>/s/ Ellen Parker Burke</w:t>
            </w: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Katherine M. Hayes</w:t>
            </w:r>
          </w:p>
        </w:tc>
      </w:tr>
      <w:tr>
        <w:trPr>
          <w:trHeight w:val="224"/>
        </w:trPr>
        <w:tc>
          <w:tcPr>
            <w:tcW w:w="20" w:type="dxa"/>
            <w:vAlign w:val="bottom"/>
          </w:tcPr>
          <w:p>
            <w:pPr>
              <w:spacing w:after="0"/>
              <w:rPr>
                <w:sz w:val="19"/>
                <w:szCs w:val="19"/>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Ellen Parker Burke, Secretary</w:t>
            </w:r>
          </w:p>
        </w:tc>
        <w:tc>
          <w:tcPr>
            <w:tcW w:w="16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Katherine M. Hayes, Treasurer</w:t>
            </w:r>
          </w:p>
        </w:tc>
      </w:tr>
      <w:tr>
        <w:trPr>
          <w:trHeight w:val="418"/>
        </w:trPr>
        <w:tc>
          <w:tcPr>
            <w:tcW w:w="3600" w:type="dxa"/>
            <w:vAlign w:val="bottom"/>
            <w:gridSpan w:val="2"/>
          </w:tcPr>
          <w:p>
            <w:pPr>
              <w:spacing w:after="0"/>
              <w:rPr>
                <w:sz w:val="20"/>
                <w:szCs w:val="20"/>
                <w:color w:val="auto"/>
              </w:rPr>
            </w:pPr>
            <w:r>
              <w:rPr>
                <w:rFonts w:ascii="Arial" w:cs="Arial" w:eastAsia="Arial" w:hAnsi="Arial"/>
                <w:sz w:val="18"/>
                <w:szCs w:val="18"/>
                <w:color w:val="auto"/>
              </w:rPr>
              <w:t>Accepted and agreed:</w:t>
            </w: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SURETY</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ZURICH AMERICAN INSURANCE COMPANY</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FIDELITY AND DEPOSIT COMPANY OF MARYLAND COLONIAL</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AMERICAN CASUALTY AND SURETY COMPANY, and</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AMERICAN GUARANTEE AND LIABILITY INSURANCE</w:t>
            </w: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COMPANY</w:t>
            </w:r>
          </w:p>
        </w:tc>
      </w:tr>
      <w:tr>
        <w:trPr>
          <w:trHeight w:val="44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L. McVicker</w:t>
            </w:r>
          </w:p>
        </w:tc>
      </w:tr>
      <w:tr>
        <w:trPr>
          <w:trHeight w:val="224"/>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Name and Title David L. McVicker Vice President</w:t>
            </w:r>
          </w:p>
        </w:tc>
      </w:tr>
      <w:tr>
        <w:trPr>
          <w:trHeight w:val="41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820" w:type="dxa"/>
            <w:vAlign w:val="bottom"/>
            <w:gridSpan w:val="3"/>
          </w:tcPr>
          <w:p>
            <w:pPr>
              <w:jc w:val="center"/>
              <w:ind w:right="3490"/>
              <w:spacing w:after="0"/>
              <w:rPr>
                <w:sz w:val="20"/>
                <w:szCs w:val="20"/>
                <w:color w:val="auto"/>
              </w:rPr>
            </w:pPr>
            <w:r>
              <w:rPr>
                <w:rFonts w:ascii="Arial" w:cs="Arial" w:eastAsia="Arial" w:hAnsi="Arial"/>
                <w:sz w:val="18"/>
                <w:szCs w:val="18"/>
                <w:i w:val="1"/>
                <w:iCs w:val="1"/>
                <w:color w:val="auto"/>
                <w:w w:val="90"/>
              </w:rPr>
              <w:t>(end of signatures)</w:t>
            </w:r>
          </w:p>
        </w:tc>
      </w:tr>
      <w:tr>
        <w:trPr>
          <w:trHeight w:val="36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TRANSFERRED BONDS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Bond</w:t>
            </w:r>
          </w:p>
        </w:tc>
        <w:tc>
          <w:tcPr>
            <w:tcW w:w="1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Issuing Carrier</w:t>
            </w:r>
          </w:p>
        </w:tc>
        <w:tc>
          <w:tcPr>
            <w:tcW w:w="6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Obligee</w:t>
            </w:r>
          </w:p>
        </w:tc>
        <w:tc>
          <w:tcPr>
            <w:tcW w:w="120" w:type="dxa"/>
            <w:vAlign w:val="bottom"/>
          </w:tcPr>
          <w:p>
            <w:pPr>
              <w:spacing w:after="0"/>
              <w:rPr>
                <w:sz w:val="14"/>
                <w:szCs w:val="14"/>
                <w:color w:val="auto"/>
              </w:rPr>
            </w:pP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Type of Bond</w:t>
            </w:r>
          </w:p>
        </w:tc>
        <w:tc>
          <w:tcPr>
            <w:tcW w:w="100" w:type="dxa"/>
            <w:vAlign w:val="bottom"/>
            <w:vMerge w:val="restart"/>
          </w:tcPr>
          <w:p>
            <w:pPr>
              <w:spacing w:after="0"/>
              <w:rPr>
                <w:sz w:val="14"/>
                <w:szCs w:val="14"/>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Bond</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Effective</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Renewal Method</w:t>
            </w:r>
          </w:p>
        </w:tc>
        <w:tc>
          <w:tcPr>
            <w:tcW w:w="100" w:type="dxa"/>
            <w:vAlign w:val="bottom"/>
          </w:tcPr>
          <w:p>
            <w:pPr>
              <w:spacing w:after="0"/>
              <w:rPr>
                <w:sz w:val="14"/>
                <w:szCs w:val="14"/>
                <w:color w:val="auto"/>
              </w:rPr>
            </w:pPr>
          </w:p>
        </w:tc>
        <w:tc>
          <w:tcPr>
            <w:tcW w:w="12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Completion Year</w:t>
            </w:r>
          </w:p>
        </w:tc>
        <w:tc>
          <w:tcPr>
            <w:tcW w:w="0" w:type="dxa"/>
            <w:vAlign w:val="bottom"/>
          </w:tcPr>
          <w:p>
            <w:pPr>
              <w:spacing w:after="0"/>
              <w:rPr>
                <w:sz w:val="1"/>
                <w:szCs w:val="1"/>
                <w:color w:val="auto"/>
              </w:rPr>
            </w:pPr>
          </w:p>
        </w:tc>
      </w:tr>
      <w:tr>
        <w:trPr>
          <w:trHeight w:val="169"/>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1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80" w:type="dxa"/>
            <w:vAlign w:val="bottom"/>
            <w:gridSpan w:val="2"/>
          </w:tcPr>
          <w:p>
            <w:pPr>
              <w:spacing w:after="0"/>
              <w:rPr>
                <w:sz w:val="20"/>
                <w:szCs w:val="20"/>
                <w:color w:val="auto"/>
              </w:rPr>
            </w:pPr>
            <w:r>
              <w:rPr>
                <w:rFonts w:ascii="Arial" w:cs="Arial" w:eastAsia="Arial" w:hAnsi="Arial"/>
                <w:sz w:val="14"/>
                <w:szCs w:val="14"/>
                <w:color w:val="auto"/>
              </w:rPr>
              <w:t>09046739</w:t>
            </w:r>
          </w:p>
        </w:tc>
        <w:tc>
          <w:tcPr>
            <w:tcW w:w="1240" w:type="dxa"/>
            <w:vAlign w:val="bottom"/>
            <w:gridSpan w:val="2"/>
          </w:tcPr>
          <w:p>
            <w:pPr>
              <w:spacing w:after="0"/>
              <w:rPr>
                <w:sz w:val="20"/>
                <w:szCs w:val="20"/>
                <w:color w:val="auto"/>
              </w:rPr>
            </w:pPr>
            <w:r>
              <w:rPr>
                <w:rFonts w:ascii="Arial" w:cs="Arial" w:eastAsia="Arial" w:hAnsi="Arial"/>
                <w:sz w:val="14"/>
                <w:szCs w:val="14"/>
                <w:color w:val="auto"/>
                <w:w w:val="99"/>
              </w:rPr>
              <w:t>Fidelity and Deposit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License &amp; Permit</w:t>
            </w:r>
          </w:p>
        </w:tc>
        <w:tc>
          <w:tcPr>
            <w:tcW w:w="1220" w:type="dxa"/>
            <w:vAlign w:val="bottom"/>
          </w:tcPr>
          <w:p>
            <w:pPr>
              <w:spacing w:after="0"/>
              <w:rPr>
                <w:sz w:val="20"/>
                <w:szCs w:val="20"/>
                <w:color w:val="auto"/>
              </w:rPr>
            </w:pPr>
            <w:r>
              <w:rPr>
                <w:rFonts w:ascii="Arial" w:cs="Arial" w:eastAsia="Arial" w:hAnsi="Arial"/>
                <w:sz w:val="14"/>
                <w:szCs w:val="14"/>
                <w:color w:val="auto"/>
              </w:rPr>
              <w:t>Hazardous Waste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9/2/2011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9/1/2014</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w w:val="95"/>
              </w:rPr>
              <w:t>Dore to substitute its</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GLDD until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Department of</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w w:val="91"/>
              </w:rPr>
              <w:t>Transporters License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surety on renewal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renewal, 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Environmental</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Protection</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09061807</w:t>
            </w:r>
          </w:p>
        </w:tc>
        <w:tc>
          <w:tcPr>
            <w:tcW w:w="1240" w:type="dxa"/>
            <w:vAlign w:val="bottom"/>
            <w:gridSpan w:val="2"/>
          </w:tcPr>
          <w:p>
            <w:pPr>
              <w:spacing w:after="0"/>
              <w:rPr>
                <w:sz w:val="20"/>
                <w:szCs w:val="20"/>
                <w:color w:val="auto"/>
              </w:rPr>
            </w:pPr>
            <w:r>
              <w:rPr>
                <w:rFonts w:ascii="Arial" w:cs="Arial" w:eastAsia="Arial" w:hAnsi="Arial"/>
                <w:sz w:val="14"/>
                <w:szCs w:val="14"/>
                <w:color w:val="auto"/>
                <w:w w:val="99"/>
              </w:rPr>
              <w:t>Fidelity and Deposit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Contractors State</w:t>
            </w: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All Contractor’s</w:t>
            </w:r>
          </w:p>
        </w:tc>
        <w:tc>
          <w:tcPr>
            <w:tcW w:w="1220" w:type="dxa"/>
            <w:vAlign w:val="bottom"/>
          </w:tcPr>
          <w:p>
            <w:pPr>
              <w:spacing w:after="0"/>
              <w:rPr>
                <w:sz w:val="20"/>
                <w:szCs w:val="20"/>
                <w:color w:val="auto"/>
              </w:rPr>
            </w:pPr>
            <w:r>
              <w:rPr>
                <w:rFonts w:ascii="Arial" w:cs="Arial" w:eastAsia="Arial" w:hAnsi="Arial"/>
                <w:sz w:val="14"/>
                <w:szCs w:val="14"/>
                <w:color w:val="auto"/>
                <w:w w:val="94"/>
              </w:rPr>
              <w:t>Contractor’s License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12,500.00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10/15/2011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10/14/2014</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w w:val="95"/>
              </w:rPr>
              <w:t>Dore to substitute its</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GLDD until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License Board</w:t>
            </w:r>
          </w:p>
        </w:tc>
        <w:tc>
          <w:tcPr>
            <w:tcW w:w="1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License-Perf-Payt-</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Bond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surety on renewal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renewal, 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Municipality</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09061808</w:t>
            </w:r>
          </w:p>
        </w:tc>
        <w:tc>
          <w:tcPr>
            <w:tcW w:w="1240" w:type="dxa"/>
            <w:vAlign w:val="bottom"/>
            <w:gridSpan w:val="2"/>
          </w:tcPr>
          <w:p>
            <w:pPr>
              <w:spacing w:after="0"/>
              <w:rPr>
                <w:sz w:val="20"/>
                <w:szCs w:val="20"/>
                <w:color w:val="auto"/>
              </w:rPr>
            </w:pPr>
            <w:r>
              <w:rPr>
                <w:rFonts w:ascii="Arial" w:cs="Arial" w:eastAsia="Arial" w:hAnsi="Arial"/>
                <w:sz w:val="14"/>
                <w:szCs w:val="14"/>
                <w:color w:val="auto"/>
                <w:w w:val="99"/>
              </w:rPr>
              <w:t>Fidelity and Deposit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Boston Water and</w:t>
            </w: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All Contractor’s</w:t>
            </w:r>
          </w:p>
        </w:tc>
        <w:tc>
          <w:tcPr>
            <w:tcW w:w="1220" w:type="dxa"/>
            <w:vAlign w:val="bottom"/>
          </w:tcPr>
          <w:p>
            <w:pPr>
              <w:spacing w:after="0"/>
              <w:rPr>
                <w:sz w:val="20"/>
                <w:szCs w:val="20"/>
                <w:color w:val="auto"/>
              </w:rPr>
            </w:pPr>
            <w:r>
              <w:rPr>
                <w:rFonts w:ascii="Arial" w:cs="Arial" w:eastAsia="Arial" w:hAnsi="Arial"/>
                <w:sz w:val="14"/>
                <w:szCs w:val="14"/>
                <w:color w:val="auto"/>
              </w:rPr>
              <w:t>sewer/drain/</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10/20/2011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10/19/2014</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w w:val="95"/>
              </w:rPr>
              <w:t>Dore to substitute its</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GLDD until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Sewer Commission</w:t>
            </w:r>
          </w:p>
        </w:tc>
        <w:tc>
          <w:tcPr>
            <w:tcW w:w="1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License-Perf-Payt-</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catch basin license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surety on renewal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renewal, 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Municipality</w:t>
            </w:r>
          </w:p>
        </w:tc>
        <w:tc>
          <w:tcPr>
            <w:tcW w:w="1220" w:type="dxa"/>
            <w:vAlign w:val="bottom"/>
          </w:tcPr>
          <w:p>
            <w:pPr>
              <w:spacing w:after="0"/>
              <w:rPr>
                <w:sz w:val="20"/>
                <w:szCs w:val="20"/>
                <w:color w:val="auto"/>
              </w:rPr>
            </w:pPr>
            <w:r>
              <w:rPr>
                <w:rFonts w:ascii="Arial" w:cs="Arial" w:eastAsia="Arial" w:hAnsi="Arial"/>
                <w:sz w:val="14"/>
                <w:szCs w:val="14"/>
                <w:color w:val="auto"/>
              </w:rPr>
              <w:t>bond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80" w:type="dxa"/>
            <w:vAlign w:val="bottom"/>
            <w:gridSpan w:val="2"/>
          </w:tcPr>
          <w:p>
            <w:pPr>
              <w:spacing w:after="0"/>
              <w:rPr>
                <w:sz w:val="20"/>
                <w:szCs w:val="20"/>
                <w:color w:val="auto"/>
              </w:rPr>
            </w:pPr>
            <w:r>
              <w:rPr>
                <w:rFonts w:ascii="Arial" w:cs="Arial" w:eastAsia="Arial" w:hAnsi="Arial"/>
                <w:sz w:val="14"/>
                <w:szCs w:val="14"/>
                <w:color w:val="auto"/>
              </w:rPr>
              <w:t>09061806</w:t>
            </w:r>
          </w:p>
        </w:tc>
        <w:tc>
          <w:tcPr>
            <w:tcW w:w="1240" w:type="dxa"/>
            <w:vAlign w:val="bottom"/>
            <w:gridSpan w:val="2"/>
          </w:tcPr>
          <w:p>
            <w:pPr>
              <w:spacing w:after="0"/>
              <w:rPr>
                <w:sz w:val="20"/>
                <w:szCs w:val="20"/>
                <w:color w:val="auto"/>
              </w:rPr>
            </w:pPr>
            <w:r>
              <w:rPr>
                <w:rFonts w:ascii="Arial" w:cs="Arial" w:eastAsia="Arial" w:hAnsi="Arial"/>
                <w:sz w:val="14"/>
                <w:szCs w:val="14"/>
                <w:color w:val="auto"/>
                <w:w w:val="99"/>
              </w:rPr>
              <w:t>Fidelity and Deposit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City of Cambridge</w:t>
            </w: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All Other License and</w:t>
            </w:r>
          </w:p>
        </w:tc>
        <w:tc>
          <w:tcPr>
            <w:tcW w:w="1220" w:type="dxa"/>
            <w:vAlign w:val="bottom"/>
          </w:tcPr>
          <w:p>
            <w:pPr>
              <w:spacing w:after="0"/>
              <w:rPr>
                <w:sz w:val="20"/>
                <w:szCs w:val="20"/>
                <w:color w:val="auto"/>
              </w:rPr>
            </w:pPr>
            <w:r>
              <w:rPr>
                <w:rFonts w:ascii="Arial" w:cs="Arial" w:eastAsia="Arial" w:hAnsi="Arial"/>
                <w:sz w:val="14"/>
                <w:szCs w:val="14"/>
                <w:color w:val="auto"/>
              </w:rPr>
              <w:t>Blanket Bond-</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5,000.00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10/27/2011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10/26/2014</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w w:val="95"/>
              </w:rPr>
              <w:t>Dore to substitute its</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GLDD until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Permit—Do Not</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Sidewalk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surety on renewal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renewal, 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Select Eff 1-1-05</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09061846</w:t>
            </w:r>
          </w:p>
        </w:tc>
        <w:tc>
          <w:tcPr>
            <w:tcW w:w="1240" w:type="dxa"/>
            <w:vAlign w:val="bottom"/>
            <w:gridSpan w:val="2"/>
          </w:tcPr>
          <w:p>
            <w:pPr>
              <w:spacing w:after="0"/>
              <w:rPr>
                <w:sz w:val="20"/>
                <w:szCs w:val="20"/>
                <w:color w:val="auto"/>
              </w:rPr>
            </w:pPr>
            <w:r>
              <w:rPr>
                <w:rFonts w:ascii="Arial" w:cs="Arial" w:eastAsia="Arial" w:hAnsi="Arial"/>
                <w:sz w:val="14"/>
                <w:szCs w:val="14"/>
                <w:color w:val="auto"/>
                <w:w w:val="99"/>
              </w:rPr>
              <w:t>Fidelity and Deposit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City Of Boston</w:t>
            </w: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All Other License and</w:t>
            </w:r>
          </w:p>
        </w:tc>
        <w:tc>
          <w:tcPr>
            <w:tcW w:w="1220" w:type="dxa"/>
            <w:vAlign w:val="bottom"/>
          </w:tcPr>
          <w:p>
            <w:pPr>
              <w:spacing w:after="0"/>
              <w:rPr>
                <w:sz w:val="20"/>
                <w:szCs w:val="20"/>
                <w:color w:val="auto"/>
              </w:rPr>
            </w:pPr>
            <w:r>
              <w:rPr>
                <w:rFonts w:ascii="Arial" w:cs="Arial" w:eastAsia="Arial" w:hAnsi="Arial"/>
                <w:sz w:val="14"/>
                <w:szCs w:val="14"/>
                <w:color w:val="auto"/>
              </w:rPr>
              <w:t>Permit Bond to</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500,000.00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11/19/2011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11/18/2014</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w w:val="95"/>
              </w:rPr>
              <w:t>Dore to substitute its</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GLDD until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Permit—Do Not</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Demolish Buildings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surety on renewal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renewal, 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Select Eff 1-1-05</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09061847</w:t>
            </w:r>
          </w:p>
        </w:tc>
        <w:tc>
          <w:tcPr>
            <w:tcW w:w="1240" w:type="dxa"/>
            <w:vAlign w:val="bottom"/>
            <w:gridSpan w:val="2"/>
          </w:tcPr>
          <w:p>
            <w:pPr>
              <w:spacing w:after="0"/>
              <w:rPr>
                <w:sz w:val="20"/>
                <w:szCs w:val="20"/>
                <w:color w:val="auto"/>
              </w:rPr>
            </w:pPr>
            <w:r>
              <w:rPr>
                <w:rFonts w:ascii="Arial" w:cs="Arial" w:eastAsia="Arial" w:hAnsi="Arial"/>
                <w:sz w:val="14"/>
                <w:szCs w:val="14"/>
                <w:color w:val="auto"/>
                <w:w w:val="99"/>
              </w:rPr>
              <w:t>Fidelity and Deposit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Contractor’s State</w:t>
            </w: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All Contractors</w:t>
            </w:r>
          </w:p>
        </w:tc>
        <w:tc>
          <w:tcPr>
            <w:tcW w:w="1220" w:type="dxa"/>
            <w:vAlign w:val="bottom"/>
          </w:tcPr>
          <w:p>
            <w:pPr>
              <w:spacing w:after="0"/>
              <w:rPr>
                <w:sz w:val="20"/>
                <w:szCs w:val="20"/>
                <w:color w:val="auto"/>
              </w:rPr>
            </w:pPr>
            <w:r>
              <w:rPr>
                <w:rFonts w:ascii="Arial" w:cs="Arial" w:eastAsia="Arial" w:hAnsi="Arial"/>
                <w:sz w:val="14"/>
                <w:szCs w:val="14"/>
                <w:color w:val="auto"/>
              </w:rPr>
              <w:t>Bond for Qualifying</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12,500.00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11/25/2011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11/24/2014</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w w:val="95"/>
              </w:rPr>
              <w:t>Dore to substitute its</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GLDD until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License Board</w:t>
            </w:r>
          </w:p>
        </w:tc>
        <w:tc>
          <w:tcPr>
            <w:tcW w:w="1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License-Perf-Payt-</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Individual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surety on renewal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renewal, 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State—Standard</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09062977</w:t>
            </w:r>
          </w:p>
        </w:tc>
        <w:tc>
          <w:tcPr>
            <w:tcW w:w="1240" w:type="dxa"/>
            <w:vAlign w:val="bottom"/>
            <w:gridSpan w:val="2"/>
          </w:tcPr>
          <w:p>
            <w:pPr>
              <w:spacing w:after="0"/>
              <w:rPr>
                <w:sz w:val="20"/>
                <w:szCs w:val="20"/>
                <w:color w:val="auto"/>
              </w:rPr>
            </w:pPr>
            <w:r>
              <w:rPr>
                <w:rFonts w:ascii="Arial" w:cs="Arial" w:eastAsia="Arial" w:hAnsi="Arial"/>
                <w:sz w:val="14"/>
                <w:szCs w:val="14"/>
                <w:color w:val="auto"/>
                <w:w w:val="99"/>
              </w:rPr>
              <w:t>Fidelity and Deposit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Town of Belmont</w:t>
            </w: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All Other License and</w:t>
            </w:r>
          </w:p>
        </w:tc>
        <w:tc>
          <w:tcPr>
            <w:tcW w:w="1220" w:type="dxa"/>
            <w:vAlign w:val="bottom"/>
          </w:tcPr>
          <w:p>
            <w:pPr>
              <w:spacing w:after="0"/>
              <w:rPr>
                <w:sz w:val="20"/>
                <w:szCs w:val="20"/>
                <w:color w:val="auto"/>
              </w:rPr>
            </w:pPr>
            <w:r>
              <w:rPr>
                <w:rFonts w:ascii="Arial" w:cs="Arial" w:eastAsia="Arial" w:hAnsi="Arial"/>
                <w:sz w:val="14"/>
                <w:szCs w:val="14"/>
                <w:color w:val="auto"/>
              </w:rPr>
              <w:t>Street Opening</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5,000.00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3/1/2012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3/1/2015</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w w:val="95"/>
              </w:rPr>
              <w:t>Dore to substitute its</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GLDD until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Permit—Do Not</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surety on renewal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renewal, 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Select Eff 1-1-05</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09078655</w:t>
            </w:r>
          </w:p>
        </w:tc>
        <w:tc>
          <w:tcPr>
            <w:tcW w:w="1240" w:type="dxa"/>
            <w:vAlign w:val="bottom"/>
            <w:gridSpan w:val="2"/>
          </w:tcPr>
          <w:p>
            <w:pPr>
              <w:spacing w:after="0"/>
              <w:rPr>
                <w:sz w:val="20"/>
                <w:szCs w:val="20"/>
                <w:color w:val="auto"/>
              </w:rPr>
            </w:pPr>
            <w:r>
              <w:rPr>
                <w:rFonts w:ascii="Arial" w:cs="Arial" w:eastAsia="Arial" w:hAnsi="Arial"/>
                <w:sz w:val="14"/>
                <w:szCs w:val="14"/>
                <w:color w:val="auto"/>
                <w:w w:val="99"/>
              </w:rPr>
              <w:t>Fidelity and Deposit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State of Florida</w:t>
            </w: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License &amp; Permit</w:t>
            </w:r>
          </w:p>
        </w:tc>
        <w:tc>
          <w:tcPr>
            <w:tcW w:w="1220" w:type="dxa"/>
            <w:vAlign w:val="bottom"/>
          </w:tcPr>
          <w:p>
            <w:pPr>
              <w:spacing w:after="0"/>
              <w:rPr>
                <w:sz w:val="20"/>
                <w:szCs w:val="20"/>
                <w:color w:val="auto"/>
              </w:rPr>
            </w:pPr>
            <w:r>
              <w:rPr>
                <w:rFonts w:ascii="Arial" w:cs="Arial" w:eastAsia="Arial" w:hAnsi="Arial"/>
                <w:sz w:val="14"/>
                <w:szCs w:val="14"/>
                <w:color w:val="auto"/>
                <w:w w:val="98"/>
              </w:rPr>
              <w:t>Florida Contractor’s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100,000.00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4/10/2012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4/9/2014</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w w:val="95"/>
              </w:rPr>
              <w:t>Dore to substitute its</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GLDD until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Department of</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License Bond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surety on renewal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renewal, 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Business and</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Professional</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Regulation</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09078653</w:t>
            </w:r>
          </w:p>
        </w:tc>
        <w:tc>
          <w:tcPr>
            <w:tcW w:w="1240" w:type="dxa"/>
            <w:vAlign w:val="bottom"/>
            <w:gridSpan w:val="2"/>
          </w:tcPr>
          <w:p>
            <w:pPr>
              <w:spacing w:after="0"/>
              <w:rPr>
                <w:sz w:val="20"/>
                <w:szCs w:val="20"/>
                <w:color w:val="auto"/>
              </w:rPr>
            </w:pPr>
            <w:r>
              <w:rPr>
                <w:rFonts w:ascii="Arial" w:cs="Arial" w:eastAsia="Arial" w:hAnsi="Arial"/>
                <w:sz w:val="14"/>
                <w:szCs w:val="14"/>
                <w:color w:val="auto"/>
                <w:w w:val="99"/>
              </w:rPr>
              <w:t>Fidelity and Deposit</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Francis M. Roache,</w:t>
            </w: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Lien and Payment</w:t>
            </w:r>
          </w:p>
        </w:tc>
        <w:tc>
          <w:tcPr>
            <w:tcW w:w="1220" w:type="dxa"/>
            <w:vAlign w:val="bottom"/>
          </w:tcPr>
          <w:p>
            <w:pPr>
              <w:spacing w:after="0"/>
              <w:rPr>
                <w:sz w:val="20"/>
                <w:szCs w:val="20"/>
                <w:color w:val="auto"/>
              </w:rPr>
            </w:pPr>
            <w:r>
              <w:rPr>
                <w:rFonts w:ascii="Arial" w:cs="Arial" w:eastAsia="Arial" w:hAnsi="Arial"/>
                <w:sz w:val="14"/>
                <w:szCs w:val="14"/>
                <w:color w:val="auto"/>
              </w:rPr>
              <w:t>The EDGE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208,900.00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4/20/2012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4/19/2014</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w w:val="95"/>
              </w:rPr>
              <w:t>Dore to substitute its</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Registrar of Deeds for</w:t>
            </w:r>
          </w:p>
        </w:tc>
        <w:tc>
          <w:tcPr>
            <w:tcW w:w="1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Bonds—Given at or</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Apartments, 60-66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surety on renewal</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County of Suffolk</w:t>
            </w:r>
          </w:p>
        </w:tc>
        <w:tc>
          <w:tcPr>
            <w:tcW w:w="1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near Commencement</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Brainerd Road,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color w:val="auto"/>
              </w:rPr>
              <w:t>of Project—Private</w:t>
            </w:r>
          </w:p>
        </w:tc>
        <w:tc>
          <w:tcPr>
            <w:tcW w:w="1220" w:type="dxa"/>
            <w:vAlign w:val="bottom"/>
          </w:tcPr>
          <w:p>
            <w:pPr>
              <w:spacing w:after="0"/>
              <w:rPr>
                <w:sz w:val="20"/>
                <w:szCs w:val="20"/>
                <w:color w:val="auto"/>
              </w:rPr>
            </w:pPr>
            <w:r>
              <w:rPr>
                <w:rFonts w:ascii="Arial" w:cs="Arial" w:eastAsia="Arial" w:hAnsi="Arial"/>
                <w:sz w:val="14"/>
                <w:szCs w:val="14"/>
                <w:color w:val="auto"/>
              </w:rPr>
              <w:t>Allston, MA</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Bond</w:t>
            </w: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Issuing Carrier</w:t>
            </w:r>
          </w:p>
        </w:tc>
        <w:tc>
          <w:tcPr>
            <w:tcW w:w="120" w:type="dxa"/>
            <w:vAlign w:val="bottom"/>
            <w:vMerge w:val="restart"/>
          </w:tcPr>
          <w:p>
            <w:pPr>
              <w:spacing w:after="0"/>
              <w:rPr>
                <w:sz w:val="14"/>
                <w:szCs w:val="14"/>
                <w:color w:val="auto"/>
              </w:rPr>
            </w:pPr>
          </w:p>
        </w:tc>
        <w:tc>
          <w:tcPr>
            <w:tcW w:w="13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Obligee</w:t>
            </w:r>
          </w:p>
        </w:tc>
        <w:tc>
          <w:tcPr>
            <w:tcW w:w="100" w:type="dxa"/>
            <w:vAlign w:val="bottom"/>
            <w:vMerge w:val="restart"/>
          </w:tcPr>
          <w:p>
            <w:pPr>
              <w:spacing w:after="0"/>
              <w:rPr>
                <w:sz w:val="14"/>
                <w:szCs w:val="14"/>
                <w:color w:val="auto"/>
              </w:rPr>
            </w:pP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Type of Bond</w:t>
            </w:r>
          </w:p>
        </w:tc>
        <w:tc>
          <w:tcPr>
            <w:tcW w:w="120" w:type="dxa"/>
            <w:vAlign w:val="bottom"/>
            <w:vMerge w:val="restart"/>
          </w:tcPr>
          <w:p>
            <w:pPr>
              <w:spacing w:after="0"/>
              <w:rPr>
                <w:sz w:val="14"/>
                <w:szCs w:val="14"/>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Bond</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Effective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Expiration</w:t>
            </w: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Renewal Method</w:t>
            </w:r>
          </w:p>
        </w:tc>
        <w:tc>
          <w:tcPr>
            <w:tcW w:w="120" w:type="dxa"/>
            <w:vAlign w:val="bottom"/>
            <w:vMerge w:val="restart"/>
          </w:tcPr>
          <w:p>
            <w:pPr>
              <w:spacing w:after="0"/>
              <w:rPr>
                <w:sz w:val="14"/>
                <w:szCs w:val="14"/>
                <w:color w:val="auto"/>
              </w:rPr>
            </w:pP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Completion Year</w:t>
            </w:r>
          </w:p>
        </w:tc>
        <w:tc>
          <w:tcPr>
            <w:tcW w:w="0" w:type="dxa"/>
            <w:vAlign w:val="bottom"/>
          </w:tcPr>
          <w:p>
            <w:pPr>
              <w:spacing w:after="0"/>
              <w:rPr>
                <w:sz w:val="1"/>
                <w:szCs w:val="1"/>
                <w:color w:val="auto"/>
              </w:rPr>
            </w:pPr>
          </w:p>
        </w:tc>
      </w:tr>
      <w:tr>
        <w:trPr>
          <w:trHeight w:val="169"/>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2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80" w:type="dxa"/>
            <w:vAlign w:val="bottom"/>
            <w:gridSpan w:val="2"/>
          </w:tcPr>
          <w:p>
            <w:pPr>
              <w:spacing w:after="0"/>
              <w:rPr>
                <w:sz w:val="20"/>
                <w:szCs w:val="20"/>
                <w:color w:val="auto"/>
              </w:rPr>
            </w:pPr>
            <w:r>
              <w:rPr>
                <w:rFonts w:ascii="Arial" w:cs="Arial" w:eastAsia="Arial" w:hAnsi="Arial"/>
                <w:sz w:val="14"/>
                <w:szCs w:val="14"/>
                <w:color w:val="auto"/>
              </w:rPr>
              <w:t>09078684</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440" w:type="dxa"/>
            <w:vAlign w:val="bottom"/>
            <w:gridSpan w:val="2"/>
          </w:tcPr>
          <w:p>
            <w:pPr>
              <w:spacing w:after="0"/>
              <w:rPr>
                <w:sz w:val="20"/>
                <w:szCs w:val="20"/>
                <w:color w:val="auto"/>
              </w:rPr>
            </w:pPr>
            <w:r>
              <w:rPr>
                <w:rFonts w:ascii="Arial" w:cs="Arial" w:eastAsia="Arial" w:hAnsi="Arial"/>
                <w:sz w:val="14"/>
                <w:szCs w:val="14"/>
                <w:color w:val="auto"/>
              </w:rPr>
              <w:t>Local 282 Trust Funds</w:t>
            </w:r>
          </w:p>
        </w:tc>
        <w:tc>
          <w:tcPr>
            <w:tcW w:w="1460" w:type="dxa"/>
            <w:vAlign w:val="bottom"/>
            <w:gridSpan w:val="2"/>
          </w:tcPr>
          <w:p>
            <w:pPr>
              <w:spacing w:after="0"/>
              <w:rPr>
                <w:sz w:val="20"/>
                <w:szCs w:val="20"/>
                <w:color w:val="auto"/>
              </w:rPr>
            </w:pPr>
            <w:r>
              <w:rPr>
                <w:rFonts w:ascii="Arial" w:cs="Arial" w:eastAsia="Arial" w:hAnsi="Arial"/>
                <w:sz w:val="14"/>
                <w:szCs w:val="14"/>
                <w:color w:val="auto"/>
              </w:rPr>
              <w:t>Miscellaneous</w:t>
            </w:r>
          </w:p>
        </w:tc>
        <w:tc>
          <w:tcPr>
            <w:tcW w:w="1240" w:type="dxa"/>
            <w:vAlign w:val="bottom"/>
          </w:tcPr>
          <w:p>
            <w:pPr>
              <w:spacing w:after="0"/>
              <w:rPr>
                <w:sz w:val="20"/>
                <w:szCs w:val="20"/>
                <w:color w:val="auto"/>
              </w:rPr>
            </w:pPr>
            <w:r>
              <w:rPr>
                <w:rFonts w:ascii="Arial" w:cs="Arial" w:eastAsia="Arial" w:hAnsi="Arial"/>
                <w:sz w:val="14"/>
                <w:szCs w:val="14"/>
                <w:color w:val="auto"/>
              </w:rPr>
              <w:t>NY Local #282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20,000.00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6/7/2012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6/6/2014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New Bond Required</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w w:val="98"/>
              </w:rPr>
              <w:t>Fringe Benefit Bond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09078689</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440" w:type="dxa"/>
            <w:vAlign w:val="bottom"/>
            <w:gridSpan w:val="2"/>
          </w:tcPr>
          <w:p>
            <w:pPr>
              <w:spacing w:after="0"/>
              <w:rPr>
                <w:sz w:val="20"/>
                <w:szCs w:val="20"/>
                <w:color w:val="auto"/>
              </w:rPr>
            </w:pPr>
            <w:r>
              <w:rPr>
                <w:rFonts w:ascii="Arial" w:cs="Arial" w:eastAsia="Arial" w:hAnsi="Arial"/>
                <w:sz w:val="14"/>
                <w:szCs w:val="14"/>
                <w:color w:val="auto"/>
              </w:rPr>
              <w:t>William P. O’Donnell,</w:t>
            </w:r>
          </w:p>
        </w:tc>
        <w:tc>
          <w:tcPr>
            <w:tcW w:w="1460" w:type="dxa"/>
            <w:vAlign w:val="bottom"/>
            <w:gridSpan w:val="2"/>
          </w:tcPr>
          <w:p>
            <w:pPr>
              <w:spacing w:after="0"/>
              <w:rPr>
                <w:sz w:val="20"/>
                <w:szCs w:val="20"/>
                <w:color w:val="auto"/>
              </w:rPr>
            </w:pPr>
            <w:r>
              <w:rPr>
                <w:rFonts w:ascii="Arial" w:cs="Arial" w:eastAsia="Arial" w:hAnsi="Arial"/>
                <w:sz w:val="14"/>
                <w:szCs w:val="14"/>
                <w:color w:val="auto"/>
              </w:rPr>
              <w:t>License &amp; Permit</w:t>
            </w:r>
          </w:p>
        </w:tc>
        <w:tc>
          <w:tcPr>
            <w:tcW w:w="1240" w:type="dxa"/>
            <w:vAlign w:val="bottom"/>
          </w:tcPr>
          <w:p>
            <w:pPr>
              <w:spacing w:after="0"/>
              <w:rPr>
                <w:sz w:val="20"/>
                <w:szCs w:val="20"/>
                <w:color w:val="auto"/>
              </w:rPr>
            </w:pPr>
            <w:r>
              <w:rPr>
                <w:rFonts w:ascii="Arial" w:cs="Arial" w:eastAsia="Arial" w:hAnsi="Arial"/>
                <w:sz w:val="14"/>
                <w:szCs w:val="14"/>
                <w:color w:val="auto"/>
              </w:rPr>
              <w:t>The EDGE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208,900.00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6/14/2012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6/13/2014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Registrar of Deeds for</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Apartments, 60-66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County of Norfolk</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Brainerd Road,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Allston, MA</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09080008</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440" w:type="dxa"/>
            <w:vAlign w:val="bottom"/>
            <w:gridSpan w:val="2"/>
          </w:tcPr>
          <w:p>
            <w:pPr>
              <w:spacing w:after="0"/>
              <w:rPr>
                <w:sz w:val="20"/>
                <w:szCs w:val="20"/>
                <w:color w:val="auto"/>
              </w:rPr>
            </w:pPr>
            <w:r>
              <w:rPr>
                <w:rFonts w:ascii="Arial" w:cs="Arial" w:eastAsia="Arial" w:hAnsi="Arial"/>
                <w:sz w:val="14"/>
                <w:szCs w:val="14"/>
                <w:color w:val="auto"/>
              </w:rPr>
              <w:t>Mason Tenders’ D.C.</w:t>
            </w:r>
          </w:p>
        </w:tc>
        <w:tc>
          <w:tcPr>
            <w:tcW w:w="1460" w:type="dxa"/>
            <w:vAlign w:val="bottom"/>
            <w:gridSpan w:val="2"/>
          </w:tcPr>
          <w:p>
            <w:pPr>
              <w:spacing w:after="0"/>
              <w:rPr>
                <w:sz w:val="20"/>
                <w:szCs w:val="20"/>
                <w:color w:val="auto"/>
              </w:rPr>
            </w:pPr>
            <w:r>
              <w:rPr>
                <w:rFonts w:ascii="Arial" w:cs="Arial" w:eastAsia="Arial" w:hAnsi="Arial"/>
                <w:sz w:val="14"/>
                <w:szCs w:val="14"/>
                <w:color w:val="auto"/>
              </w:rPr>
              <w:t>Union Bonds—Covers</w:t>
            </w:r>
          </w:p>
        </w:tc>
        <w:tc>
          <w:tcPr>
            <w:tcW w:w="1240" w:type="dxa"/>
            <w:vAlign w:val="bottom"/>
          </w:tcPr>
          <w:p>
            <w:pPr>
              <w:spacing w:after="0"/>
              <w:rPr>
                <w:sz w:val="20"/>
                <w:szCs w:val="20"/>
                <w:color w:val="auto"/>
              </w:rPr>
            </w:pPr>
            <w:r>
              <w:rPr>
                <w:rFonts w:ascii="Arial" w:cs="Arial" w:eastAsia="Arial" w:hAnsi="Arial"/>
                <w:sz w:val="14"/>
                <w:szCs w:val="14"/>
                <w:color w:val="auto"/>
              </w:rPr>
              <w:t>Union Wage &amp;</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50,000.00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6/20/2012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6/19/2014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w w:val="99"/>
              </w:rPr>
              <w:t>Welfare Fund, Pension</w:t>
            </w: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Payment of Fringe</w:t>
            </w: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Welfare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440" w:type="dxa"/>
            <w:vAlign w:val="bottom"/>
            <w:gridSpan w:val="2"/>
          </w:tcPr>
          <w:p>
            <w:pPr>
              <w:spacing w:after="0"/>
              <w:rPr>
                <w:sz w:val="20"/>
                <w:szCs w:val="20"/>
                <w:color w:val="auto"/>
              </w:rPr>
            </w:pPr>
            <w:r>
              <w:rPr>
                <w:rFonts w:ascii="Arial" w:cs="Arial" w:eastAsia="Arial" w:hAnsi="Arial"/>
                <w:sz w:val="14"/>
                <w:szCs w:val="14"/>
                <w:color w:val="auto"/>
              </w:rPr>
              <w:t>Fund, Annuity fund</w:t>
            </w:r>
          </w:p>
        </w:tc>
        <w:tc>
          <w:tcPr>
            <w:tcW w:w="1460" w:type="dxa"/>
            <w:vAlign w:val="bottom"/>
            <w:gridSpan w:val="2"/>
          </w:tcPr>
          <w:p>
            <w:pPr>
              <w:spacing w:after="0"/>
              <w:rPr>
                <w:sz w:val="20"/>
                <w:szCs w:val="20"/>
                <w:color w:val="auto"/>
              </w:rPr>
            </w:pPr>
            <w:r>
              <w:rPr>
                <w:rFonts w:ascii="Arial" w:cs="Arial" w:eastAsia="Arial" w:hAnsi="Arial"/>
                <w:sz w:val="14"/>
                <w:szCs w:val="14"/>
                <w:color w:val="auto"/>
              </w:rPr>
              <w:t>Benefits Only</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09078683</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440" w:type="dxa"/>
            <w:vAlign w:val="bottom"/>
            <w:gridSpan w:val="2"/>
          </w:tcPr>
          <w:p>
            <w:pPr>
              <w:spacing w:after="0"/>
              <w:rPr>
                <w:sz w:val="20"/>
                <w:szCs w:val="20"/>
                <w:color w:val="auto"/>
              </w:rPr>
            </w:pPr>
            <w:r>
              <w:rPr>
                <w:rFonts w:ascii="Arial" w:cs="Arial" w:eastAsia="Arial" w:hAnsi="Arial"/>
                <w:sz w:val="14"/>
                <w:szCs w:val="14"/>
                <w:color w:val="auto"/>
                <w:w w:val="99"/>
              </w:rPr>
              <w:t>Boston Water and Sew</w:t>
            </w:r>
          </w:p>
        </w:tc>
        <w:tc>
          <w:tcPr>
            <w:tcW w:w="1460" w:type="dxa"/>
            <w:vAlign w:val="bottom"/>
            <w:gridSpan w:val="2"/>
          </w:tcPr>
          <w:p>
            <w:pPr>
              <w:spacing w:after="0"/>
              <w:rPr>
                <w:sz w:val="20"/>
                <w:szCs w:val="20"/>
                <w:color w:val="auto"/>
              </w:rPr>
            </w:pPr>
            <w:r>
              <w:rPr>
                <w:rFonts w:ascii="Arial" w:cs="Arial" w:eastAsia="Arial" w:hAnsi="Arial"/>
                <w:sz w:val="14"/>
                <w:szCs w:val="14"/>
                <w:color w:val="auto"/>
              </w:rPr>
              <w:t>All Contractor’s</w:t>
            </w:r>
          </w:p>
        </w:tc>
        <w:tc>
          <w:tcPr>
            <w:tcW w:w="1240" w:type="dxa"/>
            <w:vAlign w:val="bottom"/>
          </w:tcPr>
          <w:p>
            <w:pPr>
              <w:spacing w:after="0"/>
              <w:rPr>
                <w:sz w:val="20"/>
                <w:szCs w:val="20"/>
                <w:color w:val="auto"/>
              </w:rPr>
            </w:pPr>
            <w:r>
              <w:rPr>
                <w:rFonts w:ascii="Arial" w:cs="Arial" w:eastAsia="Arial" w:hAnsi="Arial"/>
                <w:sz w:val="14"/>
                <w:szCs w:val="14"/>
                <w:color w:val="auto"/>
              </w:rPr>
              <w:t>Contracting-</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20,000.00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7/12/2012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7/11/2014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Commission</w:t>
            </w: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License-Perf-Payt-</w:t>
            </w: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Compliance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Municipality</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09080012</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440" w:type="dxa"/>
            <w:vAlign w:val="bottom"/>
            <w:gridSpan w:val="2"/>
          </w:tcPr>
          <w:p>
            <w:pPr>
              <w:spacing w:after="0"/>
              <w:rPr>
                <w:sz w:val="20"/>
                <w:szCs w:val="20"/>
                <w:color w:val="auto"/>
              </w:rPr>
            </w:pPr>
            <w:r>
              <w:rPr>
                <w:rFonts w:ascii="Arial" w:cs="Arial" w:eastAsia="Arial" w:hAnsi="Arial"/>
                <w:sz w:val="14"/>
                <w:szCs w:val="14"/>
                <w:color w:val="auto"/>
              </w:rPr>
              <w:t>Suffolk Construction</w:t>
            </w:r>
          </w:p>
        </w:tc>
        <w:tc>
          <w:tcPr>
            <w:tcW w:w="1460" w:type="dxa"/>
            <w:vAlign w:val="bottom"/>
            <w:gridSpan w:val="2"/>
          </w:tcPr>
          <w:p>
            <w:pPr>
              <w:spacing w:after="0"/>
              <w:rPr>
                <w:sz w:val="20"/>
                <w:szCs w:val="20"/>
                <w:color w:val="auto"/>
              </w:rPr>
            </w:pPr>
            <w:r>
              <w:rPr>
                <w:rFonts w:ascii="Arial" w:cs="Arial" w:eastAsia="Arial" w:hAnsi="Arial"/>
                <w:sz w:val="14"/>
                <w:szCs w:val="14"/>
                <w:color w:val="auto"/>
              </w:rPr>
              <w:t>Miscellaneous</w:t>
            </w:r>
          </w:p>
        </w:tc>
        <w:tc>
          <w:tcPr>
            <w:tcW w:w="1240" w:type="dxa"/>
            <w:vAlign w:val="bottom"/>
          </w:tcPr>
          <w:p>
            <w:pPr>
              <w:spacing w:after="0"/>
              <w:rPr>
                <w:sz w:val="20"/>
                <w:szCs w:val="20"/>
                <w:color w:val="auto"/>
              </w:rPr>
            </w:pPr>
            <w:r>
              <w:rPr>
                <w:rFonts w:ascii="Arial" w:cs="Arial" w:eastAsia="Arial" w:hAnsi="Arial"/>
                <w:sz w:val="14"/>
                <w:szCs w:val="14"/>
                <w:color w:val="auto"/>
              </w:rPr>
              <w:t>120 Kingston</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275,000.00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7/12/2012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7/11/2013</w:t>
            </w:r>
          </w:p>
        </w:tc>
        <w:tc>
          <w:tcPr>
            <w:tcW w:w="1340" w:type="dxa"/>
            <w:vAlign w:val="bottom"/>
            <w:gridSpan w:val="2"/>
          </w:tcPr>
          <w:p>
            <w:pPr>
              <w:spacing w:after="0"/>
              <w:rPr>
                <w:sz w:val="20"/>
                <w:szCs w:val="20"/>
                <w:color w:val="auto"/>
              </w:rPr>
            </w:pPr>
            <w:r>
              <w:rPr>
                <w:rFonts w:ascii="Arial" w:cs="Arial" w:eastAsia="Arial" w:hAnsi="Arial"/>
                <w:sz w:val="14"/>
                <w:szCs w:val="14"/>
                <w:color w:val="auto"/>
              </w:rPr>
              <w:t>Unknown</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Co. Inc.</w:t>
            </w: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Contracts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09080014</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440" w:type="dxa"/>
            <w:vAlign w:val="bottom"/>
            <w:gridSpan w:val="2"/>
          </w:tcPr>
          <w:p>
            <w:pPr>
              <w:spacing w:after="0"/>
              <w:rPr>
                <w:sz w:val="20"/>
                <w:szCs w:val="20"/>
                <w:color w:val="auto"/>
              </w:rPr>
            </w:pPr>
            <w:r>
              <w:rPr>
                <w:rFonts w:ascii="Arial" w:cs="Arial" w:eastAsia="Arial" w:hAnsi="Arial"/>
                <w:sz w:val="14"/>
                <w:szCs w:val="14"/>
                <w:color w:val="auto"/>
              </w:rPr>
              <w:t>City of Boston</w:t>
            </w:r>
          </w:p>
        </w:tc>
        <w:tc>
          <w:tcPr>
            <w:tcW w:w="1460" w:type="dxa"/>
            <w:vAlign w:val="bottom"/>
            <w:gridSpan w:val="2"/>
          </w:tcPr>
          <w:p>
            <w:pPr>
              <w:spacing w:after="0"/>
              <w:rPr>
                <w:sz w:val="20"/>
                <w:szCs w:val="20"/>
                <w:color w:val="auto"/>
              </w:rPr>
            </w:pPr>
            <w:r>
              <w:rPr>
                <w:rFonts w:ascii="Arial" w:cs="Arial" w:eastAsia="Arial" w:hAnsi="Arial"/>
                <w:sz w:val="14"/>
                <w:szCs w:val="14"/>
                <w:color w:val="auto"/>
              </w:rPr>
              <w:t>License &amp; Permit</w:t>
            </w:r>
          </w:p>
        </w:tc>
        <w:tc>
          <w:tcPr>
            <w:tcW w:w="1240" w:type="dxa"/>
            <w:vAlign w:val="bottom"/>
          </w:tcPr>
          <w:p>
            <w:pPr>
              <w:spacing w:after="0"/>
              <w:rPr>
                <w:sz w:val="20"/>
                <w:szCs w:val="20"/>
                <w:color w:val="auto"/>
              </w:rPr>
            </w:pPr>
            <w:r>
              <w:rPr>
                <w:rFonts w:ascii="Arial" w:cs="Arial" w:eastAsia="Arial" w:hAnsi="Arial"/>
                <w:sz w:val="14"/>
                <w:szCs w:val="14"/>
                <w:color w:val="auto"/>
              </w:rPr>
              <w:t>MA City of Boston</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5,000.00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7/16/2012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7/15/2014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Bond for use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Streets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09080015</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440" w:type="dxa"/>
            <w:vAlign w:val="bottom"/>
            <w:gridSpan w:val="2"/>
          </w:tcPr>
          <w:p>
            <w:pPr>
              <w:spacing w:after="0"/>
              <w:rPr>
                <w:sz w:val="20"/>
                <w:szCs w:val="20"/>
                <w:color w:val="auto"/>
              </w:rPr>
            </w:pPr>
            <w:r>
              <w:rPr>
                <w:rFonts w:ascii="Arial" w:cs="Arial" w:eastAsia="Arial" w:hAnsi="Arial"/>
                <w:sz w:val="14"/>
                <w:szCs w:val="14"/>
                <w:color w:val="auto"/>
              </w:rPr>
              <w:t>Town of Watertown</w:t>
            </w:r>
          </w:p>
        </w:tc>
        <w:tc>
          <w:tcPr>
            <w:tcW w:w="1460" w:type="dxa"/>
            <w:vAlign w:val="bottom"/>
            <w:gridSpan w:val="2"/>
          </w:tcPr>
          <w:p>
            <w:pPr>
              <w:spacing w:after="0"/>
              <w:rPr>
                <w:sz w:val="20"/>
                <w:szCs w:val="20"/>
                <w:color w:val="auto"/>
              </w:rPr>
            </w:pPr>
            <w:r>
              <w:rPr>
                <w:rFonts w:ascii="Arial" w:cs="Arial" w:eastAsia="Arial" w:hAnsi="Arial"/>
                <w:sz w:val="14"/>
                <w:szCs w:val="14"/>
                <w:color w:val="auto"/>
              </w:rPr>
              <w:t>All Other License and</w:t>
            </w:r>
          </w:p>
        </w:tc>
        <w:tc>
          <w:tcPr>
            <w:tcW w:w="1240" w:type="dxa"/>
            <w:vAlign w:val="bottom"/>
          </w:tcPr>
          <w:p>
            <w:pPr>
              <w:spacing w:after="0"/>
              <w:rPr>
                <w:sz w:val="20"/>
                <w:szCs w:val="20"/>
                <w:color w:val="auto"/>
              </w:rPr>
            </w:pPr>
            <w:r>
              <w:rPr>
                <w:rFonts w:ascii="Arial" w:cs="Arial" w:eastAsia="Arial" w:hAnsi="Arial"/>
                <w:sz w:val="14"/>
                <w:szCs w:val="14"/>
                <w:color w:val="auto"/>
                <w:w w:val="93"/>
              </w:rPr>
              <w:t>Sidewalk Occupancy</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10,000.00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7/17/2012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7/17/2014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New Bond Required</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Permit—Do Not Select</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Eff 1-1-05</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09078664</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440" w:type="dxa"/>
            <w:vAlign w:val="bottom"/>
            <w:gridSpan w:val="2"/>
          </w:tcPr>
          <w:p>
            <w:pPr>
              <w:spacing w:after="0"/>
              <w:rPr>
                <w:sz w:val="20"/>
                <w:szCs w:val="20"/>
                <w:color w:val="auto"/>
              </w:rPr>
            </w:pPr>
            <w:r>
              <w:rPr>
                <w:rFonts w:ascii="Arial" w:cs="Arial" w:eastAsia="Arial" w:hAnsi="Arial"/>
                <w:sz w:val="14"/>
                <w:szCs w:val="14"/>
                <w:color w:val="auto"/>
              </w:rPr>
              <w:t>Massachusetts</w:t>
            </w:r>
          </w:p>
        </w:tc>
        <w:tc>
          <w:tcPr>
            <w:tcW w:w="1460" w:type="dxa"/>
            <w:vAlign w:val="bottom"/>
            <w:gridSpan w:val="2"/>
          </w:tcPr>
          <w:p>
            <w:pPr>
              <w:spacing w:after="0"/>
              <w:rPr>
                <w:sz w:val="20"/>
                <w:szCs w:val="20"/>
                <w:color w:val="auto"/>
              </w:rPr>
            </w:pPr>
            <w:r>
              <w:rPr>
                <w:rFonts w:ascii="Arial" w:cs="Arial" w:eastAsia="Arial" w:hAnsi="Arial"/>
                <w:sz w:val="14"/>
                <w:szCs w:val="14"/>
                <w:color w:val="auto"/>
              </w:rPr>
              <w:t>Miscellaneous</w:t>
            </w:r>
          </w:p>
        </w:tc>
        <w:tc>
          <w:tcPr>
            <w:tcW w:w="1240" w:type="dxa"/>
            <w:vAlign w:val="bottom"/>
          </w:tcPr>
          <w:p>
            <w:pPr>
              <w:spacing w:after="0"/>
              <w:rPr>
                <w:sz w:val="20"/>
                <w:szCs w:val="20"/>
                <w:color w:val="auto"/>
              </w:rPr>
            </w:pPr>
            <w:r>
              <w:rPr>
                <w:rFonts w:ascii="Arial" w:cs="Arial" w:eastAsia="Arial" w:hAnsi="Arial"/>
                <w:sz w:val="14"/>
                <w:szCs w:val="14"/>
                <w:color w:val="auto"/>
                <w:w w:val="93"/>
              </w:rPr>
              <w:t>Financial Guarantee-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68,000.00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7/25/2012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7/24/2014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Turnpike Authority,</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The Fast Lane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Fast Lane Service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Service Center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with Verification</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Center</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Certificate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09061845</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440" w:type="dxa"/>
            <w:vAlign w:val="bottom"/>
            <w:gridSpan w:val="2"/>
          </w:tcPr>
          <w:p>
            <w:pPr>
              <w:spacing w:after="0"/>
              <w:rPr>
                <w:sz w:val="20"/>
                <w:szCs w:val="20"/>
                <w:color w:val="auto"/>
              </w:rPr>
            </w:pPr>
            <w:r>
              <w:rPr>
                <w:rFonts w:ascii="Arial" w:cs="Arial" w:eastAsia="Arial" w:hAnsi="Arial"/>
                <w:sz w:val="14"/>
                <w:szCs w:val="14"/>
                <w:color w:val="auto"/>
              </w:rPr>
              <w:t>City of New York</w:t>
            </w:r>
          </w:p>
        </w:tc>
        <w:tc>
          <w:tcPr>
            <w:tcW w:w="1460" w:type="dxa"/>
            <w:vAlign w:val="bottom"/>
            <w:gridSpan w:val="2"/>
          </w:tcPr>
          <w:p>
            <w:pPr>
              <w:spacing w:after="0"/>
              <w:rPr>
                <w:sz w:val="20"/>
                <w:szCs w:val="20"/>
                <w:color w:val="auto"/>
              </w:rPr>
            </w:pPr>
            <w:r>
              <w:rPr>
                <w:rFonts w:ascii="Arial" w:cs="Arial" w:eastAsia="Arial" w:hAnsi="Arial"/>
                <w:sz w:val="14"/>
                <w:szCs w:val="14"/>
                <w:color w:val="auto"/>
              </w:rPr>
              <w:t>License &amp; Permit</w:t>
            </w:r>
          </w:p>
        </w:tc>
        <w:tc>
          <w:tcPr>
            <w:tcW w:w="1240" w:type="dxa"/>
            <w:vAlign w:val="bottom"/>
          </w:tcPr>
          <w:p>
            <w:pPr>
              <w:spacing w:after="0"/>
              <w:rPr>
                <w:sz w:val="20"/>
                <w:szCs w:val="20"/>
                <w:color w:val="auto"/>
              </w:rPr>
            </w:pPr>
            <w:r>
              <w:rPr>
                <w:rFonts w:ascii="Arial" w:cs="Arial" w:eastAsia="Arial" w:hAnsi="Arial"/>
                <w:sz w:val="14"/>
                <w:szCs w:val="14"/>
                <w:color w:val="auto"/>
              </w:rPr>
              <w:t>Street/Sidewalk</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50,000.00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12/9/2012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12/8/2014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Continuation</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obstruction, all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Certificate</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Locations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2"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Bond</w:t>
            </w: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Issuing Carrier</w:t>
            </w:r>
          </w:p>
        </w:tc>
        <w:tc>
          <w:tcPr>
            <w:tcW w:w="120" w:type="dxa"/>
            <w:vAlign w:val="bottom"/>
            <w:vMerge w:val="restart"/>
          </w:tcPr>
          <w:p>
            <w:pPr>
              <w:spacing w:after="0"/>
              <w:rPr>
                <w:sz w:val="14"/>
                <w:szCs w:val="14"/>
                <w:color w:val="auto"/>
              </w:rPr>
            </w:pP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Obligee</w:t>
            </w:r>
          </w:p>
        </w:tc>
        <w:tc>
          <w:tcPr>
            <w:tcW w:w="120" w:type="dxa"/>
            <w:vAlign w:val="bottom"/>
          </w:tcPr>
          <w:p>
            <w:pPr>
              <w:spacing w:after="0"/>
              <w:rPr>
                <w:sz w:val="14"/>
                <w:szCs w:val="14"/>
                <w:color w:val="auto"/>
              </w:rPr>
            </w:pP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Type of Bond</w:t>
            </w:r>
          </w:p>
        </w:tc>
        <w:tc>
          <w:tcPr>
            <w:tcW w:w="120" w:type="dxa"/>
            <w:vAlign w:val="bottom"/>
          </w:tcPr>
          <w:p>
            <w:pPr>
              <w:spacing w:after="0"/>
              <w:rPr>
                <w:sz w:val="14"/>
                <w:szCs w:val="14"/>
                <w:color w:val="auto"/>
              </w:rPr>
            </w:pPr>
          </w:p>
        </w:tc>
        <w:tc>
          <w:tcPr>
            <w:tcW w:w="12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Bond</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Effective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Expiration</w:t>
            </w: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Renewal Method</w:t>
            </w:r>
          </w:p>
        </w:tc>
        <w:tc>
          <w:tcPr>
            <w:tcW w:w="120" w:type="dxa"/>
            <w:vAlign w:val="bottom"/>
            <w:vMerge w:val="restart"/>
          </w:tcPr>
          <w:p>
            <w:pPr>
              <w:spacing w:after="0"/>
              <w:rPr>
                <w:sz w:val="14"/>
                <w:szCs w:val="14"/>
                <w:color w:val="auto"/>
              </w:rPr>
            </w:pP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Completion Year</w:t>
            </w:r>
          </w:p>
        </w:tc>
        <w:tc>
          <w:tcPr>
            <w:tcW w:w="0" w:type="dxa"/>
            <w:vAlign w:val="bottom"/>
          </w:tcPr>
          <w:p>
            <w:pPr>
              <w:spacing w:after="0"/>
              <w:rPr>
                <w:sz w:val="1"/>
                <w:szCs w:val="1"/>
                <w:color w:val="auto"/>
              </w:rPr>
            </w:pPr>
          </w:p>
        </w:tc>
      </w:tr>
      <w:tr>
        <w:trPr>
          <w:trHeight w:val="169"/>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2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80" w:type="dxa"/>
            <w:vAlign w:val="bottom"/>
            <w:gridSpan w:val="2"/>
          </w:tcPr>
          <w:p>
            <w:pPr>
              <w:spacing w:after="0"/>
              <w:rPr>
                <w:sz w:val="20"/>
                <w:szCs w:val="20"/>
                <w:color w:val="auto"/>
              </w:rPr>
            </w:pPr>
            <w:r>
              <w:rPr>
                <w:rFonts w:ascii="Arial" w:cs="Arial" w:eastAsia="Arial" w:hAnsi="Arial"/>
                <w:sz w:val="14"/>
                <w:szCs w:val="14"/>
                <w:color w:val="auto"/>
              </w:rPr>
              <w:t>09110811</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340" w:type="dxa"/>
            <w:vAlign w:val="bottom"/>
          </w:tcPr>
          <w:p>
            <w:pPr>
              <w:spacing w:after="0"/>
              <w:rPr>
                <w:sz w:val="20"/>
                <w:szCs w:val="20"/>
                <w:color w:val="auto"/>
              </w:rPr>
            </w:pPr>
            <w:r>
              <w:rPr>
                <w:rFonts w:ascii="Arial" w:cs="Arial" w:eastAsia="Arial" w:hAnsi="Arial"/>
                <w:sz w:val="14"/>
                <w:szCs w:val="14"/>
                <w:color w:val="auto"/>
              </w:rPr>
              <w:t>City of Columbus,</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License &amp; Permit</w:t>
            </w: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OH City of</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25,000.00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1/9/2013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1/8/2015</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Department of</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Columbus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Building and Zoning</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Contractor License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Services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w w:val="95"/>
              </w:rPr>
              <w:t>—Registration Bond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09110844</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340" w:type="dxa"/>
            <w:vAlign w:val="bottom"/>
          </w:tcPr>
          <w:p>
            <w:pPr>
              <w:spacing w:after="0"/>
              <w:rPr>
                <w:sz w:val="20"/>
                <w:szCs w:val="20"/>
                <w:color w:val="auto"/>
              </w:rPr>
            </w:pPr>
            <w:r>
              <w:rPr>
                <w:rFonts w:ascii="Arial" w:cs="Arial" w:eastAsia="Arial" w:hAnsi="Arial"/>
                <w:sz w:val="14"/>
                <w:szCs w:val="14"/>
                <w:color w:val="auto"/>
              </w:rPr>
              <w:t>Town of Andover</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Contract</w:t>
            </w: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#024/03—13/185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184,976.00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4/2/2013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3/31/2014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Term Bond</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6"/>
              </w:rPr>
              <w:t>West Middle School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9"/>
              </w:rPr>
              <w:t>Crawlspace Asbestos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3"/>
              </w:rPr>
              <w:t>Abatement Andover,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MA</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09104755</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340" w:type="dxa"/>
            <w:vAlign w:val="bottom"/>
          </w:tcPr>
          <w:p>
            <w:pPr>
              <w:spacing w:after="0"/>
              <w:rPr>
                <w:sz w:val="20"/>
                <w:szCs w:val="20"/>
                <w:color w:val="auto"/>
              </w:rPr>
            </w:pPr>
            <w:r>
              <w:rPr>
                <w:rFonts w:ascii="Arial" w:cs="Arial" w:eastAsia="Arial" w:hAnsi="Arial"/>
                <w:sz w:val="14"/>
                <w:szCs w:val="14"/>
                <w:color w:val="auto"/>
              </w:rPr>
              <w:t>Environmental</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Contract</w:t>
            </w: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Portsmouth Naval</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568,491.00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4/30/2013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4/29/2014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Term Bond</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line="149" w:lineRule="exact"/>
              <w:rPr>
                <w:sz w:val="20"/>
                <w:szCs w:val="20"/>
                <w:color w:val="auto"/>
              </w:rPr>
            </w:pPr>
            <w:r>
              <w:rPr>
                <w:rFonts w:ascii="Arial" w:cs="Arial" w:eastAsia="Arial" w:hAnsi="Arial"/>
                <w:sz w:val="14"/>
                <w:szCs w:val="14"/>
                <w:color w:val="auto"/>
                <w:w w:val="97"/>
              </w:rPr>
              <w:t>Chemical Corporation</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Shipyard, Building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92 Repair, Kittery,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ME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09104760</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340" w:type="dxa"/>
            <w:vAlign w:val="bottom"/>
          </w:tcPr>
          <w:p>
            <w:pPr>
              <w:spacing w:after="0"/>
              <w:rPr>
                <w:sz w:val="20"/>
                <w:szCs w:val="20"/>
                <w:color w:val="auto"/>
              </w:rPr>
            </w:pPr>
            <w:r>
              <w:rPr>
                <w:rFonts w:ascii="Arial" w:cs="Arial" w:eastAsia="Arial" w:hAnsi="Arial"/>
                <w:sz w:val="14"/>
                <w:szCs w:val="14"/>
                <w:color w:val="auto"/>
              </w:rPr>
              <w:t>Florida Construction</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License &amp; Permit</w:t>
            </w: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State of FL—</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100,000.00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5/16/2013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5/15/2014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Industry License</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6"/>
              </w:rPr>
              <w:t>Business license for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20"/>
                <w:szCs w:val="20"/>
                <w:color w:val="auto"/>
              </w:rPr>
            </w:pPr>
            <w:r>
              <w:rPr>
                <w:rFonts w:ascii="Arial" w:cs="Arial" w:eastAsia="Arial" w:hAnsi="Arial"/>
                <w:sz w:val="14"/>
                <w:szCs w:val="14"/>
                <w:color w:val="auto"/>
              </w:rPr>
              <w:t>Board</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William S. Steckel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09104769</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340" w:type="dxa"/>
            <w:vAlign w:val="bottom"/>
          </w:tcPr>
          <w:p>
            <w:pPr>
              <w:spacing w:after="0"/>
              <w:rPr>
                <w:sz w:val="20"/>
                <w:szCs w:val="20"/>
                <w:color w:val="auto"/>
              </w:rPr>
            </w:pPr>
            <w:r>
              <w:rPr>
                <w:rFonts w:ascii="Arial" w:cs="Arial" w:eastAsia="Arial" w:hAnsi="Arial"/>
                <w:sz w:val="14"/>
                <w:szCs w:val="14"/>
                <w:color w:val="auto"/>
              </w:rPr>
              <w:t>University of</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Contract</w:t>
            </w: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CL13-HT-0041—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669,640.00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5/20/2013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5/19/2014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Term Bond</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line="149" w:lineRule="exact"/>
              <w:rPr>
                <w:sz w:val="20"/>
                <w:szCs w:val="20"/>
                <w:color w:val="auto"/>
              </w:rPr>
            </w:pPr>
            <w:r>
              <w:rPr>
                <w:rFonts w:ascii="Arial" w:cs="Arial" w:eastAsia="Arial" w:hAnsi="Arial"/>
                <w:sz w:val="14"/>
                <w:szCs w:val="14"/>
                <w:color w:val="auto"/>
                <w:w w:val="95"/>
              </w:rPr>
              <w:t>Massachusetts-Lowell</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Asbestos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Remediation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09104773</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340" w:type="dxa"/>
            <w:vAlign w:val="bottom"/>
          </w:tcPr>
          <w:p>
            <w:pPr>
              <w:spacing w:after="0"/>
              <w:rPr>
                <w:sz w:val="20"/>
                <w:szCs w:val="20"/>
                <w:color w:val="auto"/>
              </w:rPr>
            </w:pPr>
            <w:r>
              <w:rPr>
                <w:rFonts w:ascii="Arial" w:cs="Arial" w:eastAsia="Arial" w:hAnsi="Arial"/>
                <w:sz w:val="14"/>
                <w:szCs w:val="14"/>
                <w:color w:val="auto"/>
              </w:rPr>
              <w:t>Operating Engineers</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Miscellaneous</w:t>
            </w: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Union Wage &amp;</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25,000.00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5/22/2013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5/21/2014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Continuation</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Local 825 Benefit</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Welfare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Certificate</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20"/>
                <w:szCs w:val="20"/>
                <w:color w:val="auto"/>
              </w:rPr>
            </w:pPr>
            <w:r>
              <w:rPr>
                <w:rFonts w:ascii="Arial" w:cs="Arial" w:eastAsia="Arial" w:hAnsi="Arial"/>
                <w:sz w:val="14"/>
                <w:szCs w:val="14"/>
                <w:color w:val="auto"/>
              </w:rPr>
              <w:t>Funds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09104785</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340" w:type="dxa"/>
            <w:vAlign w:val="bottom"/>
          </w:tcPr>
          <w:p>
            <w:pPr>
              <w:spacing w:after="0"/>
              <w:rPr>
                <w:sz w:val="20"/>
                <w:szCs w:val="20"/>
                <w:color w:val="auto"/>
              </w:rPr>
            </w:pPr>
            <w:r>
              <w:rPr>
                <w:rFonts w:ascii="Arial" w:cs="Arial" w:eastAsia="Arial" w:hAnsi="Arial"/>
                <w:sz w:val="14"/>
                <w:szCs w:val="14"/>
                <w:color w:val="auto"/>
              </w:rPr>
              <w:t>City of Quincy</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Miscellaneous</w:t>
            </w: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w w:val="95"/>
              </w:rPr>
              <w:t>#13-270; Demolition</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687,000.00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6/14/2013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6/13/2014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Term Bond</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Contracts</w:t>
            </w: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of Old Quincy High</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School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09104813</w:t>
            </w:r>
          </w:p>
        </w:tc>
        <w:tc>
          <w:tcPr>
            <w:tcW w:w="1320" w:type="dxa"/>
            <w:vAlign w:val="bottom"/>
            <w:gridSpan w:val="2"/>
          </w:tcPr>
          <w:p>
            <w:pPr>
              <w:spacing w:after="0"/>
              <w:rPr>
                <w:sz w:val="20"/>
                <w:szCs w:val="20"/>
                <w:color w:val="auto"/>
              </w:rPr>
            </w:pPr>
            <w:r>
              <w:rPr>
                <w:rFonts w:ascii="Arial" w:cs="Arial" w:eastAsia="Arial" w:hAnsi="Arial"/>
                <w:sz w:val="14"/>
                <w:szCs w:val="14"/>
                <w:color w:val="auto"/>
              </w:rPr>
              <w:t>Fidelity and Deposit</w:t>
            </w:r>
          </w:p>
        </w:tc>
        <w:tc>
          <w:tcPr>
            <w:tcW w:w="1340" w:type="dxa"/>
            <w:vAlign w:val="bottom"/>
          </w:tcPr>
          <w:p>
            <w:pPr>
              <w:spacing w:after="0"/>
              <w:rPr>
                <w:sz w:val="20"/>
                <w:szCs w:val="20"/>
                <w:color w:val="auto"/>
              </w:rPr>
            </w:pPr>
            <w:r>
              <w:rPr>
                <w:rFonts w:ascii="Arial" w:cs="Arial" w:eastAsia="Arial" w:hAnsi="Arial"/>
                <w:sz w:val="14"/>
                <w:szCs w:val="14"/>
                <w:color w:val="auto"/>
              </w:rPr>
              <w:t>City of Perth Amboy</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w w:val="98"/>
              </w:rPr>
              <w:t>All Other License and</w:t>
            </w: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FD Dore to</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75,000.00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7/29/2013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7/28/2014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46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3"/>
              </w:rPr>
              <w:t>Permit—Do Not Select</w:t>
            </w: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substitute its surety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2"/>
                <w:szCs w:val="12"/>
                <w:color w:val="auto"/>
              </w:rPr>
            </w:pPr>
          </w:p>
        </w:tc>
        <w:tc>
          <w:tcPr>
            <w:tcW w:w="1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Eff 1-1-05</w:t>
            </w: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9"/>
              </w:rPr>
              <w:t>on renewal License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or Permit Bond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Demolition Permits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2"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Bond</w:t>
            </w:r>
          </w:p>
        </w:tc>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Issuing Carrier</w:t>
            </w:r>
          </w:p>
        </w:tc>
        <w:tc>
          <w:tcPr>
            <w:tcW w:w="120" w:type="dxa"/>
            <w:vAlign w:val="bottom"/>
            <w:vMerge w:val="restart"/>
          </w:tcPr>
          <w:p>
            <w:pPr>
              <w:spacing w:after="0"/>
              <w:rPr>
                <w:sz w:val="14"/>
                <w:szCs w:val="14"/>
                <w:color w:val="auto"/>
              </w:rPr>
            </w:pP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Obligee</w:t>
            </w:r>
          </w:p>
        </w:tc>
        <w:tc>
          <w:tcPr>
            <w:tcW w:w="100" w:type="dxa"/>
            <w:vAlign w:val="bottom"/>
          </w:tcPr>
          <w:p>
            <w:pPr>
              <w:spacing w:after="0"/>
              <w:rPr>
                <w:sz w:val="14"/>
                <w:szCs w:val="14"/>
                <w:color w:val="auto"/>
              </w:rPr>
            </w:pP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Type of Bond</w:t>
            </w:r>
          </w:p>
        </w:tc>
        <w:tc>
          <w:tcPr>
            <w:tcW w:w="100" w:type="dxa"/>
            <w:vAlign w:val="bottom"/>
          </w:tcPr>
          <w:p>
            <w:pPr>
              <w:spacing w:after="0"/>
              <w:rPr>
                <w:sz w:val="14"/>
                <w:szCs w:val="14"/>
                <w:color w:val="auto"/>
              </w:rPr>
            </w:pPr>
          </w:p>
        </w:tc>
        <w:tc>
          <w:tcPr>
            <w:tcW w:w="12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Bond Amount</w:t>
            </w:r>
          </w:p>
        </w:tc>
        <w:tc>
          <w:tcPr>
            <w:tcW w:w="180" w:type="dxa"/>
            <w:vAlign w:val="bottom"/>
            <w:vMerge w:val="restart"/>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Effective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Expiration</w:t>
            </w: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Renewal Method</w:t>
            </w:r>
          </w:p>
        </w:tc>
        <w:tc>
          <w:tcPr>
            <w:tcW w:w="120" w:type="dxa"/>
            <w:vAlign w:val="bottom"/>
            <w:vMerge w:val="restart"/>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Completion Year</w:t>
            </w:r>
          </w:p>
        </w:tc>
        <w:tc>
          <w:tcPr>
            <w:tcW w:w="0" w:type="dxa"/>
            <w:vAlign w:val="bottom"/>
          </w:tcPr>
          <w:p>
            <w:pPr>
              <w:spacing w:after="0"/>
              <w:rPr>
                <w:sz w:val="1"/>
                <w:szCs w:val="1"/>
                <w:color w:val="auto"/>
              </w:rPr>
            </w:pPr>
          </w:p>
        </w:tc>
      </w:tr>
      <w:tr>
        <w:trPr>
          <w:trHeight w:val="169"/>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80" w:type="dxa"/>
            <w:vAlign w:val="bottom"/>
            <w:gridSpan w:val="2"/>
          </w:tcPr>
          <w:p>
            <w:pPr>
              <w:spacing w:after="0"/>
              <w:rPr>
                <w:sz w:val="20"/>
                <w:szCs w:val="20"/>
                <w:color w:val="auto"/>
              </w:rPr>
            </w:pPr>
            <w:r>
              <w:rPr>
                <w:rFonts w:ascii="Arial" w:cs="Arial" w:eastAsia="Arial" w:hAnsi="Arial"/>
                <w:sz w:val="14"/>
                <w:szCs w:val="14"/>
                <w:color w:val="auto"/>
              </w:rPr>
              <w:t>09104819</w:t>
            </w:r>
          </w:p>
        </w:tc>
        <w:tc>
          <w:tcPr>
            <w:tcW w:w="1120" w:type="dxa"/>
            <w:vAlign w:val="bottom"/>
            <w:gridSpan w:val="2"/>
          </w:tcPr>
          <w:p>
            <w:pPr>
              <w:spacing w:after="0"/>
              <w:rPr>
                <w:sz w:val="20"/>
                <w:szCs w:val="20"/>
                <w:color w:val="auto"/>
              </w:rPr>
            </w:pPr>
            <w:r>
              <w:rPr>
                <w:rFonts w:ascii="Arial" w:cs="Arial" w:eastAsia="Arial" w:hAnsi="Arial"/>
                <w:sz w:val="14"/>
                <w:szCs w:val="14"/>
                <w:color w:val="auto"/>
              </w:rPr>
              <w:t>Fidelity and</w:t>
            </w:r>
          </w:p>
        </w:tc>
        <w:tc>
          <w:tcPr>
            <w:tcW w:w="1340" w:type="dxa"/>
            <w:vAlign w:val="bottom"/>
          </w:tcPr>
          <w:p>
            <w:pPr>
              <w:spacing w:after="0"/>
              <w:rPr>
                <w:sz w:val="20"/>
                <w:szCs w:val="20"/>
                <w:color w:val="auto"/>
              </w:rPr>
            </w:pPr>
            <w:r>
              <w:rPr>
                <w:rFonts w:ascii="Arial" w:cs="Arial" w:eastAsia="Arial" w:hAnsi="Arial"/>
                <w:sz w:val="14"/>
                <w:szCs w:val="14"/>
                <w:color w:val="auto"/>
              </w:rPr>
              <w:t>Skanska Koch Inc.</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Contract</w:t>
            </w:r>
          </w:p>
        </w:tc>
        <w:tc>
          <w:tcPr>
            <w:tcW w:w="1460" w:type="dxa"/>
            <w:vAlign w:val="bottom"/>
            <w:gridSpan w:val="3"/>
          </w:tcPr>
          <w:p>
            <w:pPr>
              <w:ind w:left="100"/>
              <w:spacing w:after="0"/>
              <w:rPr>
                <w:sz w:val="20"/>
                <w:szCs w:val="20"/>
                <w:color w:val="auto"/>
              </w:rPr>
            </w:pPr>
            <w:r>
              <w:rPr>
                <w:rFonts w:ascii="Arial" w:cs="Arial" w:eastAsia="Arial" w:hAnsi="Arial"/>
                <w:sz w:val="14"/>
                <w:szCs w:val="14"/>
                <w:color w:val="auto"/>
              </w:rPr>
              <w:t>Bayonne Bridge—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20,359,375.00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8/6/2013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8/5/2014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Term Bond</w:t>
            </w:r>
          </w:p>
        </w:tc>
        <w:tc>
          <w:tcPr>
            <w:tcW w:w="1220" w:type="dxa"/>
            <w:vAlign w:val="bottom"/>
          </w:tcPr>
          <w:p>
            <w:pPr>
              <w:jc w:val="right"/>
              <w:ind w:right="868"/>
              <w:spacing w:after="0"/>
              <w:rPr>
                <w:sz w:val="20"/>
                <w:szCs w:val="20"/>
                <w:color w:val="auto"/>
              </w:rPr>
            </w:pPr>
            <w:r>
              <w:rPr>
                <w:rFonts w:ascii="Arial" w:cs="Arial" w:eastAsia="Arial" w:hAnsi="Arial"/>
                <w:sz w:val="14"/>
                <w:szCs w:val="14"/>
                <w:color w:val="auto"/>
                <w:w w:val="83"/>
              </w:rPr>
              <w:t>2015</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Deposit</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Kiewit Infrastructure</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Replacement of</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Co. (JV) DBA</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Main Span Roadway</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Skanska Kiewit JV.</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&amp; Approach</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(S/K) JV</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Structures Contract</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Number: AKB-</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264.039 Job No.</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color w:val="auto"/>
              </w:rPr>
              <w:t>012100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09104841</w:t>
            </w:r>
          </w:p>
        </w:tc>
        <w:tc>
          <w:tcPr>
            <w:tcW w:w="1120" w:type="dxa"/>
            <w:vAlign w:val="bottom"/>
            <w:gridSpan w:val="2"/>
          </w:tcPr>
          <w:p>
            <w:pPr>
              <w:spacing w:after="0"/>
              <w:rPr>
                <w:sz w:val="20"/>
                <w:szCs w:val="20"/>
                <w:color w:val="auto"/>
              </w:rPr>
            </w:pPr>
            <w:r>
              <w:rPr>
                <w:rFonts w:ascii="Arial" w:cs="Arial" w:eastAsia="Arial" w:hAnsi="Arial"/>
                <w:sz w:val="14"/>
                <w:szCs w:val="14"/>
                <w:color w:val="auto"/>
              </w:rPr>
              <w:t>Fidelity and</w:t>
            </w:r>
          </w:p>
        </w:tc>
        <w:tc>
          <w:tcPr>
            <w:tcW w:w="1340" w:type="dxa"/>
            <w:vAlign w:val="bottom"/>
          </w:tcPr>
          <w:p>
            <w:pPr>
              <w:spacing w:after="0"/>
              <w:rPr>
                <w:sz w:val="20"/>
                <w:szCs w:val="20"/>
                <w:color w:val="auto"/>
              </w:rPr>
            </w:pPr>
            <w:r>
              <w:rPr>
                <w:rFonts w:ascii="Arial" w:cs="Arial" w:eastAsia="Arial" w:hAnsi="Arial"/>
                <w:sz w:val="14"/>
                <w:szCs w:val="14"/>
                <w:color w:val="auto"/>
                <w:w w:val="94"/>
              </w:rPr>
              <w:t>Halmar/A Servidone—</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Miscellaneous</w:t>
            </w:r>
          </w:p>
        </w:tc>
        <w:tc>
          <w:tcPr>
            <w:tcW w:w="1460" w:type="dxa"/>
            <w:vAlign w:val="bottom"/>
            <w:gridSpan w:val="3"/>
          </w:tcPr>
          <w:p>
            <w:pPr>
              <w:ind w:left="100"/>
              <w:spacing w:after="0"/>
              <w:rPr>
                <w:sz w:val="20"/>
                <w:szCs w:val="20"/>
                <w:color w:val="auto"/>
              </w:rPr>
            </w:pPr>
            <w:r>
              <w:rPr>
                <w:rFonts w:ascii="Arial" w:cs="Arial" w:eastAsia="Arial" w:hAnsi="Arial"/>
                <w:sz w:val="14"/>
                <w:szCs w:val="14"/>
                <w:color w:val="auto"/>
              </w:rPr>
              <w:t>SC-S1301.11.019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766,487.00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8/22/2013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8/21/2014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Term Bond</w:t>
            </w:r>
          </w:p>
        </w:tc>
        <w:tc>
          <w:tcPr>
            <w:tcW w:w="1220" w:type="dxa"/>
            <w:vAlign w:val="bottom"/>
          </w:tcPr>
          <w:p>
            <w:pPr>
              <w:jc w:val="right"/>
              <w:ind w:right="868"/>
              <w:spacing w:after="0"/>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Deposit</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B Anthony JV</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Contracts</w:t>
            </w: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Contract D262091</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Patroon Island</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Bridge I-90/I-787</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Interchange Bridges</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C66-17, Interstate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Route 504 Albany</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and Rensselaer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color w:val="auto"/>
              </w:rPr>
              <w:t>County</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09104854</w:t>
            </w:r>
          </w:p>
        </w:tc>
        <w:tc>
          <w:tcPr>
            <w:tcW w:w="1120" w:type="dxa"/>
            <w:vAlign w:val="bottom"/>
            <w:gridSpan w:val="2"/>
          </w:tcPr>
          <w:p>
            <w:pPr>
              <w:spacing w:after="0"/>
              <w:rPr>
                <w:sz w:val="20"/>
                <w:szCs w:val="20"/>
                <w:color w:val="auto"/>
              </w:rPr>
            </w:pPr>
            <w:r>
              <w:rPr>
                <w:rFonts w:ascii="Arial" w:cs="Arial" w:eastAsia="Arial" w:hAnsi="Arial"/>
                <w:sz w:val="14"/>
                <w:szCs w:val="14"/>
                <w:color w:val="auto"/>
              </w:rPr>
              <w:t>Fidelity and</w:t>
            </w:r>
          </w:p>
        </w:tc>
        <w:tc>
          <w:tcPr>
            <w:tcW w:w="1340" w:type="dxa"/>
            <w:vAlign w:val="bottom"/>
          </w:tcPr>
          <w:p>
            <w:pPr>
              <w:spacing w:after="0"/>
              <w:rPr>
                <w:sz w:val="20"/>
                <w:szCs w:val="20"/>
                <w:color w:val="auto"/>
              </w:rPr>
            </w:pPr>
            <w:r>
              <w:rPr>
                <w:rFonts w:ascii="Arial" w:cs="Arial" w:eastAsia="Arial" w:hAnsi="Arial"/>
                <w:sz w:val="14"/>
                <w:szCs w:val="14"/>
                <w:color w:val="auto"/>
              </w:rPr>
              <w:t>City of Meriden</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Contract</w:t>
            </w:r>
          </w:p>
        </w:tc>
        <w:tc>
          <w:tcPr>
            <w:tcW w:w="1460" w:type="dxa"/>
            <w:vAlign w:val="bottom"/>
            <w:gridSpan w:val="3"/>
          </w:tcPr>
          <w:p>
            <w:pPr>
              <w:ind w:left="100"/>
              <w:spacing w:after="0"/>
              <w:rPr>
                <w:sz w:val="20"/>
                <w:szCs w:val="20"/>
                <w:color w:val="auto"/>
              </w:rPr>
            </w:pPr>
            <w:r>
              <w:rPr>
                <w:rFonts w:ascii="Arial" w:cs="Arial" w:eastAsia="Arial" w:hAnsi="Arial"/>
                <w:sz w:val="14"/>
                <w:szCs w:val="14"/>
                <w:color w:val="auto"/>
              </w:rPr>
              <w:t>Demolition of 33,51,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565,000.00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9/12/2013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9/11/2014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Term Bond</w:t>
            </w:r>
          </w:p>
        </w:tc>
        <w:tc>
          <w:tcPr>
            <w:tcW w:w="1220" w:type="dxa"/>
            <w:vAlign w:val="bottom"/>
          </w:tcPr>
          <w:p>
            <w:pPr>
              <w:jc w:val="right"/>
              <w:ind w:right="868"/>
              <w:spacing w:after="0"/>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Deposit</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53 South Colony</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Street Meriden, CT</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09104864</w:t>
            </w:r>
          </w:p>
        </w:tc>
        <w:tc>
          <w:tcPr>
            <w:tcW w:w="1120" w:type="dxa"/>
            <w:vAlign w:val="bottom"/>
            <w:gridSpan w:val="2"/>
          </w:tcPr>
          <w:p>
            <w:pPr>
              <w:spacing w:after="0"/>
              <w:rPr>
                <w:sz w:val="20"/>
                <w:szCs w:val="20"/>
                <w:color w:val="auto"/>
              </w:rPr>
            </w:pPr>
            <w:r>
              <w:rPr>
                <w:rFonts w:ascii="Arial" w:cs="Arial" w:eastAsia="Arial" w:hAnsi="Arial"/>
                <w:sz w:val="14"/>
                <w:szCs w:val="14"/>
                <w:color w:val="auto"/>
              </w:rPr>
              <w:t>Fidelity and</w:t>
            </w:r>
          </w:p>
        </w:tc>
        <w:tc>
          <w:tcPr>
            <w:tcW w:w="1340" w:type="dxa"/>
            <w:vAlign w:val="bottom"/>
          </w:tcPr>
          <w:p>
            <w:pPr>
              <w:spacing w:after="0"/>
              <w:rPr>
                <w:sz w:val="20"/>
                <w:szCs w:val="20"/>
                <w:color w:val="auto"/>
              </w:rPr>
            </w:pPr>
            <w:r>
              <w:rPr>
                <w:rFonts w:ascii="Arial" w:cs="Arial" w:eastAsia="Arial" w:hAnsi="Arial"/>
                <w:sz w:val="14"/>
                <w:szCs w:val="14"/>
                <w:color w:val="auto"/>
              </w:rPr>
              <w:t>Barletta Heavy/O&amp;G,</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Class A Contract</w:t>
            </w:r>
          </w:p>
        </w:tc>
        <w:tc>
          <w:tcPr>
            <w:tcW w:w="1460" w:type="dxa"/>
            <w:vAlign w:val="bottom"/>
            <w:gridSpan w:val="3"/>
          </w:tcPr>
          <w:p>
            <w:pPr>
              <w:ind w:left="100"/>
              <w:spacing w:after="0"/>
              <w:rPr>
                <w:sz w:val="20"/>
                <w:szCs w:val="20"/>
                <w:color w:val="auto"/>
              </w:rPr>
            </w:pPr>
            <w:r>
              <w:rPr>
                <w:rFonts w:ascii="Arial" w:cs="Arial" w:eastAsia="Arial" w:hAnsi="Arial"/>
                <w:sz w:val="14"/>
                <w:szCs w:val="14"/>
                <w:color w:val="auto"/>
              </w:rPr>
              <w:t>Fall River—</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5,650,000.00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9/16/2013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9/15/2014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Continuation</w:t>
            </w:r>
          </w:p>
        </w:tc>
        <w:tc>
          <w:tcPr>
            <w:tcW w:w="1220" w:type="dxa"/>
            <w:vAlign w:val="bottom"/>
          </w:tcPr>
          <w:p>
            <w:pPr>
              <w:jc w:val="right"/>
              <w:ind w:right="868"/>
              <w:spacing w:after="0"/>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Deposit</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JV</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Somerset: Route 79-</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Certificate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I195, Interchange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Reconstruction, over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Route 138 (Davol</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Street) and Structural</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Repairs and Painting</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color w:val="auto"/>
              </w:rPr>
              <w:t>of the Braga Bridge</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09104876</w:t>
            </w:r>
          </w:p>
        </w:tc>
        <w:tc>
          <w:tcPr>
            <w:tcW w:w="1120" w:type="dxa"/>
            <w:vAlign w:val="bottom"/>
            <w:gridSpan w:val="2"/>
          </w:tcPr>
          <w:p>
            <w:pPr>
              <w:spacing w:after="0"/>
              <w:rPr>
                <w:sz w:val="20"/>
                <w:szCs w:val="20"/>
                <w:color w:val="auto"/>
              </w:rPr>
            </w:pPr>
            <w:r>
              <w:rPr>
                <w:rFonts w:ascii="Arial" w:cs="Arial" w:eastAsia="Arial" w:hAnsi="Arial"/>
                <w:sz w:val="14"/>
                <w:szCs w:val="14"/>
                <w:color w:val="auto"/>
              </w:rPr>
              <w:t>Fidelity and</w:t>
            </w:r>
          </w:p>
        </w:tc>
        <w:tc>
          <w:tcPr>
            <w:tcW w:w="1340" w:type="dxa"/>
            <w:vAlign w:val="bottom"/>
          </w:tcPr>
          <w:p>
            <w:pPr>
              <w:spacing w:after="0"/>
              <w:rPr>
                <w:sz w:val="20"/>
                <w:szCs w:val="20"/>
                <w:color w:val="auto"/>
              </w:rPr>
            </w:pPr>
            <w:r>
              <w:rPr>
                <w:rFonts w:ascii="Arial" w:cs="Arial" w:eastAsia="Arial" w:hAnsi="Arial"/>
                <w:sz w:val="14"/>
                <w:szCs w:val="14"/>
                <w:color w:val="auto"/>
                <w:w w:val="99"/>
              </w:rPr>
              <w:t>Consigli Construction</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Class A Contract</w:t>
            </w:r>
          </w:p>
        </w:tc>
        <w:tc>
          <w:tcPr>
            <w:tcW w:w="1460" w:type="dxa"/>
            <w:vAlign w:val="bottom"/>
            <w:gridSpan w:val="3"/>
          </w:tcPr>
          <w:p>
            <w:pPr>
              <w:ind w:left="100"/>
              <w:spacing w:after="0"/>
              <w:rPr>
                <w:sz w:val="20"/>
                <w:szCs w:val="20"/>
                <w:color w:val="auto"/>
              </w:rPr>
            </w:pPr>
            <w:r>
              <w:rPr>
                <w:rFonts w:ascii="Arial" w:cs="Arial" w:eastAsia="Arial" w:hAnsi="Arial"/>
                <w:sz w:val="14"/>
                <w:szCs w:val="14"/>
                <w:color w:val="auto"/>
              </w:rPr>
              <w:t>MIT Bldg E-52,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1,550,000.00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9/30/2013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9/29/2014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Continuation</w:t>
            </w:r>
          </w:p>
        </w:tc>
        <w:tc>
          <w:tcPr>
            <w:tcW w:w="1220" w:type="dxa"/>
            <w:vAlign w:val="bottom"/>
          </w:tcPr>
          <w:p>
            <w:pPr>
              <w:jc w:val="right"/>
              <w:ind w:right="868"/>
              <w:spacing w:after="0"/>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Deposit</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Co., Inc.</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Cambridge, MA SC-</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Certificate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Company of</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1027-005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Maryland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2"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Bond</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Issuing Carrier</w:t>
            </w:r>
          </w:p>
        </w:tc>
        <w:tc>
          <w:tcPr>
            <w:tcW w:w="100" w:type="dxa"/>
            <w:vAlign w:val="bottom"/>
          </w:tcPr>
          <w:p>
            <w:pPr>
              <w:spacing w:after="0"/>
              <w:rPr>
                <w:sz w:val="14"/>
                <w:szCs w:val="14"/>
                <w:color w:val="auto"/>
              </w:rPr>
            </w:pP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Obligee</w:t>
            </w:r>
          </w:p>
        </w:tc>
        <w:tc>
          <w:tcPr>
            <w:tcW w:w="100" w:type="dxa"/>
            <w:vAlign w:val="bottom"/>
          </w:tcPr>
          <w:p>
            <w:pPr>
              <w:spacing w:after="0"/>
              <w:rPr>
                <w:sz w:val="14"/>
                <w:szCs w:val="14"/>
                <w:color w:val="auto"/>
              </w:rPr>
            </w:pP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Type of Bond</w:t>
            </w:r>
          </w:p>
        </w:tc>
        <w:tc>
          <w:tcPr>
            <w:tcW w:w="100" w:type="dxa"/>
            <w:vAlign w:val="bottom"/>
          </w:tcPr>
          <w:p>
            <w:pPr>
              <w:spacing w:after="0"/>
              <w:rPr>
                <w:sz w:val="14"/>
                <w:szCs w:val="14"/>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Bond</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Effective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Expiration</w:t>
            </w: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Renewal Method</w:t>
            </w:r>
          </w:p>
        </w:tc>
        <w:tc>
          <w:tcPr>
            <w:tcW w:w="120" w:type="dxa"/>
            <w:vAlign w:val="bottom"/>
            <w:vMerge w:val="restart"/>
          </w:tcPr>
          <w:p>
            <w:pPr>
              <w:spacing w:after="0"/>
              <w:rPr>
                <w:sz w:val="14"/>
                <w:szCs w:val="14"/>
                <w:color w:val="auto"/>
              </w:rPr>
            </w:pP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Completion Year</w:t>
            </w:r>
          </w:p>
        </w:tc>
        <w:tc>
          <w:tcPr>
            <w:tcW w:w="0" w:type="dxa"/>
            <w:vAlign w:val="bottom"/>
          </w:tcPr>
          <w:p>
            <w:pPr>
              <w:spacing w:after="0"/>
              <w:rPr>
                <w:sz w:val="1"/>
                <w:szCs w:val="1"/>
                <w:color w:val="auto"/>
              </w:rPr>
            </w:pPr>
          </w:p>
        </w:tc>
      </w:tr>
      <w:tr>
        <w:trPr>
          <w:trHeight w:val="169"/>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80" w:type="dxa"/>
            <w:vAlign w:val="bottom"/>
            <w:gridSpan w:val="2"/>
          </w:tcPr>
          <w:p>
            <w:pPr>
              <w:spacing w:after="0"/>
              <w:rPr>
                <w:sz w:val="20"/>
                <w:szCs w:val="20"/>
                <w:color w:val="auto"/>
              </w:rPr>
            </w:pPr>
            <w:r>
              <w:rPr>
                <w:rFonts w:ascii="Arial" w:cs="Arial" w:eastAsia="Arial" w:hAnsi="Arial"/>
                <w:sz w:val="14"/>
                <w:szCs w:val="14"/>
                <w:color w:val="auto"/>
              </w:rPr>
              <w:t>09104890</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Contractors State</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All Contractor’s</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w w:val="95"/>
              </w:rPr>
              <w:t>Contractor’s License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12,500.00</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10/3/2013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10/2/2014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License Board</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License-Perf-Payt-</w:t>
            </w: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Bond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Municipality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09104893</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State of California</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License &amp; Permit</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CA LLC Employee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10/3/2013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10/2/2014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—Worker License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6"/>
              </w:rPr>
              <w:t>Bond 13B-20 Rev 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09104889</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Contractor’s State</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All Contractors</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Bond for Qualifying</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12,500.00</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10/3/2013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10/2/2014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License Board</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License-Perf-Payt-</w:t>
            </w: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Individual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State—Standard</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09104882</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w w:val="98"/>
              </w:rPr>
              <w:t>O &amp; G Industries, Inc.</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Contract</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#210-301 Orville H</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3,321,200.00</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10/4/2013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10/3/2014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Term Bond</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Platt High School,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Meriden, CT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09104883</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Dimeo Construction</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Contract</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#4-4979 FM Global</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4,684,631.00</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10/4/2013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10/3/2014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Term Bond</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Company, Inc.</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—Northwoods,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Johnston, RI</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09125428</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w w:val="95"/>
              </w:rPr>
              <w:t>State of Iowa, Division</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License &amp; Permit</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IA Out-of-State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25,000.00</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12/12/2013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12/11/2014</w:t>
            </w:r>
          </w:p>
        </w:tc>
        <w:tc>
          <w:tcPr>
            <w:tcW w:w="1340" w:type="dxa"/>
            <w:vAlign w:val="bottom"/>
            <w:gridSpan w:val="2"/>
          </w:tcPr>
          <w:p>
            <w:pPr>
              <w:spacing w:after="0"/>
              <w:rPr>
                <w:sz w:val="20"/>
                <w:szCs w:val="20"/>
                <w:color w:val="auto"/>
              </w:rPr>
            </w:pPr>
            <w:r>
              <w:rPr>
                <w:rFonts w:ascii="Arial" w:cs="Arial" w:eastAsia="Arial" w:hAnsi="Arial"/>
                <w:sz w:val="14"/>
                <w:szCs w:val="14"/>
                <w:color w:val="auto"/>
              </w:rPr>
              <w:t>Continuation</w:t>
            </w:r>
          </w:p>
        </w:tc>
        <w:tc>
          <w:tcPr>
            <w:tcW w:w="1220" w:type="dxa"/>
            <w:vAlign w:val="bottom"/>
          </w:tcPr>
          <w:p>
            <w:pPr>
              <w:spacing w:after="0"/>
              <w:rPr>
                <w:sz w:val="20"/>
                <w:szCs w:val="20"/>
                <w:color w:val="auto"/>
              </w:rPr>
            </w:pPr>
            <w:r>
              <w:rPr>
                <w:rFonts w:ascii="Arial" w:cs="Arial" w:eastAsia="Arial" w:hAnsi="Arial"/>
                <w:sz w:val="14"/>
                <w:szCs w:val="14"/>
                <w:color w:val="auto"/>
                <w:w w:val="95"/>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of Labor</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Contractor Bond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Certificate</w:t>
            </w: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09125444</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Tully Construction</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Class A Contract</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LGA -124.208; La</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4,500,000.00</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1/29/2014</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1/28/2015</w:t>
            </w:r>
          </w:p>
        </w:tc>
        <w:tc>
          <w:tcPr>
            <w:tcW w:w="1340" w:type="dxa"/>
            <w:vAlign w:val="bottom"/>
            <w:gridSpan w:val="2"/>
          </w:tcPr>
          <w:p>
            <w:pPr>
              <w:spacing w:after="0"/>
              <w:rPr>
                <w:sz w:val="20"/>
                <w:szCs w:val="20"/>
                <w:color w:val="auto"/>
              </w:rPr>
            </w:pPr>
            <w:r>
              <w:rPr>
                <w:rFonts w:ascii="Arial" w:cs="Arial" w:eastAsia="Arial" w:hAnsi="Arial"/>
                <w:sz w:val="14"/>
                <w:szCs w:val="14"/>
                <w:color w:val="auto"/>
              </w:rPr>
              <w:t>Continuation</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 Inc</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Guardia Airport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Certificate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Abatement &amp;</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Demolition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Hangars 2 &amp; 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09125458</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AQE, Inc.</w:t>
            </w: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w w:val="97"/>
              </w:rPr>
              <w:t>Discharge Mechanic’s</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Williams College—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78,445.26</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2/24/2014</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2/24/2015</w:t>
            </w:r>
          </w:p>
        </w:tc>
        <w:tc>
          <w:tcPr>
            <w:tcW w:w="1340" w:type="dxa"/>
            <w:vAlign w:val="bottom"/>
            <w:gridSpan w:val="2"/>
          </w:tcPr>
          <w:p>
            <w:pPr>
              <w:spacing w:after="0"/>
              <w:rPr>
                <w:sz w:val="20"/>
                <w:szCs w:val="20"/>
                <w:color w:val="auto"/>
              </w:rPr>
            </w:pPr>
            <w:r>
              <w:rPr>
                <w:rFonts w:ascii="Arial" w:cs="Arial" w:eastAsia="Arial" w:hAnsi="Arial"/>
                <w:sz w:val="14"/>
                <w:szCs w:val="14"/>
                <w:color w:val="auto"/>
              </w:rPr>
              <w:t>Dore to substitute its</w:t>
            </w:r>
          </w:p>
        </w:tc>
        <w:tc>
          <w:tcPr>
            <w:tcW w:w="122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Lien Bond-DO NOT</w:t>
            </w: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Stetson Hall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surety on renewal</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8"/>
              </w:rPr>
              <w:t>USE-Try 246 247 276</w:t>
            </w: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Renovation &amp;</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or 277</w:t>
            </w: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Addition, 55 Sawyer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Drive/26 Hopkins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Hall Drive,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700"/>
        <w:spacing w:after="0" w:line="22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Williamstown, MA</w:t>
      </w:r>
    </w:p>
    <w:p>
      <w:pPr>
        <w:ind w:left="4700"/>
        <w:spacing w:after="0" w:line="221" w:lineRule="auto"/>
        <w:rPr>
          <w:sz w:val="20"/>
          <w:szCs w:val="20"/>
          <w:color w:val="auto"/>
        </w:rPr>
      </w:pPr>
      <w:r>
        <w:rPr>
          <w:rFonts w:ascii="Arial" w:cs="Arial" w:eastAsia="Arial" w:hAnsi="Arial"/>
          <w:sz w:val="14"/>
          <w:szCs w:val="14"/>
          <w:color w:val="auto"/>
        </w:rPr>
        <w:t>—Asbestos</w:t>
      </w:r>
    </w:p>
    <w:p>
      <w:pPr>
        <w:spacing w:after="0" w:line="1"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Abatement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2"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Bond</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Issuing Carrier</w:t>
            </w:r>
          </w:p>
        </w:tc>
        <w:tc>
          <w:tcPr>
            <w:tcW w:w="100" w:type="dxa"/>
            <w:vAlign w:val="bottom"/>
          </w:tcPr>
          <w:p>
            <w:pPr>
              <w:spacing w:after="0"/>
              <w:rPr>
                <w:sz w:val="14"/>
                <w:szCs w:val="14"/>
                <w:color w:val="auto"/>
              </w:rPr>
            </w:pP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Obligee</w:t>
            </w:r>
          </w:p>
        </w:tc>
        <w:tc>
          <w:tcPr>
            <w:tcW w:w="100" w:type="dxa"/>
            <w:vAlign w:val="bottom"/>
          </w:tcPr>
          <w:p>
            <w:pPr>
              <w:spacing w:after="0"/>
              <w:rPr>
                <w:sz w:val="14"/>
                <w:szCs w:val="14"/>
                <w:color w:val="auto"/>
              </w:rPr>
            </w:pP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Type of Bond</w:t>
            </w:r>
          </w:p>
        </w:tc>
        <w:tc>
          <w:tcPr>
            <w:tcW w:w="120" w:type="dxa"/>
            <w:vAlign w:val="bottom"/>
            <w:vMerge w:val="restart"/>
          </w:tcPr>
          <w:p>
            <w:pPr>
              <w:spacing w:after="0"/>
              <w:rPr>
                <w:sz w:val="14"/>
                <w:szCs w:val="14"/>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Bond Amount</w:t>
            </w:r>
          </w:p>
        </w:tc>
        <w:tc>
          <w:tcPr>
            <w:tcW w:w="200" w:type="dxa"/>
            <w:vAlign w:val="bottom"/>
            <w:vMerge w:val="restart"/>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4"/>
                <w:szCs w:val="14"/>
                <w:color w:val="auto"/>
              </w:rPr>
            </w:pPr>
          </w:p>
        </w:tc>
        <w:tc>
          <w:tcPr>
            <w:tcW w:w="12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Renewal Method</w:t>
            </w:r>
          </w:p>
        </w:tc>
        <w:tc>
          <w:tcPr>
            <w:tcW w:w="12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Completion Year</w:t>
            </w:r>
          </w:p>
        </w:tc>
        <w:tc>
          <w:tcPr>
            <w:tcW w:w="0" w:type="dxa"/>
            <w:vAlign w:val="bottom"/>
          </w:tcPr>
          <w:p>
            <w:pPr>
              <w:spacing w:after="0"/>
              <w:rPr>
                <w:sz w:val="1"/>
                <w:szCs w:val="1"/>
                <w:color w:val="auto"/>
              </w:rPr>
            </w:pPr>
          </w:p>
        </w:tc>
      </w:tr>
      <w:tr>
        <w:trPr>
          <w:trHeight w:val="169"/>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80" w:type="dxa"/>
            <w:vAlign w:val="bottom"/>
            <w:gridSpan w:val="2"/>
          </w:tcPr>
          <w:p>
            <w:pPr>
              <w:spacing w:after="0"/>
              <w:rPr>
                <w:sz w:val="20"/>
                <w:szCs w:val="20"/>
                <w:color w:val="auto"/>
              </w:rPr>
            </w:pPr>
            <w:r>
              <w:rPr>
                <w:rFonts w:ascii="Arial" w:cs="Arial" w:eastAsia="Arial" w:hAnsi="Arial"/>
                <w:sz w:val="14"/>
                <w:szCs w:val="14"/>
                <w:color w:val="auto"/>
              </w:rPr>
              <w:t>09125459</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AQE, Inc.</w:t>
            </w:r>
          </w:p>
        </w:tc>
        <w:tc>
          <w:tcPr>
            <w:tcW w:w="1560" w:type="dxa"/>
            <w:vAlign w:val="bottom"/>
            <w:gridSpan w:val="3"/>
          </w:tcPr>
          <w:p>
            <w:pPr>
              <w:ind w:left="100"/>
              <w:spacing w:after="0"/>
              <w:rPr>
                <w:sz w:val="20"/>
                <w:szCs w:val="20"/>
                <w:color w:val="auto"/>
              </w:rPr>
            </w:pPr>
            <w:r>
              <w:rPr>
                <w:rFonts w:ascii="Arial" w:cs="Arial" w:eastAsia="Arial" w:hAnsi="Arial"/>
                <w:sz w:val="14"/>
                <w:szCs w:val="14"/>
                <w:color w:val="auto"/>
              </w:rPr>
              <w:t>Discharge Mechanic’s</w:t>
            </w:r>
          </w:p>
        </w:tc>
        <w:tc>
          <w:tcPr>
            <w:tcW w:w="1240" w:type="dxa"/>
            <w:vAlign w:val="bottom"/>
          </w:tcPr>
          <w:p>
            <w:pPr>
              <w:spacing w:after="0"/>
              <w:rPr>
                <w:sz w:val="20"/>
                <w:szCs w:val="20"/>
                <w:color w:val="auto"/>
              </w:rPr>
            </w:pPr>
            <w:r>
              <w:rPr>
                <w:rFonts w:ascii="Arial" w:cs="Arial" w:eastAsia="Arial" w:hAnsi="Arial"/>
                <w:sz w:val="14"/>
                <w:szCs w:val="14"/>
                <w:color w:val="auto"/>
              </w:rPr>
              <w:t>Williams College—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91,782.60</w:t>
            </w:r>
          </w:p>
        </w:tc>
        <w:tc>
          <w:tcPr>
            <w:tcW w:w="2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2/24/2014</w:t>
            </w:r>
          </w:p>
        </w:tc>
        <w:tc>
          <w:tcPr>
            <w:tcW w:w="2080" w:type="dxa"/>
            <w:vAlign w:val="bottom"/>
            <w:gridSpan w:val="3"/>
          </w:tcPr>
          <w:p>
            <w:pPr>
              <w:ind w:left="80"/>
              <w:spacing w:after="0"/>
              <w:rPr>
                <w:sz w:val="20"/>
                <w:szCs w:val="20"/>
                <w:color w:val="auto"/>
              </w:rPr>
            </w:pPr>
            <w:r>
              <w:rPr>
                <w:rFonts w:ascii="Arial" w:cs="Arial" w:eastAsia="Arial" w:hAnsi="Arial"/>
                <w:sz w:val="14"/>
                <w:szCs w:val="14"/>
                <w:color w:val="auto"/>
                <w:w w:val="98"/>
              </w:rPr>
              <w:t>2/24/2015   Dore to substitute its</w:t>
            </w: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Lien Bond-DO NOT</w:t>
            </w: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Stetson Hall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surety on renewal</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USE-Try 246 247 276</w:t>
            </w: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Renovation &amp;</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or 277</w:t>
            </w:r>
          </w:p>
        </w:tc>
        <w:tc>
          <w:tcPr>
            <w:tcW w:w="1240" w:type="dxa"/>
            <w:vAlign w:val="bottom"/>
          </w:tcPr>
          <w:p>
            <w:pPr>
              <w:spacing w:after="0" w:line="149" w:lineRule="exact"/>
              <w:rPr>
                <w:sz w:val="20"/>
                <w:szCs w:val="20"/>
                <w:color w:val="auto"/>
              </w:rPr>
            </w:pPr>
            <w:r>
              <w:rPr>
                <w:rFonts w:ascii="Arial" w:cs="Arial" w:eastAsia="Arial" w:hAnsi="Arial"/>
                <w:sz w:val="14"/>
                <w:szCs w:val="14"/>
                <w:color w:val="auto"/>
                <w:w w:val="97"/>
              </w:rPr>
              <w:t>Addition, 55 Sawyer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Drive/26 Hopkins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Hall Drive,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Williamstown, MA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—Selective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Demolition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4"/>
                <w:szCs w:val="14"/>
                <w:color w:val="auto"/>
              </w:rPr>
              <w:t>09092447</w:t>
            </w:r>
          </w:p>
        </w:tc>
        <w:tc>
          <w:tcPr>
            <w:tcW w:w="1020" w:type="dxa"/>
            <w:vAlign w:val="bottom"/>
          </w:tcPr>
          <w:p>
            <w:pPr>
              <w:spacing w:after="0"/>
              <w:rPr>
                <w:sz w:val="20"/>
                <w:szCs w:val="20"/>
                <w:color w:val="auto"/>
              </w:rPr>
            </w:pPr>
            <w:r>
              <w:rPr>
                <w:rFonts w:ascii="Arial" w:cs="Arial" w:eastAsia="Arial" w:hAnsi="Arial"/>
                <w:sz w:val="14"/>
                <w:szCs w:val="14"/>
                <w:color w:val="auto"/>
              </w:rPr>
              <w:t>Fidelity and</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City of Cambridge,</w:t>
            </w:r>
          </w:p>
        </w:tc>
        <w:tc>
          <w:tcPr>
            <w:tcW w:w="1560" w:type="dxa"/>
            <w:vAlign w:val="bottom"/>
            <w:gridSpan w:val="3"/>
          </w:tcPr>
          <w:p>
            <w:pPr>
              <w:ind w:left="100"/>
              <w:spacing w:after="0"/>
              <w:rPr>
                <w:sz w:val="20"/>
                <w:szCs w:val="20"/>
                <w:color w:val="auto"/>
              </w:rPr>
            </w:pPr>
            <w:r>
              <w:rPr>
                <w:rFonts w:ascii="Arial" w:cs="Arial" w:eastAsia="Arial" w:hAnsi="Arial"/>
                <w:sz w:val="14"/>
                <w:szCs w:val="14"/>
                <w:color w:val="auto"/>
              </w:rPr>
              <w:t>All Other License and</w:t>
            </w:r>
          </w:p>
        </w:tc>
        <w:tc>
          <w:tcPr>
            <w:tcW w:w="1240" w:type="dxa"/>
            <w:vAlign w:val="bottom"/>
          </w:tcPr>
          <w:p>
            <w:pPr>
              <w:spacing w:after="0"/>
              <w:rPr>
                <w:sz w:val="20"/>
                <w:szCs w:val="20"/>
                <w:color w:val="auto"/>
              </w:rPr>
            </w:pPr>
            <w:r>
              <w:rPr>
                <w:rFonts w:ascii="Arial" w:cs="Arial" w:eastAsia="Arial" w:hAnsi="Arial"/>
                <w:sz w:val="14"/>
                <w:szCs w:val="14"/>
                <w:color w:val="auto"/>
              </w:rPr>
              <w:t>130 Bishop Allen</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12/3/2012</w:t>
            </w:r>
          </w:p>
        </w:tc>
        <w:tc>
          <w:tcPr>
            <w:tcW w:w="2080" w:type="dxa"/>
            <w:vAlign w:val="bottom"/>
            <w:gridSpan w:val="3"/>
          </w:tcPr>
          <w:p>
            <w:pPr>
              <w:ind w:left="80"/>
              <w:spacing w:after="0"/>
              <w:rPr>
                <w:sz w:val="20"/>
                <w:szCs w:val="20"/>
                <w:color w:val="auto"/>
              </w:rPr>
            </w:pPr>
            <w:r>
              <w:rPr>
                <w:rFonts w:ascii="Arial" w:cs="Arial" w:eastAsia="Arial" w:hAnsi="Arial"/>
                <w:sz w:val="14"/>
                <w:szCs w:val="14"/>
                <w:color w:val="auto"/>
                <w:w w:val="98"/>
              </w:rPr>
              <w:t>12/2/2014   Dore to substitute its</w:t>
            </w: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w w:val="97"/>
              </w:rPr>
              <w:t>GLDD until renewal,</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Deposit</w:t>
            </w:r>
          </w:p>
        </w:tc>
        <w:tc>
          <w:tcPr>
            <w:tcW w:w="1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Department of Public</w:t>
            </w:r>
          </w:p>
        </w:tc>
        <w:tc>
          <w:tcPr>
            <w:tcW w:w="15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Permit—Do Not</w:t>
            </w: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Drive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surety on renewal</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Dore renew</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Company of</w:t>
            </w:r>
          </w:p>
        </w:tc>
        <w:tc>
          <w:tcPr>
            <w:tcW w:w="14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Works</w:t>
            </w:r>
          </w:p>
        </w:tc>
        <w:tc>
          <w:tcPr>
            <w:tcW w:w="15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Select Eff 1-1-05</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Maryland</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45,637,827.86</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2"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Dore Indemnity Agreement (unexecuted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51510" cy="4800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15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General Indemnity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GENERAL INDEMNITY AGREEMENT (“Agreement”), dated this </w:t>
      </w:r>
      <w:r>
        <w:rPr>
          <w:rFonts w:ascii="Arial" w:cs="Arial" w:eastAsia="Arial" w:hAnsi="Arial"/>
          <w:sz w:val="18"/>
          <w:szCs w:val="18"/>
          <w:b w:val="1"/>
          <w:bCs w:val="1"/>
          <w:color w:val="auto"/>
        </w:rPr>
        <w:t>23rd</w:t>
      </w:r>
      <w:r>
        <w:rPr>
          <w:rFonts w:ascii="Arial" w:cs="Arial" w:eastAsia="Arial" w:hAnsi="Arial"/>
          <w:sz w:val="18"/>
          <w:szCs w:val="18"/>
          <w:color w:val="auto"/>
        </w:rPr>
        <w:t xml:space="preserve"> day of </w:t>
      </w:r>
      <w:r>
        <w:rPr>
          <w:rFonts w:ascii="Arial" w:cs="Arial" w:eastAsia="Arial" w:hAnsi="Arial"/>
          <w:sz w:val="18"/>
          <w:szCs w:val="18"/>
          <w:b w:val="1"/>
          <w:bCs w:val="1"/>
          <w:color w:val="auto"/>
        </w:rPr>
        <w:t>April</w:t>
      </w:r>
      <w:r>
        <w:rPr>
          <w:rFonts w:ascii="Arial" w:cs="Arial" w:eastAsia="Arial" w:hAnsi="Arial"/>
          <w:sz w:val="18"/>
          <w:szCs w:val="18"/>
          <w:color w:val="auto"/>
        </w:rPr>
        <w:t xml:space="preserve">, </w:t>
      </w:r>
      <w:r>
        <w:rPr>
          <w:rFonts w:ascii="Arial" w:cs="Arial" w:eastAsia="Arial" w:hAnsi="Arial"/>
          <w:sz w:val="18"/>
          <w:szCs w:val="18"/>
          <w:b w:val="1"/>
          <w:bCs w:val="1"/>
          <w:color w:val="auto"/>
        </w:rPr>
        <w:t>2014</w:t>
      </w:r>
      <w:r>
        <w:rPr>
          <w:rFonts w:ascii="Arial" w:cs="Arial" w:eastAsia="Arial" w:hAnsi="Arial"/>
          <w:sz w:val="18"/>
          <w:szCs w:val="18"/>
          <w:color w:val="auto"/>
        </w:rPr>
        <w:t xml:space="preserve"> by:</w:t>
      </w:r>
    </w:p>
    <w:p>
      <w:pPr>
        <w:spacing w:after="0" w:line="117" w:lineRule="exact"/>
        <w:rPr>
          <w:sz w:val="20"/>
          <w:szCs w:val="20"/>
          <w:color w:val="auto"/>
        </w:rPr>
      </w:pPr>
    </w:p>
    <w:p>
      <w:pPr>
        <w:ind w:right="2620"/>
        <w:spacing w:after="0" w:line="289" w:lineRule="auto"/>
        <w:rPr>
          <w:sz w:val="20"/>
          <w:szCs w:val="20"/>
          <w:color w:val="auto"/>
        </w:rPr>
      </w:pPr>
      <w:r>
        <w:rPr>
          <w:rFonts w:ascii="Arial" w:cs="Arial" w:eastAsia="Arial" w:hAnsi="Arial"/>
          <w:sz w:val="17"/>
          <w:szCs w:val="17"/>
          <w:b w:val="1"/>
          <w:bCs w:val="1"/>
          <w:color w:val="auto"/>
        </w:rPr>
        <w:t>Dore &amp; Associates Contracting, Inc., 900 S. Harry Truman Parkway, Bay City, MI 48706, a Michigan Corporation North American Leasing, Inc., 900 S. Harry Truman Parkway, Bay City, MI 48706, a Michigan Corporation River Front, LLC, [Address], 900 S. Harry Truman Parkway, Bay City, MI 48706, a Michigan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NASDI, LLC, 1365 Main Street, Waltham, MA 02451, a Delaware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Yankee Environmental Services, LLC, 29 Esquire Road, Billerica, MA 01862, a Delaware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new Indemnitors added to this Agreement by rider</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an “Indemnitor” and all of the above individually and collectively “Indemnitors”) in favor of ZURICH AMERICAN INSURANCE COMPANY and its subsidiaries, affiliates and associated companies in any jurisdiction, including but not limited to FIDELITY AND DEPOSIT COMPANY OF MARYLAND, COLONIAL AMERICAN CASUALTY AND SURETY COMPANY, AMERICAN GUARANTEE AND LIABILITY INSURANCE COMPANY and ZURICH INSURANCE GROUP LTD, their respective successors and assigns (individually and collectively “Surety”) with respect to any bond, undertaking, and/or obligation of suretyship or guarantee executed, provided or procured (herein “issued”) by Surety (whether as surety, co-surety, reinsurer or otherwise) in the name of or on behalf of any Indemnitor, any Related Entity, any other entity on request in accordance with this Agreement, or any combination thereof, whether issued prior to or after the execution of this Agreement, and all renewals, extensions, modifications and substitutions of bonds (collectively “Bonds” and each individually a “Bond”). This Agreement shall be liberally construed so as to fully protect, exonerate, indemnify and hold Surety harmless from all liability and Loss.</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an inducement to Surety to issue or refrain from cancelling Bonds, Indemnitors represent and agree for themselves, their heirs, executors, administrators, successors and assigns, jointly and severally, as follows:</w:t>
      </w:r>
    </w:p>
    <w:p>
      <w:pPr>
        <w:spacing w:after="0" w:line="58" w:lineRule="exact"/>
        <w:rPr>
          <w:sz w:val="20"/>
          <w:szCs w:val="20"/>
          <w:color w:val="auto"/>
        </w:rPr>
      </w:pPr>
    </w:p>
    <w:p>
      <w:pPr>
        <w:ind w:right="200" w:firstLine="8"/>
        <w:spacing w:after="0" w:line="313"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PREMIUMS</w:t>
      </w:r>
      <w:r>
        <w:rPr>
          <w:rFonts w:ascii="Arial" w:cs="Arial" w:eastAsia="Arial" w:hAnsi="Arial"/>
          <w:sz w:val="17"/>
          <w:szCs w:val="17"/>
          <w:color w:val="auto"/>
        </w:rPr>
        <w:t>: Indemnitors shall promptly pay all premiums and charges of Surety for Bonds, at the current rate charged by Surety, until Surety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satisfactory evidence, in its sole discretion, that it has been fully released and/or discharged from liability under such Bonds.</w:t>
      </w:r>
    </w:p>
    <w:p>
      <w:pPr>
        <w:spacing w:after="0" w:line="30" w:lineRule="exact"/>
        <w:rPr>
          <w:rFonts w:ascii="Arial" w:cs="Arial" w:eastAsia="Arial" w:hAnsi="Arial"/>
          <w:sz w:val="17"/>
          <w:szCs w:val="17"/>
          <w:color w:val="auto"/>
        </w:rPr>
      </w:pPr>
    </w:p>
    <w:p>
      <w:pPr>
        <w:ind w:firstLine="8"/>
        <w:spacing w:after="0" w:line="285"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INDEMNITY</w:t>
      </w:r>
      <w:r>
        <w:rPr>
          <w:rFonts w:ascii="Arial" w:cs="Arial" w:eastAsia="Arial" w:hAnsi="Arial"/>
          <w:sz w:val="16"/>
          <w:szCs w:val="16"/>
          <w:color w:val="auto"/>
        </w:rPr>
        <w:t>: Indemnitors shall exonerate, indemnify, and hold Surety harmless from any and all liability and Loss, sustained or incurred, arising from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related to: (a) any Bond, (b) any Claim, (c) any Indemnitor failing to timely and completely perform or comply with this Agreement, (d) Surety enforcing this Agreement or (e) any act of Surety to protect or procure any of Surety’s rights, protect or preserve any of Surety’s interests, or to avoid, or lessen Surety’s liability or alleged liability. The liability of Indemnitors to Surety under this Agreement includes all Claims made on Surety, all payments made, Loss incurred, and all actions taken by Surety under the Good Faith belief that Surety is, would be or was liable for the amounts paid or the actions taken, or that it was necessary or expedient to make such payments or take such actions, whether or not such liability, necessity or expediency existed. Indemnitors shall promptly, upon demand, make payment to Surety as soon as liability or Loss exists, whether or not Surety has made any payment. An itemized statement of Loss, sworn to by any officer of Surety, or the voucher or other evidence of any payment,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 amount and extent of the liability of Indemnitors for such Loss. Indemnitors shall promptly, upon demand, procure the full and complete discharge of Surety from all Bonds and all liability in connection with such Bonds. If Indemnitors are unable to obtain discharge of any or all such Bonds within the time demanded, Indemnitors shall promptly deposit with Surety an amount of money that Surety determines is sufficient to collateralize or pay any outstanding bonded obligations. Concurrently with the execution of this Agreement, NASDI, LLC (“NASDI”) and Yankee Environmental Services, LLC (Yankee) are executing a Rider to General Agreement of Indemnity by which Surety is releasing NASDI and Yankee from that certain Agreement of Indemnity, dated September 7, 2011 and executed by Great Lakes Dredge &amp; Dock Corporation and other entities as Contractors and Indemnitors thereunder (the “GLDD Indemnity”), and transferring the indemnity obligations for NASDI and Yankee with respect to certain Transferred Bonds (as defined in this provision) from the GLDD Indemnity to this Agreement. “Transferred Bonds” means the Bonds and bonded obligations identified on the attached EXHIBIT A, which Exhibit is incorporated into this Agreement by reference. This Agreement is not intended to, and shall not, alter any of the terms and/or conditions of the Transferred Bonds.</w:t>
      </w:r>
    </w:p>
    <w:p>
      <w:pPr>
        <w:spacing w:after="0" w:line="67" w:lineRule="exact"/>
        <w:rPr>
          <w:rFonts w:ascii="Arial" w:cs="Arial" w:eastAsia="Arial" w:hAnsi="Arial"/>
          <w:sz w:val="16"/>
          <w:szCs w:val="16"/>
          <w:color w:val="auto"/>
        </w:rPr>
      </w:pPr>
    </w:p>
    <w:p>
      <w:pPr>
        <w:jc w:val="both"/>
        <w:ind w:right="240" w:firstLine="8"/>
        <w:spacing w:after="0" w:line="303"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SURETY’S RIGHT TO PERFORM, SETTLE AND/OR MODIFY: </w:t>
      </w:r>
      <w:r>
        <w:rPr>
          <w:rFonts w:ascii="Arial" w:cs="Arial" w:eastAsia="Arial" w:hAnsi="Arial"/>
          <w:sz w:val="16"/>
          <w:szCs w:val="16"/>
          <w:color w:val="auto"/>
        </w:rPr>
        <w:t>Surety shall have the absolute and unconditional right and is authorized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(a) adjust, pay, perform, decline to perform, compromise, settle, deny, litigate or otherwise resolve any Claim and/or any claim, counterclaim, defense or setoff held by or made against any Indemnitor, Principal or other entity and/or to take any action to protect any rights of Surety or to preserve or protect Surety’s interests, or to avoid or lessen any alleged liability (hereinafter “Settlement”); and (b) modify, consent to or decline to consent to</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73" w:name="page74"/>
    <w:bookmarkEnd w:id="7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of any Bond and/or Bonded Contract, and/or to take, consent to or decline to consent to any assignment (hereinafter “Modification”). Any Settlement and/or Modification by Surety shall be final, binding and conclusive upon Indemnitors. Indemnitors shall remain bound under this Agreement for all Loss even though any such Settlement or Modification by Surety does or might substantially increase the liability of Indemnitors.</w:t>
      </w:r>
    </w:p>
    <w:p>
      <w:pPr>
        <w:spacing w:after="0" w:line="53" w:lineRule="exact"/>
        <w:rPr>
          <w:sz w:val="20"/>
          <w:szCs w:val="20"/>
          <w:color w:val="auto"/>
        </w:rPr>
      </w:pPr>
    </w:p>
    <w:p>
      <w:pPr>
        <w:ind w:right="60" w:firstLine="8"/>
        <w:spacing w:after="0" w:line="261"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PLACE IN FUNDS</w:t>
      </w:r>
      <w:r>
        <w:rPr>
          <w:rFonts w:ascii="Arial" w:cs="Arial" w:eastAsia="Arial" w:hAnsi="Arial"/>
          <w:sz w:val="18"/>
          <w:szCs w:val="18"/>
          <w:color w:val="auto"/>
        </w:rPr>
        <w:t>: Indemnitors agree to promptly deposit with Surety, on demand, an amount of money that Surety determines is sufficient to fund any</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or Loss. Such funds may be used by Surety to pay Loss or may be held by Surety as collateral against potential future Loss. Any remaining funds held by Surety after payment of all sums due to Surety under this Agreement shall be returned upon the complete release and/or discharge of Surety’s liability under all Bonds.</w:t>
      </w:r>
    </w:p>
    <w:p>
      <w:pPr>
        <w:spacing w:after="0" w:line="71" w:lineRule="exact"/>
        <w:rPr>
          <w:rFonts w:ascii="Arial" w:cs="Arial" w:eastAsia="Arial" w:hAnsi="Arial"/>
          <w:sz w:val="18"/>
          <w:szCs w:val="18"/>
          <w:color w:val="auto"/>
        </w:rPr>
      </w:pPr>
    </w:p>
    <w:p>
      <w:pPr>
        <w:ind w:firstLine="8"/>
        <w:spacing w:after="0" w:line="261"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PLEDGE AND ASSIGNMENT OF COLLATERAL</w:t>
      </w:r>
      <w:r>
        <w:rPr>
          <w:rFonts w:ascii="Arial" w:cs="Arial" w:eastAsia="Arial" w:hAnsi="Arial"/>
          <w:sz w:val="18"/>
          <w:szCs w:val="18"/>
          <w:color w:val="auto"/>
        </w:rPr>
        <w:t>: Indemnitors pledge, assign, transfer and set over to Surety the Collateral, as collateral to secure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in this Agreement, whether incurred before or after the execution of this Agreement, including a license to use the Collateral, without cost, to perform or discharge Surety’s obligations under any Bond or Bonded Contract. This pledge and assignment becomes effective on the date of this Agreement, or the earliest date allowable by law.</w:t>
      </w:r>
    </w:p>
    <w:p>
      <w:pPr>
        <w:spacing w:after="0" w:line="71" w:lineRule="exact"/>
        <w:rPr>
          <w:rFonts w:ascii="Arial" w:cs="Arial" w:eastAsia="Arial" w:hAnsi="Arial"/>
          <w:sz w:val="18"/>
          <w:szCs w:val="18"/>
          <w:color w:val="auto"/>
        </w:rPr>
      </w:pPr>
    </w:p>
    <w:p>
      <w:pPr>
        <w:ind w:right="20" w:firstLine="8"/>
        <w:spacing w:after="0" w:line="281"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TRUST FUNDS</w:t>
      </w:r>
      <w:r>
        <w:rPr>
          <w:rFonts w:ascii="Arial" w:cs="Arial" w:eastAsia="Arial" w:hAnsi="Arial"/>
          <w:sz w:val="17"/>
          <w:szCs w:val="17"/>
          <w:color w:val="auto"/>
        </w:rPr>
        <w:t>: All sums due, to become due, or received by any Indemnitor or Principal for or on account of any Bonded Contract are trust funds in</w:t>
      </w:r>
      <w:r>
        <w:rPr>
          <w:rFonts w:ascii="Arial" w:cs="Arial" w:eastAsia="Arial" w:hAnsi="Arial"/>
          <w:sz w:val="17"/>
          <w:szCs w:val="17"/>
          <w:b w:val="1"/>
          <w:bCs w:val="1"/>
          <w:color w:val="auto"/>
        </w:rPr>
        <w:t xml:space="preserve"> </w:t>
      </w:r>
      <w:r>
        <w:rPr>
          <w:rFonts w:ascii="Arial" w:cs="Arial" w:eastAsia="Arial" w:hAnsi="Arial"/>
          <w:sz w:val="17"/>
          <w:szCs w:val="17"/>
          <w:color w:val="auto"/>
        </w:rPr>
        <w:t>which Surety has an interest as a beneficiary of the trust whether in the possession of such Indemnitor or Principal or another. Such trust funds shall be held in trust for the benefit and payment of all obligations or Loss for which Surety may be liable under any Bond. Surety has the right, but not the obligation, to require that trust funds be placed in a dedicated trust fund account. This Agreement and declaration constitute notice of such trust.</w:t>
      </w:r>
    </w:p>
    <w:p>
      <w:pPr>
        <w:spacing w:after="0" w:line="56" w:lineRule="exact"/>
        <w:rPr>
          <w:rFonts w:ascii="Arial" w:cs="Arial" w:eastAsia="Arial" w:hAnsi="Arial"/>
          <w:sz w:val="17"/>
          <w:szCs w:val="17"/>
          <w:color w:val="auto"/>
        </w:rPr>
      </w:pPr>
    </w:p>
    <w:p>
      <w:pPr>
        <w:ind w:right="140" w:firstLine="8"/>
        <w:spacing w:after="0" w:line="289"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UNIFORM COMMERCIAL CODE</w:t>
      </w:r>
      <w:r>
        <w:rPr>
          <w:rFonts w:ascii="Arial" w:cs="Arial" w:eastAsia="Arial" w:hAnsi="Arial"/>
          <w:sz w:val="17"/>
          <w:szCs w:val="17"/>
          <w:color w:val="auto"/>
        </w:rPr>
        <w:t>: This Agreement constitutes a security agreement to Surety in accordance with the Uniform Commercial Code or</w:t>
      </w:r>
      <w:r>
        <w:rPr>
          <w:rFonts w:ascii="Arial" w:cs="Arial" w:eastAsia="Arial" w:hAnsi="Arial"/>
          <w:sz w:val="17"/>
          <w:szCs w:val="17"/>
          <w:b w:val="1"/>
          <w:bCs w:val="1"/>
          <w:color w:val="auto"/>
        </w:rPr>
        <w:t xml:space="preserve"> </w:t>
      </w:r>
      <w:r>
        <w:rPr>
          <w:rFonts w:ascii="Arial" w:cs="Arial" w:eastAsia="Arial" w:hAnsi="Arial"/>
          <w:sz w:val="17"/>
          <w:szCs w:val="17"/>
          <w:color w:val="auto"/>
        </w:rPr>
        <w:t>similar statute in any jurisdiction. Surety may file a photocopy or other reproduction of this Agreement as a financing statement or otherwise take any action or file any statement or documents to perfect the rights and interests granted in the Collateral or trust funds at any time.</w:t>
      </w:r>
    </w:p>
    <w:p>
      <w:pPr>
        <w:spacing w:after="0" w:line="50" w:lineRule="exact"/>
        <w:rPr>
          <w:rFonts w:ascii="Arial" w:cs="Arial" w:eastAsia="Arial" w:hAnsi="Arial"/>
          <w:sz w:val="17"/>
          <w:szCs w:val="17"/>
          <w:color w:val="auto"/>
        </w:rPr>
      </w:pPr>
    </w:p>
    <w:p>
      <w:pPr>
        <w:ind w:right="140" w:firstLine="8"/>
        <w:spacing w:after="0" w:line="266"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TAKEOVER</w:t>
      </w:r>
      <w:r>
        <w:rPr>
          <w:rFonts w:ascii="Arial" w:cs="Arial" w:eastAsia="Arial" w:hAnsi="Arial"/>
          <w:sz w:val="18"/>
          <w:szCs w:val="18"/>
          <w:color w:val="auto"/>
        </w:rPr>
        <w:t>: If an Event of Default occurs, Surety shall have the right, in its sole discretion, and is authorized to take possession of any part or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work, materials and equipment under any Bonded Contract and any other materials or equipment which Surety deems necessary or proper to perform such Bonded Contract, and to perform or arrange for the performance of such Bonded Contract.</w:t>
      </w:r>
    </w:p>
    <w:p>
      <w:pPr>
        <w:spacing w:after="0" w:line="68" w:lineRule="exact"/>
        <w:rPr>
          <w:rFonts w:ascii="Arial" w:cs="Arial" w:eastAsia="Arial" w:hAnsi="Arial"/>
          <w:sz w:val="18"/>
          <w:szCs w:val="18"/>
          <w:color w:val="auto"/>
        </w:rPr>
      </w:pPr>
    </w:p>
    <w:p>
      <w:pPr>
        <w:ind w:right="40" w:firstLine="8"/>
        <w:spacing w:after="0" w:line="258"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ADVANCES AND FINANCING</w:t>
      </w:r>
      <w:r>
        <w:rPr>
          <w:rFonts w:ascii="Arial" w:cs="Arial" w:eastAsia="Arial" w:hAnsi="Arial"/>
          <w:sz w:val="18"/>
          <w:szCs w:val="18"/>
          <w:color w:val="auto"/>
        </w:rPr>
        <w:t>: Surety is authorized to guarantee loans, to advance or lend money to any entity which Surety may see fit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facilitating performance of obligations under any Bond or Bonded Contract. Indemnitors shall indemnify Surety for all such loans or advances and all Loss incurred by Surety relating to such loans and advances. Any failure to use the loans or advances, in whole or in part, for performance of obligations under such Bonds or Bonded Contracts shall not be a defense to Indemnitors’ duty to indemnify Surety for such loans or advances. Surety has no obligation to provide financing or other support to any Principal or Indemnitor.</w:t>
      </w:r>
    </w:p>
    <w:p>
      <w:pPr>
        <w:spacing w:after="0" w:line="75" w:lineRule="exact"/>
        <w:rPr>
          <w:rFonts w:ascii="Arial" w:cs="Arial" w:eastAsia="Arial" w:hAnsi="Arial"/>
          <w:sz w:val="18"/>
          <w:szCs w:val="18"/>
          <w:color w:val="auto"/>
        </w:rPr>
      </w:pPr>
    </w:p>
    <w:p>
      <w:pPr>
        <w:ind w:right="40" w:firstLine="8"/>
        <w:spacing w:after="0" w:line="256"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BONDS FOR OTHER ENTITIES</w:t>
      </w:r>
      <w:r>
        <w:rPr>
          <w:rFonts w:ascii="Arial" w:cs="Arial" w:eastAsia="Arial" w:hAnsi="Arial"/>
          <w:sz w:val="18"/>
          <w:szCs w:val="18"/>
          <w:color w:val="auto"/>
        </w:rPr>
        <w:t>: Indemnitors’ obligations under this Agreement shall also apply to any Bond Surety issues for or on behalf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Entity. “Related Entity” means: (a) any present or future, directly or indirectly owned subsidiary or affiliate of any Indemnitor; (b) any legal entity in which any Indemnitor has or acquires an ownership interest; and (c) any joint ventures, consortiums, teaming arrangements or any other business collaboration or economic enterprise (“Joint Venture”) in which any Indemnitor is or was a member at the time the Bond was issued. Indemnitors’ obligations under this Agreement shall also apply to any Bond Surety issues for or on behalf of any entity other than a Related Entity, on the written request of any Indemnitor.</w:t>
      </w:r>
    </w:p>
    <w:p>
      <w:pPr>
        <w:spacing w:after="0" w:line="79" w:lineRule="exact"/>
        <w:rPr>
          <w:rFonts w:ascii="Arial" w:cs="Arial" w:eastAsia="Arial" w:hAnsi="Arial"/>
          <w:sz w:val="18"/>
          <w:szCs w:val="18"/>
          <w:color w:val="auto"/>
        </w:rPr>
      </w:pPr>
    </w:p>
    <w:p>
      <w:pPr>
        <w:ind w:right="120" w:firstLine="8"/>
        <w:spacing w:after="0" w:line="292" w:lineRule="auto"/>
        <w:tabs>
          <w:tab w:leader="none" w:pos="263"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FINANCIAL STATEMENTS, BOOKS AND RECORDS</w:t>
      </w:r>
      <w:r>
        <w:rPr>
          <w:rFonts w:ascii="Arial" w:cs="Arial" w:eastAsia="Arial" w:hAnsi="Arial"/>
          <w:sz w:val="16"/>
          <w:szCs w:val="16"/>
          <w:color w:val="auto"/>
        </w:rPr>
        <w:t>: Indemnitors shall promptly provide Surety with any and all information and documentation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concerning the business or financial situation of any Indemnitor or any subsidiary, affiliate or Related Entity of any Indemnitor, as requested by Surety. Indemnitors shall furnish on demand, and Surety shall have the right to access, examine and copy the books, records and accounts of Indemnitors and of any entity under the control of any Indemnitor, at no cost to Surety. Indemnitors authorize any entity in which funds of any Indemnitor may be deposited to furnish to Surety a statement of the amount of such deposits as of the date requested. Indemnitors authorize any and all lenders, obligees, subcontractors, suppliers, accountants, other insurers, and other persons or entities to furnish to Surety any information requested by Surety, including but not limited to the performance of obligations under any Bond or Bonded Contract and payments related to any such Bond or Bonded Contract.</w:t>
      </w:r>
    </w:p>
    <w:p>
      <w:pPr>
        <w:spacing w:after="0" w:line="53" w:lineRule="exact"/>
        <w:rPr>
          <w:rFonts w:ascii="Arial" w:cs="Arial" w:eastAsia="Arial" w:hAnsi="Arial"/>
          <w:sz w:val="16"/>
          <w:szCs w:val="16"/>
          <w:color w:val="auto"/>
        </w:rPr>
      </w:pPr>
    </w:p>
    <w:p>
      <w:pPr>
        <w:jc w:val="both"/>
        <w:ind w:right="40" w:firstLine="8"/>
        <w:spacing w:after="0" w:line="261"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ISSUANCE OF BONDS</w:t>
      </w:r>
      <w:r>
        <w:rPr>
          <w:rFonts w:ascii="Arial" w:cs="Arial" w:eastAsia="Arial" w:hAnsi="Arial"/>
          <w:sz w:val="18"/>
          <w:szCs w:val="18"/>
          <w:color w:val="auto"/>
        </w:rPr>
        <w:t>: Surety does not guarantee the issuance or compliance of any Bond or any obligee’s acceptance of any Bond issued. Surety has</w:t>
      </w:r>
      <w:r>
        <w:rPr>
          <w:rFonts w:ascii="Arial" w:cs="Arial" w:eastAsia="Arial" w:hAnsi="Arial"/>
          <w:sz w:val="18"/>
          <w:szCs w:val="18"/>
          <w:b w:val="1"/>
          <w:bCs w:val="1"/>
          <w:color w:val="auto"/>
        </w:rPr>
        <w:t xml:space="preserve"> </w:t>
      </w:r>
      <w:r>
        <w:rPr>
          <w:rFonts w:ascii="Arial" w:cs="Arial" w:eastAsia="Arial" w:hAnsi="Arial"/>
          <w:sz w:val="18"/>
          <w:szCs w:val="18"/>
          <w:color w:val="auto"/>
        </w:rPr>
        <w:t>an absolute right to decline to issue or continue or renew any Bond and to cancel any Bond. If Surety issues a bid or proposal Bond or a written commitment to issue any Bond (each a “Bond Commitment”), Surety has an absolute right to decline to issue any Bond that may be required in connection with any award made under the proposal for which the Bond Commitment was given.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74" w:name="page75"/>
    <w:bookmarkEnd w:id="74"/>
    <w:p>
      <w:pPr>
        <w:ind w:left="-8" w:right="320" w:firstLine="8"/>
        <w:spacing w:after="0" w:line="261"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NOTICE</w:t>
      </w:r>
      <w:r>
        <w:rPr>
          <w:rFonts w:ascii="Arial" w:cs="Arial" w:eastAsia="Arial" w:hAnsi="Arial"/>
          <w:sz w:val="18"/>
          <w:szCs w:val="18"/>
          <w:color w:val="auto"/>
        </w:rPr>
        <w:t>: Indemnitors waive notice of the issuance or cancellation of any Bond, any Settlement or Modification, and any act, fact or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concerning or affecting the rights and liabilities of Surety or the rights or liabilities of Indemnitors under the Bonds or this Agreement, notwithstanding any notice of any kind to which Principal and/or Indemnitors might otherwise have been or be entitled, and notwithstanding any defenses they might have been or be entitled to assert.</w:t>
      </w:r>
    </w:p>
    <w:p>
      <w:pPr>
        <w:spacing w:after="0" w:line="71" w:lineRule="exact"/>
        <w:rPr>
          <w:rFonts w:ascii="Arial" w:cs="Arial" w:eastAsia="Arial" w:hAnsi="Arial"/>
          <w:sz w:val="18"/>
          <w:szCs w:val="18"/>
          <w:color w:val="auto"/>
        </w:rPr>
      </w:pPr>
    </w:p>
    <w:p>
      <w:pPr>
        <w:ind w:left="-8" w:right="20" w:firstLine="8"/>
        <w:spacing w:after="0" w:line="274" w:lineRule="auto"/>
        <w:tabs>
          <w:tab w:leader="none" w:pos="262"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OTHER SURETIES AS BENEFICIARIES</w:t>
      </w:r>
      <w:r>
        <w:rPr>
          <w:rFonts w:ascii="Arial" w:cs="Arial" w:eastAsia="Arial" w:hAnsi="Arial"/>
          <w:sz w:val="17"/>
          <w:szCs w:val="17"/>
          <w:color w:val="auto"/>
        </w:rPr>
        <w:t>: If Surety procures the execution of any Bond by other sureties, or executes any Bond with co-sureties, or</w:t>
      </w:r>
      <w:r>
        <w:rPr>
          <w:rFonts w:ascii="Arial" w:cs="Arial" w:eastAsia="Arial" w:hAnsi="Arial"/>
          <w:sz w:val="17"/>
          <w:szCs w:val="17"/>
          <w:b w:val="1"/>
          <w:bCs w:val="1"/>
          <w:color w:val="auto"/>
        </w:rPr>
        <w:t xml:space="preserve"> </w:t>
      </w:r>
      <w:r>
        <w:rPr>
          <w:rFonts w:ascii="Arial" w:cs="Arial" w:eastAsia="Arial" w:hAnsi="Arial"/>
          <w:sz w:val="17"/>
          <w:szCs w:val="17"/>
          <w:color w:val="auto"/>
        </w:rPr>
        <w:t>reinsures any portion of any Bond with reinsuring sureties, then all the terms and conditions of this Agreement shall inure to the benefit of such other sureties, co-sureties and/or reinsuring sureties, including the right to bring an action for enforcement of this Agreement. Surety may furnish copies of any and all underwriting and Claim documentation to reinsurers and co-sureties, including statements, agreements, financial statements, and any information which Surety now has or may obtain in the future concerning (a) Principals and/or Indemnitors, (b) Related Entities of Principals and/or Indemnitors, and (c) other entities for which any Bond is requested pursuant to paragraph 10.</w:t>
      </w:r>
    </w:p>
    <w:p>
      <w:pPr>
        <w:spacing w:after="0" w:line="65" w:lineRule="exact"/>
        <w:rPr>
          <w:rFonts w:ascii="Arial" w:cs="Arial" w:eastAsia="Arial" w:hAnsi="Arial"/>
          <w:sz w:val="17"/>
          <w:szCs w:val="17"/>
          <w:color w:val="auto"/>
        </w:rPr>
      </w:pPr>
    </w:p>
    <w:p>
      <w:pPr>
        <w:ind w:left="-8" w:right="20" w:firstLine="8"/>
        <w:spacing w:after="0" w:line="269" w:lineRule="auto"/>
        <w:tabs>
          <w:tab w:leader="none" w:pos="262"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SURETY’S ADDITIONAL RIGHTS</w:t>
      </w:r>
      <w:r>
        <w:rPr>
          <w:rFonts w:ascii="Arial" w:cs="Arial" w:eastAsia="Arial" w:hAnsi="Arial"/>
          <w:sz w:val="17"/>
          <w:szCs w:val="17"/>
          <w:color w:val="auto"/>
        </w:rPr>
        <w:t>: This Agreement is in addition to and not in lieu of all other agreements of indemnity and any and all rights,</w:t>
      </w:r>
      <w:r>
        <w:rPr>
          <w:rFonts w:ascii="Arial" w:cs="Arial" w:eastAsia="Arial" w:hAnsi="Arial"/>
          <w:sz w:val="17"/>
          <w:szCs w:val="17"/>
          <w:b w:val="1"/>
          <w:bCs w:val="1"/>
          <w:color w:val="auto"/>
        </w:rPr>
        <w:t xml:space="preserve"> </w:t>
      </w:r>
      <w:r>
        <w:rPr>
          <w:rFonts w:ascii="Arial" w:cs="Arial" w:eastAsia="Arial" w:hAnsi="Arial"/>
          <w:sz w:val="17"/>
          <w:szCs w:val="17"/>
          <w:color w:val="auto"/>
        </w:rPr>
        <w:t>powers, and remedies that Surety may have or acquire against Indemnitors or any other person or entity, whether by agreement, law or otherwise. Indemnitors acknowledge and agree that other indemnity, collateral, property and/or security may be required by Surety with respect to Bonds issued under this Agreement. Indemnitors shall remain bound under the terms of this Agreement even though Surety may from time to time (before or after the date of this Agreement): (a) accept, modify or release other agreements of indemnity with respect to any Bond; (b) accept, modify the indemnity of, or release any Indemnitor or any other person or entity; or (c) accept, release or subordinate any rights to collateral, real property, personal property or security. Indemnitors’ obligations to Surety shall not be waived or reduced by any claim, setoff, defense, or other right or cause of action which Indemnitors and/or Surety may hold against any person or entity or which may be asserted by any Principal, Indemnitor or any other person or entity arising from or related to any Bonded Contract, any Bond, this Agreement, other agreements, by law or otherwise. Surety is subrogated to all rights, Claims, funds and receivables related to any Bonded Contract. Surety has the right to offset Loss on any Bonded Contract against proceeds, funds, real property or personal property under any other Bonded Contract or otherwise available to Surety under this Agreement. Surety’s forbearance or failure to act to enforce any right shall not waive or diminish any of its rights, which rights may be enforced at any time in Surety’s sole discretion.</w:t>
      </w:r>
    </w:p>
    <w:p>
      <w:pPr>
        <w:spacing w:after="0" w:line="71" w:lineRule="exact"/>
        <w:rPr>
          <w:rFonts w:ascii="Arial" w:cs="Arial" w:eastAsia="Arial" w:hAnsi="Arial"/>
          <w:sz w:val="17"/>
          <w:szCs w:val="17"/>
          <w:color w:val="auto"/>
        </w:rPr>
      </w:pPr>
    </w:p>
    <w:p>
      <w:pPr>
        <w:ind w:left="-8" w:right="80" w:firstLine="8"/>
        <w:spacing w:after="0" w:line="289" w:lineRule="auto"/>
        <w:tabs>
          <w:tab w:leader="none" w:pos="262"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SURETY’S RIGHT TO SPECIFIC PERFORMANCE: </w:t>
      </w:r>
      <w:r>
        <w:rPr>
          <w:rFonts w:ascii="Arial" w:cs="Arial" w:eastAsia="Arial" w:hAnsi="Arial"/>
          <w:sz w:val="17"/>
          <w:szCs w:val="17"/>
          <w:color w:val="auto"/>
        </w:rPr>
        <w:t>Indemnitors acknowledge that the failure of Indemnitors, collectively or individually,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or comply with any provision of this Agreement shall cause irreparable harm to Surety for which Surety has no adequate remedy at law. Indemnitors agree that Surety shall be entitled to injunctive relief and/or specific performance, and Indemnitors waive any claims or defenses to the contrary.</w:t>
      </w:r>
    </w:p>
    <w:p>
      <w:pPr>
        <w:spacing w:after="0" w:line="50" w:lineRule="exact"/>
        <w:rPr>
          <w:rFonts w:ascii="Arial" w:cs="Arial" w:eastAsia="Arial" w:hAnsi="Arial"/>
          <w:sz w:val="17"/>
          <w:szCs w:val="17"/>
          <w:color w:val="auto"/>
        </w:rPr>
      </w:pPr>
    </w:p>
    <w:p>
      <w:pPr>
        <w:ind w:left="-8" w:right="140" w:firstLine="8"/>
        <w:spacing w:after="0" w:line="277" w:lineRule="auto"/>
        <w:tabs>
          <w:tab w:leader="none" w:pos="262"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POWER OF ATTORNEY</w:t>
      </w:r>
      <w:r>
        <w:rPr>
          <w:rFonts w:ascii="Arial" w:cs="Arial" w:eastAsia="Arial" w:hAnsi="Arial"/>
          <w:sz w:val="17"/>
          <w:szCs w:val="17"/>
          <w:color w:val="auto"/>
        </w:rPr>
        <w:t>: Indemnitors irrevocably nominate, constitute, appoint and designate Surety, and any persons designated by Surety, as their</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attorney-in-fact, with the right, but not the obligation, to exercise all of the rights of Indemnitors pledged, assigned, transferred and set over to Surety in this Agreement, including, in the name of Indemnitors to make, execute, and deliver any and all assignments or documents deemed necessary and proper by Surety in order to exercise its rights, powers and remedies under this Agreement. Indemnitors ratify and confirm all acts taken by Surety and its designees as such attorney-in-fact and agree to protect and hold harmless Surety and its designees for all such acts.</w:t>
      </w:r>
    </w:p>
    <w:p>
      <w:pPr>
        <w:spacing w:after="0" w:line="60" w:lineRule="exact"/>
        <w:rPr>
          <w:rFonts w:ascii="Arial" w:cs="Arial" w:eastAsia="Arial" w:hAnsi="Arial"/>
          <w:sz w:val="17"/>
          <w:szCs w:val="17"/>
          <w:color w:val="auto"/>
        </w:rPr>
      </w:pPr>
    </w:p>
    <w:p>
      <w:pPr>
        <w:ind w:left="-8" w:right="120" w:firstLine="8"/>
        <w:spacing w:after="0" w:line="282"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Indemnitors are jointly and severally liable to Surety under this Agreement. Surety may enforce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Indemnitor without joining any other Indemnitor, person or entity.</w:t>
      </w:r>
    </w:p>
    <w:p>
      <w:pPr>
        <w:spacing w:after="0" w:line="53" w:lineRule="exact"/>
        <w:rPr>
          <w:rFonts w:ascii="Arial" w:cs="Arial" w:eastAsia="Arial" w:hAnsi="Arial"/>
          <w:sz w:val="18"/>
          <w:szCs w:val="18"/>
          <w:color w:val="auto"/>
        </w:rPr>
      </w:pPr>
    </w:p>
    <w:p>
      <w:pPr>
        <w:ind w:left="-8" w:right="40" w:firstLine="8"/>
        <w:spacing w:after="0" w:line="282"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CONTRIBUTION: </w:t>
      </w:r>
      <w:r>
        <w:rPr>
          <w:rFonts w:ascii="Arial" w:cs="Arial" w:eastAsia="Arial" w:hAnsi="Arial"/>
          <w:sz w:val="18"/>
          <w:szCs w:val="18"/>
          <w:color w:val="auto"/>
        </w:rPr>
        <w:t>Indemnitors waive and subordinate all rights of indemnity, subrogation and contribution against each other and/or any Principal until</w:t>
      </w:r>
      <w:r>
        <w:rPr>
          <w:rFonts w:ascii="Arial" w:cs="Arial" w:eastAsia="Arial" w:hAnsi="Arial"/>
          <w:sz w:val="18"/>
          <w:szCs w:val="18"/>
          <w:b w:val="1"/>
          <w:bCs w:val="1"/>
          <w:color w:val="auto"/>
        </w:rPr>
        <w:t xml:space="preserve"> </w:t>
      </w:r>
      <w:r>
        <w:rPr>
          <w:rFonts w:ascii="Arial" w:cs="Arial" w:eastAsia="Arial" w:hAnsi="Arial"/>
          <w:sz w:val="18"/>
          <w:szCs w:val="18"/>
          <w:color w:val="auto"/>
        </w:rPr>
        <w:t>all obligations to Surety under this Agreement, at law or in equity, have been satisfied in full.</w:t>
      </w:r>
    </w:p>
    <w:p>
      <w:pPr>
        <w:spacing w:after="0" w:line="53" w:lineRule="exact"/>
        <w:rPr>
          <w:rFonts w:ascii="Arial" w:cs="Arial" w:eastAsia="Arial" w:hAnsi="Arial"/>
          <w:sz w:val="18"/>
          <w:szCs w:val="18"/>
          <w:color w:val="auto"/>
        </w:rPr>
      </w:pPr>
    </w:p>
    <w:p>
      <w:pPr>
        <w:ind w:left="-8" w:firstLine="8"/>
        <w:spacing w:after="0" w:line="266"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NOTICE TO SURETY: </w:t>
      </w:r>
      <w:r>
        <w:rPr>
          <w:rFonts w:ascii="Arial" w:cs="Arial" w:eastAsia="Arial" w:hAnsi="Arial"/>
          <w:sz w:val="18"/>
          <w:szCs w:val="18"/>
          <w:color w:val="auto"/>
        </w:rPr>
        <w:t>Indemnitors shall notify Surety as soon as any Indemnitor becomes aware of the happening of any Event of Default. This notice,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any other notice to Surety, shall be addressed as follows: </w:t>
      </w:r>
      <w:r>
        <w:rPr>
          <w:rFonts w:ascii="Arial" w:cs="Arial" w:eastAsia="Arial" w:hAnsi="Arial"/>
          <w:sz w:val="18"/>
          <w:szCs w:val="18"/>
          <w:b w:val="1"/>
          <w:bCs w:val="1"/>
          <w:color w:val="auto"/>
        </w:rPr>
        <w:t>Zurich Surety, Red Brook Corporate Center, 600 Red Brook Blvd., 4th Floor, Owings</w:t>
      </w:r>
      <w:r>
        <w:rPr>
          <w:rFonts w:ascii="Arial" w:cs="Arial" w:eastAsia="Arial" w:hAnsi="Arial"/>
          <w:sz w:val="18"/>
          <w:szCs w:val="18"/>
          <w:color w:val="auto"/>
        </w:rPr>
        <w:t xml:space="preserve"> </w:t>
      </w:r>
      <w:r>
        <w:rPr>
          <w:rFonts w:ascii="Arial" w:cs="Arial" w:eastAsia="Arial" w:hAnsi="Arial"/>
          <w:sz w:val="18"/>
          <w:szCs w:val="18"/>
          <w:b w:val="1"/>
          <w:bCs w:val="1"/>
          <w:color w:val="auto"/>
        </w:rPr>
        <w:t>Mills, Maryland 21117, Attention: Vice President, Contract Surety</w:t>
      </w:r>
      <w:r>
        <w:rPr>
          <w:rFonts w:ascii="Arial" w:cs="Arial" w:eastAsia="Arial" w:hAnsi="Arial"/>
          <w:sz w:val="18"/>
          <w:szCs w:val="18"/>
          <w:color w:val="auto"/>
        </w:rPr>
        <w:t>.</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0" w:right="239" w:bottom="1440" w:gutter="0" w:footer="0" w:header="0"/>
        </w:sectPr>
      </w:pPr>
    </w:p>
    <w:bookmarkStart w:id="75" w:name="page76"/>
    <w:bookmarkEnd w:id="75"/>
    <w:p>
      <w:pPr>
        <w:ind w:right="20" w:firstLine="8"/>
        <w:spacing w:after="0" w:line="273" w:lineRule="auto"/>
        <w:tabs>
          <w:tab w:leader="none" w:pos="27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LAWSUITS AND JURISDICTION</w:t>
      </w:r>
      <w:r>
        <w:rPr>
          <w:rFonts w:ascii="Arial" w:cs="Arial" w:eastAsia="Arial" w:hAnsi="Arial"/>
          <w:sz w:val="17"/>
          <w:szCs w:val="17"/>
          <w:color w:val="auto"/>
        </w:rPr>
        <w:t>: Separate lawsuits may be brought under this Agreement as causes of action accrue, and the bringing of any lawsuit</w:t>
      </w:r>
      <w:r>
        <w:rPr>
          <w:rFonts w:ascii="Arial" w:cs="Arial" w:eastAsia="Arial" w:hAnsi="Arial"/>
          <w:sz w:val="17"/>
          <w:szCs w:val="17"/>
          <w:b w:val="1"/>
          <w:bCs w:val="1"/>
          <w:color w:val="auto"/>
        </w:rPr>
        <w:t xml:space="preserve"> </w:t>
      </w:r>
      <w:r>
        <w:rPr>
          <w:rFonts w:ascii="Arial" w:cs="Arial" w:eastAsia="Arial" w:hAnsi="Arial"/>
          <w:sz w:val="17"/>
          <w:szCs w:val="17"/>
          <w:color w:val="auto"/>
        </w:rPr>
        <w:t>or the recovery of any judgment on any cause of action shall not prejudice or bar the bringing of other lawsuits, on the same or other causes of action, whether arising before or after any other lawsuit or cause of action. In any legal proceeding brought by or against Surety that in any way relates to this Agreement, each Indemnitor irrevocably and unconditionally submits to the jurisdiction, at Surety’s sole option, of the Federal, state and local courts in which (a) any Indemnitor resides or has property, (b) any bonded obligation arises or is performed, in whole or in part, or (c) any action may be brought against Surety. Indemnitors submit to the jurisdiction of such courts and waive and agree not to assert that they are not subject to the jurisdiction of any such court or that the jurisdiction and/or venue is in an inconvenient forum or otherwise improper.</w:t>
      </w:r>
    </w:p>
    <w:p>
      <w:pPr>
        <w:spacing w:after="0" w:line="64" w:lineRule="exact"/>
        <w:rPr>
          <w:rFonts w:ascii="Arial" w:cs="Arial" w:eastAsia="Arial" w:hAnsi="Arial"/>
          <w:sz w:val="17"/>
          <w:szCs w:val="17"/>
          <w:color w:val="auto"/>
        </w:rPr>
      </w:pPr>
    </w:p>
    <w:p>
      <w:pPr>
        <w:ind w:right="80" w:firstLine="8"/>
        <w:spacing w:after="0" w:line="266"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FOR BONDED CONTRACTS OUTSIDE THE UNITED STATES: </w:t>
      </w:r>
      <w:r>
        <w:rPr>
          <w:rFonts w:ascii="Arial" w:cs="Arial" w:eastAsia="Arial" w:hAnsi="Arial"/>
          <w:sz w:val="18"/>
          <w:szCs w:val="18"/>
          <w:color w:val="auto"/>
        </w:rPr>
        <w:t>Indemnitors agree that as to any legal action or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any Bond issued in connection with any Bonded Contract to be performed outside the United States and its territories, this Agreement shall be governed by and interpreted under the laws of the State of New York, without regard to principles of conflicts of laws.</w:t>
      </w:r>
    </w:p>
    <w:p>
      <w:pPr>
        <w:spacing w:after="0" w:line="68" w:lineRule="exact"/>
        <w:rPr>
          <w:rFonts w:ascii="Arial" w:cs="Arial" w:eastAsia="Arial" w:hAnsi="Arial"/>
          <w:sz w:val="18"/>
          <w:szCs w:val="18"/>
          <w:color w:val="auto"/>
        </w:rPr>
      </w:pPr>
    </w:p>
    <w:p>
      <w:pPr>
        <w:ind w:right="120" w:firstLine="8"/>
        <w:spacing w:after="0" w:line="289" w:lineRule="auto"/>
        <w:tabs>
          <w:tab w:leader="none" w:pos="27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EXECUTION AND CHANGES</w:t>
      </w:r>
      <w:r>
        <w:rPr>
          <w:rFonts w:ascii="Arial" w:cs="Arial" w:eastAsia="Arial" w:hAnsi="Arial"/>
          <w:sz w:val="17"/>
          <w:szCs w:val="17"/>
          <w:color w:val="auto"/>
        </w:rPr>
        <w:t>: This Agreement may be executed in counterparts, all of which taken together shall constitute the Agreement.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effective and immediately binding as to each Indemnitor when that Indemnitor executes this Agreement, regardless of whether any other party has executed the Agreement or fails to execute this Agreement. This Agreement shall only be changed or modified in writing.</w:t>
      </w:r>
    </w:p>
    <w:p>
      <w:pPr>
        <w:spacing w:after="0" w:line="50" w:lineRule="exact"/>
        <w:rPr>
          <w:rFonts w:ascii="Arial" w:cs="Arial" w:eastAsia="Arial" w:hAnsi="Arial"/>
          <w:sz w:val="17"/>
          <w:szCs w:val="17"/>
          <w:color w:val="auto"/>
        </w:rPr>
      </w:pPr>
    </w:p>
    <w:p>
      <w:pPr>
        <w:ind w:right="300" w:firstLine="8"/>
        <w:spacing w:after="0" w:line="313" w:lineRule="auto"/>
        <w:tabs>
          <w:tab w:leader="none" w:pos="27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provision of this Agreement is found to be void or unenforceable as to an Indemnitor, the remainder of this Agreement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nevertheless remain enforceable as to that Indemnitor; and the entire Agreement shall remain enforceable as to all other Indemnitors.</w:t>
      </w:r>
    </w:p>
    <w:p>
      <w:pPr>
        <w:spacing w:after="0" w:line="30" w:lineRule="exact"/>
        <w:rPr>
          <w:rFonts w:ascii="Arial" w:cs="Arial" w:eastAsia="Arial" w:hAnsi="Arial"/>
          <w:sz w:val="17"/>
          <w:szCs w:val="17"/>
          <w:color w:val="auto"/>
        </w:rPr>
      </w:pPr>
    </w:p>
    <w:p>
      <w:pPr>
        <w:ind w:right="60" w:firstLine="8"/>
        <w:spacing w:after="0" w:line="271" w:lineRule="auto"/>
        <w:tabs>
          <w:tab w:leader="none" w:pos="27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TERMINATION: </w:t>
      </w:r>
      <w:r>
        <w:rPr>
          <w:rFonts w:ascii="Arial" w:cs="Arial" w:eastAsia="Arial" w:hAnsi="Arial"/>
          <w:sz w:val="17"/>
          <w:szCs w:val="17"/>
          <w:color w:val="auto"/>
        </w:rPr>
        <w:t>Indemnitors’ obligations and Surety’s rights and remedies under this Agreement are continuing. Indemnitors acknowledge that their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 remain for Bonds executed for entities that may be sold, dissolved, or otherwise disposed of in the future. This Agreement remains in effect until terminated and released by Surety. Any Indemnitor may terminate their participation in this Agreement with respect to future Bonds by sending written notice of termination to Surety at the address in Paragraph 20. Such termination shall be effective twenty (20) days from Surety’s receipt of the notice (“Effective Date”) and shall be effective only as to the Indemnitor providing such written notice. The notice of termination shall not terminate, modify, bar or discharge such notifying Indemnitor’s obligations to Surety under this Agreement for: (a) Bonds issued prior to the Effective Date; (b) Bonds issued after the Effective Date where such Bonds are issued with respect to a Bond Commitment issued prior to the Effective Date; and (c) any Collateral or interest provided under this Agreement. The execution of any subsequent agreements of indemnity in favor of Surety by any Indemnitor shall not be construed as a novation, and this Agreement may only be terminated as provided herein.</w:t>
      </w:r>
    </w:p>
    <w:p>
      <w:pPr>
        <w:spacing w:after="0" w:line="66" w:lineRule="exact"/>
        <w:rPr>
          <w:rFonts w:ascii="Arial" w:cs="Arial" w:eastAsia="Arial" w:hAnsi="Arial"/>
          <w:sz w:val="17"/>
          <w:szCs w:val="17"/>
          <w:color w:val="auto"/>
        </w:rPr>
      </w:pPr>
    </w:p>
    <w:p>
      <w:pPr>
        <w:ind w:right="240" w:firstLine="8"/>
        <w:spacing w:after="0" w:line="282"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JURY WAIVER</w:t>
      </w:r>
      <w:r>
        <w:rPr>
          <w:rFonts w:ascii="Arial" w:cs="Arial" w:eastAsia="Arial" w:hAnsi="Arial"/>
          <w:sz w:val="18"/>
          <w:szCs w:val="18"/>
          <w:color w:val="auto"/>
        </w:rPr>
        <w:t>: Indemnitors hereby knowingly and voluntarily waive and covenant that they will not assert any right to trial by jury in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legal proceeding arising out of this Agreement.</w:t>
      </w:r>
    </w:p>
    <w:p>
      <w:pPr>
        <w:spacing w:after="0" w:line="53" w:lineRule="exact"/>
        <w:rPr>
          <w:rFonts w:ascii="Arial" w:cs="Arial" w:eastAsia="Arial" w:hAnsi="Arial"/>
          <w:sz w:val="18"/>
          <w:szCs w:val="18"/>
          <w:color w:val="auto"/>
        </w:rPr>
      </w:pPr>
    </w:p>
    <w:p>
      <w:pPr>
        <w:ind w:right="100" w:firstLine="8"/>
        <w:spacing w:after="0" w:line="298" w:lineRule="auto"/>
        <w:tabs>
          <w:tab w:leader="none" w:pos="27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Indemnitors each represent and warrant the following: (a) Each Indemnitor has a substantial,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and/or beneficial interest in one or more Indemnitors or Principals obtaining Bonds or in Surety refraining from canceling any such Bond; (b) Each Indemnitor has the full power and authority to execute and deliver this Agreement and to perform all obligations in this Agreement; (c) All information provided to Surety by each Indemnitor prior to and after the execution of this Agreement is true, accurate and complete as of the time provided; and (d) Each right, power and remedy given to Surety, under any provision of this Agreement or otherwise, forms a material part of Surety’s consideration for Bonds.</w:t>
      </w:r>
    </w:p>
    <w:p>
      <w:pPr>
        <w:spacing w:after="0" w:line="46" w:lineRule="exact"/>
        <w:rPr>
          <w:rFonts w:ascii="Arial" w:cs="Arial" w:eastAsia="Arial" w:hAnsi="Arial"/>
          <w:sz w:val="16"/>
          <w:szCs w:val="16"/>
          <w:color w:val="auto"/>
        </w:rPr>
      </w:pPr>
    </w:p>
    <w:p>
      <w:pPr>
        <w:ind w:right="260" w:firstLine="8"/>
        <w:spacing w:after="0" w:line="282"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WAIVER OF EXEMPTIONS: </w:t>
      </w:r>
      <w:r>
        <w:rPr>
          <w:rFonts w:ascii="Arial" w:cs="Arial" w:eastAsia="Arial" w:hAnsi="Arial"/>
          <w:sz w:val="18"/>
          <w:szCs w:val="18"/>
          <w:color w:val="auto"/>
        </w:rPr>
        <w:t>Indemnitors waive all rights to claim any of their property, including their respective homesteads, as exempt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levy, execution, sale or other legal process by Surety, unless such waiver is prohibited by law.</w:t>
      </w:r>
    </w:p>
    <w:p>
      <w:pPr>
        <w:spacing w:after="0" w:line="53" w:lineRule="exact"/>
        <w:rPr>
          <w:rFonts w:ascii="Arial" w:cs="Arial" w:eastAsia="Arial" w:hAnsi="Arial"/>
          <w:sz w:val="18"/>
          <w:szCs w:val="18"/>
          <w:color w:val="auto"/>
        </w:rPr>
      </w:pPr>
    </w:p>
    <w:p>
      <w:pPr>
        <w:ind w:firstLine="8"/>
        <w:spacing w:after="0" w:line="298" w:lineRule="auto"/>
        <w:tabs>
          <w:tab w:leader="none" w:pos="27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TRANSFERRED BONDS: </w:t>
      </w:r>
      <w:r>
        <w:rPr>
          <w:rFonts w:ascii="Arial" w:cs="Arial" w:eastAsia="Arial" w:hAnsi="Arial"/>
          <w:sz w:val="16"/>
          <w:szCs w:val="16"/>
          <w:color w:val="auto"/>
        </w:rPr>
        <w:t>By way of clarification, Indemnitors hereby assume liability for and performance of the Transferred Bonds. The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Indemnitors to Surety under this Agreement include those arising from or relating to the Transferred Bonds and any breach or default asserted under said Bonds or the underlying contracts, and/or the enforcement of this Agreement. Indemnitors acknowledge that the Surety may require or retain or release other or additional agreements, indemnity and/or security with respect to the Transferred Bonds, and Surety may exercise its rights and remedies with respect to this Agreement or any other agreement, indemnity or security, at any time and in any order in Surety’s full and absolute discretion.</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Bonded Contract </w:t>
      </w:r>
      <w:r>
        <w:rPr>
          <w:rFonts w:ascii="Arial" w:cs="Arial" w:eastAsia="Arial" w:hAnsi="Arial"/>
          <w:sz w:val="18"/>
          <w:szCs w:val="18"/>
          <w:color w:val="auto"/>
        </w:rPr>
        <w:t>means any contract or other obligation referred to in any Bond or secured by any Bond.</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76" w:name="page77"/>
    <w:bookmarkEnd w:id="76"/>
    <w:p>
      <w:pPr>
        <w:ind w:right="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in Control </w:t>
      </w:r>
      <w:r>
        <w:rPr>
          <w:rFonts w:ascii="Arial" w:cs="Arial" w:eastAsia="Arial" w:hAnsi="Arial"/>
          <w:sz w:val="17"/>
          <w:szCs w:val="17"/>
          <w:color w:val="auto"/>
        </w:rPr>
        <w:t>means any Principal or Indemnitor, without Surety’s prior written consent: (a) assigning or selling any Bonded Contract; (b) undergoing a</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the beneficial ownership, directly or indirectly, of thirty percent (30%) or more of its voting stock (measured by voting power rather than number of shares) in one or more transactions, or any change in stock that results in a change of majority ownership; or (c) ceasing or threatening to cease to carry on business, or having any resolution passed or order made for its winding-up, liquidation or dissolution.</w:t>
      </w:r>
    </w:p>
    <w:p>
      <w:pPr>
        <w:spacing w:after="0" w:line="16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or</w:t>
      </w:r>
      <w:r>
        <w:rPr>
          <w:rFonts w:ascii="Arial" w:cs="Arial" w:eastAsia="Arial" w:hAnsi="Arial"/>
          <w:sz w:val="18"/>
          <w:szCs w:val="18"/>
          <w:b w:val="1"/>
          <w:bCs w:val="1"/>
          <w:color w:val="auto"/>
        </w:rPr>
        <w:t xml:space="preserve"> Claims </w:t>
      </w:r>
      <w:r>
        <w:rPr>
          <w:rFonts w:ascii="Arial" w:cs="Arial" w:eastAsia="Arial" w:hAnsi="Arial"/>
          <w:sz w:val="18"/>
          <w:szCs w:val="18"/>
          <w:color w:val="auto"/>
        </w:rPr>
        <w:t>means any notice, claim, demand, defense, counterclaim, setoff, lawsuit or proceeding or circumstance which may constitute, lead to or</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Loss, liability, or asserted liability in connection with any Bond, any Bonded Contract, or this Agreement.</w:t>
      </w:r>
    </w:p>
    <w:p>
      <w:pPr>
        <w:spacing w:after="0" w:line="1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Collateral </w:t>
      </w:r>
      <w:r>
        <w:rPr>
          <w:rFonts w:ascii="Arial" w:cs="Arial" w:eastAsia="Arial" w:hAnsi="Arial"/>
          <w:sz w:val="16"/>
          <w:szCs w:val="16"/>
          <w:color w:val="auto"/>
        </w:rPr>
        <w:t>means all right, title and interest of one or more Indemnitors in the following, whenever acquired or arising: (a) all Bonded Contracts; (b) all goods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equipment, machinery, tools and materials), which are now, or may hereafter be, about or upon the site or sites of any and all of the contractual work referred to in the Bonds, or elsewhere, including materials purchased for or chargeable to any and all contracts referred to in the Transferred Bonds, materials which may be in the process of construction, in storage elsewhere, or in transportation to any and all of said sites, and equipment which may be necessary or proper to perform any contractual work referred to in the Bonds, general intangibles, and inventory, to the extent not subject to a prior perfected security interest; (c) all subcontracts and purchase orders arising under any Bonded Contract, and all surety bonds supporting such subcontracts and purchase orders; (d) all sums which are or may become payable in connection with any Bonded Contract and all other contracts in which any Indemnitor has an interest; (e) all intellectual property (including proprietary software) necessary or required to perform any Bonded Contract; (f) any facilities or plants necessary or required to perform any Bonded Contract; and (g) any real or personal property, the improvement of which is secured by any Bond.</w:t>
      </w:r>
    </w:p>
    <w:p>
      <w:pPr>
        <w:spacing w:after="0" w:line="16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Event of Default </w:t>
      </w:r>
      <w:r>
        <w:rPr>
          <w:rFonts w:ascii="Arial" w:cs="Arial" w:eastAsia="Arial" w:hAnsi="Arial"/>
          <w:sz w:val="16"/>
          <w:szCs w:val="16"/>
          <w:color w:val="auto"/>
        </w:rPr>
        <w:t>means any one or more of the following: (a) failure to timely perform or comply with any Bonded Contract or failure to timely pay</w:t>
      </w:r>
      <w:r>
        <w:rPr>
          <w:rFonts w:ascii="Arial" w:cs="Arial" w:eastAsia="Arial" w:hAnsi="Arial"/>
          <w:sz w:val="16"/>
          <w:szCs w:val="16"/>
          <w:b w:val="1"/>
          <w:bCs w:val="1"/>
          <w:color w:val="auto"/>
        </w:rPr>
        <w:t xml:space="preserve"> </w:t>
      </w:r>
      <w:r>
        <w:rPr>
          <w:rFonts w:ascii="Arial" w:cs="Arial" w:eastAsia="Arial" w:hAnsi="Arial"/>
          <w:sz w:val="16"/>
          <w:szCs w:val="16"/>
          <w:color w:val="auto"/>
        </w:rPr>
        <w:t>invoices, bills or other indebtedness or to discharge liabilities under any Bonded Contract or Bond; (b) Breach of any Bond or declaration of default under any Bonded Contract (whether admitted or contested); (c) Surety setting any reserve against Loss or incurring Loss; (d) breach of or failure to timely comply with this Agreement; (e) any Principal or Indemnitor becoming the subject of any bankruptcy, insolvency, receivership, creditor assignment or trusteeship (whether voluntary or involuntary and whether insolvent or not); (f) any occurrence which deprives or impairs any Principal, Indemnitor and/or Surety of the use of any Collateral; (g) any individual Indemnitor becoming legally incompetent, imprisoned, convicted of a felony, or disappearing and being unable to be located;</w:t>
      </w:r>
    </w:p>
    <w:p>
      <w:pPr>
        <w:spacing w:after="0" w:line="4" w:lineRule="exact"/>
        <w:rPr>
          <w:sz w:val="20"/>
          <w:szCs w:val="20"/>
          <w:color w:val="auto"/>
        </w:rPr>
      </w:pPr>
    </w:p>
    <w:p>
      <w:pPr>
        <w:ind w:right="40" w:firstLine="8"/>
        <w:spacing w:after="0" w:line="255"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Control; (i) any default, however described, which occurs under any document relating to the financial indebtedness of any Principal or Indemnitor, as a result of which that financial indebtedness is or becomes capable of being rendered prematurely due and payable; or (j) any representation by any Principal or Indemnitor to Surety which was materially false or misleading when made.</w:t>
      </w:r>
    </w:p>
    <w:p>
      <w:pPr>
        <w:spacing w:after="0" w:line="18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Good Faith </w:t>
      </w:r>
      <w:r>
        <w:rPr>
          <w:rFonts w:ascii="Arial" w:cs="Arial" w:eastAsia="Arial" w:hAnsi="Arial"/>
          <w:sz w:val="18"/>
          <w:szCs w:val="18"/>
          <w:color w:val="auto"/>
        </w:rPr>
        <w:t>means, with respect to any act, exercise of discretion or omission by Surety, an absence of dishonesty, evil intent and actual malice toward</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and Indemnitors.</w:t>
      </w:r>
    </w:p>
    <w:p>
      <w:pPr>
        <w:spacing w:after="0" w:line="1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means all premiums due to Surety and any and all liability, loss, Claims, damages, court costs and expenses, attorneys’ fees (including those of Surety),</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fees, and all other costs and expenses, including but not limited to any additional or extra-contractual damages arising from Surety’s Settlement of any Claim. Pre-judgment and post-judgment interest shall accrue from the date of any payment made by Surety with respect to any of the foregoing at the maximum default rate permitted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means any person or entity whose obligation is guaranteed by a Bond.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TO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remainder of this page is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INSTRUCTIONS</w:t>
      </w:r>
    </w:p>
    <w:p>
      <w:pPr>
        <w:spacing w:after="0" w:line="225" w:lineRule="exact"/>
        <w:rPr>
          <w:sz w:val="20"/>
          <w:szCs w:val="20"/>
          <w:color w:val="auto"/>
        </w:rPr>
      </w:pPr>
    </w:p>
    <w:p>
      <w:pPr>
        <w:ind w:left="300" w:hanging="178"/>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All signatures should be notarized and dated</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20" w:right="600" w:firstLine="2"/>
        <w:spacing w:after="0" w:line="277"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signer is a Corporation, an officer on the operational side (i.e. President, CEO, COO) and an officer on the finance side (i.e. Secretary, CFO, Treasurer) should sign and the Corporation should attach its seal.</w:t>
      </w:r>
    </w:p>
    <w:p>
      <w:pPr>
        <w:spacing w:after="0" w:line="62" w:lineRule="exact"/>
        <w:rPr>
          <w:rFonts w:ascii="Arial" w:cs="Arial" w:eastAsia="Arial" w:hAnsi="Arial"/>
          <w:sz w:val="18"/>
          <w:szCs w:val="18"/>
          <w:color w:val="auto"/>
        </w:rPr>
      </w:pPr>
    </w:p>
    <w:p>
      <w:pPr>
        <w:ind w:left="300" w:hanging="178"/>
        <w:spacing w:after="0"/>
        <w:tabs>
          <w:tab w:leader="none" w:pos="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one signer is signing in two different capacities (i.e. President and Secretary), then list both titles in the signature block and notary acknowledgement.</w:t>
      </w:r>
    </w:p>
    <w:p>
      <w:pPr>
        <w:spacing w:after="0" w:line="140" w:lineRule="exact"/>
        <w:rPr>
          <w:rFonts w:ascii="Arial" w:cs="Arial" w:eastAsia="Arial" w:hAnsi="Arial"/>
          <w:sz w:val="16"/>
          <w:szCs w:val="16"/>
          <w:color w:val="auto"/>
        </w:rPr>
      </w:pPr>
    </w:p>
    <w:p>
      <w:pPr>
        <w:ind w:left="120" w:right="40" w:firstLine="2"/>
        <w:spacing w:after="0" w:line="277"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signer is an individual (personal) Indemnitor, each Indemnitor should sign and date their signature and provide all of the required information. Each signature should be witnessed and notarized.</w:t>
      </w:r>
    </w:p>
    <w:p>
      <w:pPr>
        <w:spacing w:after="0" w:line="6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By signing below, each Indemnitor affirms to Surety that they have read this General Indemnity Agreement carefully and understand their obligations as an Indemnitor. If the Indemnitor is a business entity, each signer executing this Agreement on behalf of such Indemnitor represents and warrants that he, she or it holds the office or position shown and that he, she or it is duly authorized by Indemnitor to execute this Agreement on behalf of Indemnitor and to bind Indemnitor to all of the terms and conditions of this Agreement.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gridSpan w:val="6"/>
          </w:tcPr>
          <w:p>
            <w:pPr>
              <w:spacing w:after="0"/>
              <w:rPr>
                <w:sz w:val="20"/>
                <w:szCs w:val="20"/>
                <w:color w:val="auto"/>
              </w:rPr>
            </w:pPr>
            <w:r>
              <w:rPr>
                <w:rFonts w:ascii="Arial" w:cs="Arial" w:eastAsia="Arial" w:hAnsi="Arial"/>
                <w:sz w:val="18"/>
                <w:szCs w:val="18"/>
                <w:b w:val="1"/>
                <w:bCs w:val="1"/>
                <w:color w:val="auto"/>
              </w:rPr>
              <w:t>INDEMNITOR</w:t>
            </w: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i w:val="1"/>
                <w:iCs w:val="1"/>
                <w:color w:val="auto"/>
              </w:rPr>
              <w:t>(2 signature format)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20"/>
        </w:trPr>
        <w:tc>
          <w:tcPr>
            <w:tcW w:w="4380" w:type="dxa"/>
            <w:vAlign w:val="bottom"/>
            <w:gridSpan w:val="6"/>
          </w:tcPr>
          <w:p>
            <w:pPr>
              <w:spacing w:after="0"/>
              <w:rPr>
                <w:sz w:val="20"/>
                <w:szCs w:val="20"/>
                <w:color w:val="auto"/>
              </w:rPr>
            </w:pPr>
            <w:r>
              <w:rPr>
                <w:rFonts w:ascii="Arial" w:cs="Arial" w:eastAsia="Arial" w:hAnsi="Arial"/>
                <w:sz w:val="18"/>
                <w:szCs w:val="18"/>
                <w:b w:val="1"/>
                <w:bCs w:val="1"/>
                <w:color w:val="auto"/>
              </w:rPr>
              <w:t>Dore &amp; Associates Contracting, Inc.</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20" w:type="dxa"/>
            <w:vAlign w:val="bottom"/>
          </w:tcPr>
          <w:p>
            <w:pPr>
              <w:jc w:val="right"/>
              <w:ind w:right="1270"/>
              <w:spacing w:after="0"/>
              <w:rPr>
                <w:sz w:val="20"/>
                <w:szCs w:val="20"/>
                <w:color w:val="auto"/>
              </w:rPr>
            </w:pPr>
            <w:r>
              <w:rPr>
                <w:rFonts w:ascii="Arial" w:cs="Arial" w:eastAsia="Arial" w:hAnsi="Arial"/>
                <w:sz w:val="18"/>
                <w:szCs w:val="18"/>
                <w:i w:val="1"/>
                <w:iCs w:val="1"/>
                <w:color w:val="auto"/>
              </w:rPr>
              <w:t>(SEAL)</w:t>
            </w:r>
          </w:p>
        </w:tc>
      </w:tr>
      <w:tr>
        <w:trPr>
          <w:trHeight w:val="230"/>
        </w:trPr>
        <w:tc>
          <w:tcPr>
            <w:tcW w:w="4380" w:type="dxa"/>
            <w:vAlign w:val="bottom"/>
            <w:gridSpan w:val="6"/>
          </w:tcPr>
          <w:p>
            <w:pPr>
              <w:spacing w:after="0"/>
              <w:rPr>
                <w:sz w:val="20"/>
                <w:szCs w:val="20"/>
                <w:color w:val="auto"/>
              </w:rPr>
            </w:pPr>
            <w:r>
              <w:rPr>
                <w:rFonts w:ascii="Arial" w:cs="Arial" w:eastAsia="Arial" w:hAnsi="Arial"/>
                <w:sz w:val="18"/>
                <w:szCs w:val="18"/>
                <w:color w:val="auto"/>
              </w:rPr>
              <w:t>900 S. Harry Truman Parkway, Bay City, MI 48706</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46"/>
        </w:trPr>
        <w:tc>
          <w:tcPr>
            <w:tcW w:w="900" w:type="dxa"/>
            <w:vAlign w:val="bottom"/>
            <w:gridSpan w:val="2"/>
          </w:tcPr>
          <w:p>
            <w:pPr>
              <w:spacing w:after="0"/>
              <w:rPr>
                <w:sz w:val="20"/>
                <w:szCs w:val="20"/>
                <w:color w:val="auto"/>
              </w:rPr>
            </w:pPr>
            <w:r>
              <w:rPr>
                <w:rFonts w:ascii="Arial" w:cs="Arial" w:eastAsia="Arial" w:hAnsi="Arial"/>
                <w:sz w:val="18"/>
                <w:szCs w:val="18"/>
                <w:color w:val="auto"/>
              </w:rPr>
              <w:t>By:</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0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Signer #1]</w:t>
            </w: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30"/>
        </w:trPr>
        <w:tc>
          <w:tcPr>
            <w:tcW w:w="4380" w:type="dxa"/>
            <w:vAlign w:val="bottom"/>
            <w:gridSpan w:val="6"/>
          </w:tcPr>
          <w:p>
            <w:pPr>
              <w:ind w:left="380"/>
              <w:spacing w:after="0"/>
              <w:rPr>
                <w:sz w:val="20"/>
                <w:szCs w:val="20"/>
                <w:color w:val="auto"/>
              </w:rPr>
            </w:pPr>
            <w:r>
              <w:rPr>
                <w:rFonts w:ascii="Arial" w:cs="Arial" w:eastAsia="Arial" w:hAnsi="Arial"/>
                <w:sz w:val="18"/>
                <w:szCs w:val="18"/>
                <w:color w:val="auto"/>
              </w:rPr>
              <w:t>As [Title] of Dore &amp; Associates Contracting, Inc.</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24"/>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LAST 4 DIGITS OF TIN:</w:t>
            </w:r>
          </w:p>
        </w:tc>
      </w:tr>
      <w:tr>
        <w:trPr>
          <w:trHeight w:val="28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53"/>
        </w:trPr>
        <w:tc>
          <w:tcPr>
            <w:tcW w:w="900" w:type="dxa"/>
            <w:vAlign w:val="bottom"/>
            <w:gridSpan w:val="2"/>
          </w:tcPr>
          <w:p>
            <w:pPr>
              <w:spacing w:after="0"/>
              <w:rPr>
                <w:sz w:val="20"/>
                <w:szCs w:val="20"/>
                <w:color w:val="auto"/>
              </w:rPr>
            </w:pPr>
            <w:r>
              <w:rPr>
                <w:rFonts w:ascii="Arial" w:cs="Arial" w:eastAsia="Arial" w:hAnsi="Arial"/>
                <w:sz w:val="18"/>
                <w:szCs w:val="18"/>
                <w:color w:val="auto"/>
              </w:rPr>
              <w:t>By:</w:t>
            </w:r>
          </w:p>
        </w:tc>
        <w:tc>
          <w:tcPr>
            <w:tcW w:w="2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________________</w:t>
            </w:r>
          </w:p>
        </w:tc>
      </w:tr>
      <w:tr>
        <w:trPr>
          <w:trHeight w:val="209"/>
        </w:trPr>
        <w:tc>
          <w:tcPr>
            <w:tcW w:w="380" w:type="dxa"/>
            <w:vAlign w:val="bottom"/>
          </w:tcPr>
          <w:p>
            <w:pPr>
              <w:spacing w:after="0"/>
              <w:rPr>
                <w:sz w:val="18"/>
                <w:szCs w:val="18"/>
                <w:color w:val="auto"/>
              </w:rPr>
            </w:pPr>
          </w:p>
        </w:tc>
        <w:tc>
          <w:tcPr>
            <w:tcW w:w="40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Signer #2]</w:t>
            </w: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30"/>
        </w:trPr>
        <w:tc>
          <w:tcPr>
            <w:tcW w:w="4380" w:type="dxa"/>
            <w:vAlign w:val="bottom"/>
            <w:gridSpan w:val="6"/>
          </w:tcPr>
          <w:p>
            <w:pPr>
              <w:ind w:left="380"/>
              <w:spacing w:after="0"/>
              <w:rPr>
                <w:sz w:val="20"/>
                <w:szCs w:val="20"/>
                <w:color w:val="auto"/>
              </w:rPr>
            </w:pPr>
            <w:r>
              <w:rPr>
                <w:rFonts w:ascii="Arial" w:cs="Arial" w:eastAsia="Arial" w:hAnsi="Arial"/>
                <w:sz w:val="18"/>
                <w:szCs w:val="18"/>
                <w:color w:val="auto"/>
              </w:rPr>
              <w:t>As [Title] of Dore &amp; Associates Contracting, Inc.</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92"/>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80"/>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NOTARIAL ACKNOWLEDGEMENT</w:t>
            </w:r>
          </w:p>
        </w:tc>
        <w:tc>
          <w:tcPr>
            <w:tcW w:w="360" w:type="dxa"/>
            <w:vAlign w:val="bottom"/>
            <w:tcBorders>
              <w:top w:val="single" w:sz="8" w:color="auto"/>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w w:val="94"/>
              </w:rPr>
              <w:t>STATE OF:</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4"/>
          </w:tcPr>
          <w:p>
            <w:pPr>
              <w:ind w:left="360"/>
              <w:spacing w:after="0"/>
              <w:rPr>
                <w:sz w:val="20"/>
                <w:szCs w:val="20"/>
                <w:color w:val="auto"/>
              </w:rPr>
            </w:pPr>
            <w:r>
              <w:rPr>
                <w:rFonts w:ascii="Arial" w:cs="Arial" w:eastAsia="Arial" w:hAnsi="Arial"/>
                <w:sz w:val="18"/>
                <w:szCs w:val="18"/>
                <w:color w:val="auto"/>
              </w:rPr>
              <w:t>COUNTY OF:</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
        </w:trPr>
        <w:tc>
          <w:tcPr>
            <w:tcW w:w="900" w:type="dxa"/>
            <w:vAlign w:val="bottom"/>
            <w:gridSpan w:val="2"/>
          </w:tcPr>
          <w:p>
            <w:pPr>
              <w:spacing w:after="0" w:line="20" w:lineRule="exact"/>
              <w:rPr>
                <w:sz w:val="1"/>
                <w:szCs w:val="1"/>
                <w:color w:val="auto"/>
              </w:rPr>
            </w:pPr>
          </w:p>
        </w:tc>
        <w:tc>
          <w:tcPr>
            <w:tcW w:w="298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8"/>
        </w:trPr>
        <w:tc>
          <w:tcPr>
            <w:tcW w:w="4380" w:type="dxa"/>
            <w:vAlign w:val="bottom"/>
            <w:gridSpan w:val="6"/>
          </w:tcPr>
          <w:p>
            <w:pPr>
              <w:spacing w:after="0"/>
              <w:rPr>
                <w:sz w:val="20"/>
                <w:szCs w:val="20"/>
                <w:color w:val="auto"/>
              </w:rPr>
            </w:pPr>
            <w:r>
              <w:rPr>
                <w:rFonts w:ascii="Arial" w:cs="Arial" w:eastAsia="Arial" w:hAnsi="Arial"/>
                <w:sz w:val="18"/>
                <w:szCs w:val="18"/>
                <w:color w:val="auto"/>
                <w:w w:val="92"/>
              </w:rPr>
              <w:t>The following instrument was acknowledged before me this</w:t>
            </w:r>
          </w:p>
        </w:tc>
        <w:tc>
          <w:tcPr>
            <w:tcW w:w="540" w:type="dxa"/>
            <w:vAlign w:val="bottom"/>
          </w:tcPr>
          <w:p>
            <w:pPr>
              <w:spacing w:after="0"/>
              <w:rPr>
                <w:sz w:val="24"/>
                <w:szCs w:val="24"/>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380" w:type="dxa"/>
            <w:vAlign w:val="bottom"/>
          </w:tcPr>
          <w:p>
            <w:pPr>
              <w:spacing w:after="0"/>
              <w:rPr>
                <w:sz w:val="24"/>
                <w:szCs w:val="24"/>
                <w:color w:val="auto"/>
              </w:rPr>
            </w:pPr>
          </w:p>
        </w:tc>
        <w:tc>
          <w:tcPr>
            <w:tcW w:w="4220" w:type="dxa"/>
            <w:vAlign w:val="bottom"/>
            <w:gridSpan w:val="3"/>
          </w:tcPr>
          <w:p>
            <w:pPr>
              <w:jc w:val="right"/>
              <w:ind w:right="3750"/>
              <w:spacing w:after="0"/>
              <w:rPr>
                <w:sz w:val="20"/>
                <w:szCs w:val="20"/>
                <w:color w:val="auto"/>
              </w:rPr>
            </w:pPr>
            <w:r>
              <w:rPr>
                <w:rFonts w:ascii="Arial" w:cs="Arial" w:eastAsia="Arial" w:hAnsi="Arial"/>
                <w:sz w:val="18"/>
                <w:szCs w:val="18"/>
                <w:color w:val="auto"/>
              </w:rPr>
              <w:t>by:</w:t>
            </w:r>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signer#1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3810</wp:posOffset>
            </wp:positionV>
            <wp:extent cx="15144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w:t>
      </w:r>
      <w:r>
        <w:rPr>
          <w:rFonts w:ascii="Arial" w:cs="Arial" w:eastAsia="Arial" w:hAnsi="Arial"/>
          <w:sz w:val="17"/>
          <w:szCs w:val="17"/>
          <w:i w:val="1"/>
          <w:iCs w:val="1"/>
          <w:color w:val="auto"/>
        </w:rPr>
        <w:t>name of entity</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-19050</wp:posOffset>
            </wp:positionV>
            <wp:extent cx="18573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i w:val="1"/>
          <w:iCs w:val="1"/>
          <w:color w:val="auto"/>
        </w:rPr>
        <w:t>title of signer#1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-10160</wp:posOffset>
            </wp:positionV>
            <wp:extent cx="162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180" w:right="400" w:firstLine="92"/>
        <w:spacing w:after="0" w:line="261"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(“Entity”), on behalf of the Entity. He/She is personally known to me or has produced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-173990</wp:posOffset>
            </wp:positionV>
            <wp:extent cx="17430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140" w:space="720"/>
            <w:col w:w="75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and by</w:t>
      </w:r>
    </w:p>
    <w:p>
      <w:pPr>
        <w:sectPr>
          <w:pgSz w:w="11900" w:h="16838" w:orient="portrait"/>
          <w:cols w:equalWidth="0" w:num="1">
            <w:col w:w="11420"/>
          </w:cols>
          <w:pgMar w:left="240" w:top="270" w:right="239" w:bottom="1440" w:gutter="0" w:footer="0" w:header="0"/>
          <w:type w:val="continuous"/>
        </w:sectPr>
      </w:pPr>
    </w:p>
    <w:p>
      <w:pPr>
        <w:spacing w:after="0" w:line="154"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signer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w:t>
      </w:r>
      <w:r>
        <w:rPr>
          <w:rFonts w:ascii="Arial" w:cs="Arial" w:eastAsia="Arial" w:hAnsi="Arial"/>
          <w:sz w:val="16"/>
          <w:szCs w:val="16"/>
          <w:i w:val="1"/>
          <w:iCs w:val="1"/>
          <w:color w:val="auto"/>
        </w:rPr>
        <w:t>title of signer #2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-10160</wp:posOffset>
            </wp:positionV>
            <wp:extent cx="162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personally known to me or has produced [</w:t>
      </w:r>
      <w:r>
        <w:rPr>
          <w:rFonts w:ascii="Arial" w:cs="Arial" w:eastAsia="Arial" w:hAnsi="Arial"/>
          <w:sz w:val="18"/>
          <w:szCs w:val="18"/>
          <w:i w:val="1"/>
          <w:iCs w:val="1"/>
          <w:color w:val="auto"/>
        </w:rPr>
        <w:t>form of 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-19050</wp:posOffset>
            </wp:positionV>
            <wp:extent cx="14001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40" w:firstLine="1125"/>
        <w:spacing w:after="0" w:line="277" w:lineRule="auto"/>
        <w:rPr>
          <w:sz w:val="20"/>
          <w:szCs w:val="20"/>
          <w:color w:val="auto"/>
        </w:rPr>
      </w:pPr>
      <w:r>
        <w:rPr>
          <w:rFonts w:ascii="Arial" w:cs="Arial" w:eastAsia="Arial" w:hAnsi="Arial"/>
          <w:sz w:val="18"/>
          <w:szCs w:val="18"/>
          <w:color w:val="auto"/>
        </w:rPr>
        <w:t>of the Entity on behalf of the Entity. He/She is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-182245</wp:posOffset>
            </wp:positionV>
            <wp:extent cx="1514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6200" w:space="720"/>
            <w:col w:w="450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My commission expires:</w:t>
            </w:r>
          </w:p>
        </w:tc>
        <w:tc>
          <w:tcPr>
            <w:tcW w:w="1040" w:type="dxa"/>
            <w:vAlign w:val="bottom"/>
          </w:tcPr>
          <w:p>
            <w:pPr>
              <w:ind w:left="120"/>
              <w:spacing w:after="0"/>
              <w:rPr>
                <w:sz w:val="20"/>
                <w:szCs w:val="20"/>
                <w:color w:val="auto"/>
              </w:rPr>
            </w:pPr>
            <w:r>
              <w:rPr>
                <w:rFonts w:ascii="Arial" w:cs="Arial" w:eastAsia="Arial" w:hAnsi="Arial"/>
                <w:sz w:val="18"/>
                <w:szCs w:val="18"/>
                <w:color w:val="auto"/>
                <w:w w:val="90"/>
              </w:rPr>
              <w:t>Notary Seal:</w:t>
            </w:r>
          </w:p>
        </w:tc>
      </w:tr>
      <w:tr>
        <w:trPr>
          <w:trHeight w:val="392"/>
        </w:trPr>
        <w:tc>
          <w:tcPr>
            <w:tcW w:w="2660" w:type="dxa"/>
            <w:vAlign w:val="bottom"/>
            <w:gridSpan w:val="2"/>
          </w:tcPr>
          <w:p>
            <w:pPr>
              <w:spacing w:after="0"/>
              <w:rPr>
                <w:sz w:val="20"/>
                <w:szCs w:val="20"/>
                <w:color w:val="auto"/>
              </w:rPr>
            </w:pPr>
            <w:r>
              <w:rPr>
                <w:rFonts w:ascii="Arial" w:cs="Arial" w:eastAsia="Arial" w:hAnsi="Arial"/>
                <w:sz w:val="18"/>
                <w:szCs w:val="18"/>
                <w:color w:val="auto"/>
              </w:rPr>
              <w:t>_____________________</w:t>
            </w:r>
          </w:p>
        </w:tc>
        <w:tc>
          <w:tcPr>
            <w:tcW w:w="440" w:type="dxa"/>
            <w:vAlign w:val="bottom"/>
          </w:tcPr>
          <w:p>
            <w:pPr>
              <w:spacing w:after="0"/>
              <w:rPr>
                <w:sz w:val="24"/>
                <w:szCs w:val="24"/>
                <w:color w:val="auto"/>
              </w:rPr>
            </w:pPr>
          </w:p>
        </w:tc>
        <w:tc>
          <w:tcPr>
            <w:tcW w:w="4680" w:type="dxa"/>
            <w:vAlign w:val="bottom"/>
            <w:gridSpan w:val="4"/>
          </w:tcPr>
          <w:p>
            <w:pPr>
              <w:jc w:val="right"/>
              <w:ind w:right="24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r>
      <w:tr>
        <w:trPr>
          <w:trHeight w:val="196"/>
        </w:trPr>
        <w:tc>
          <w:tcPr>
            <w:tcW w:w="3100" w:type="dxa"/>
            <w:vAlign w:val="bottom"/>
            <w:gridSpan w:val="3"/>
          </w:tcPr>
          <w:p>
            <w:pPr>
              <w:spacing w:after="0" w:line="196" w:lineRule="exact"/>
              <w:rPr>
                <w:sz w:val="20"/>
                <w:szCs w:val="20"/>
                <w:color w:val="auto"/>
              </w:rPr>
            </w:pPr>
            <w:r>
              <w:rPr>
                <w:rFonts w:ascii="Arial" w:cs="Arial" w:eastAsia="Arial" w:hAnsi="Arial"/>
                <w:sz w:val="18"/>
                <w:szCs w:val="18"/>
                <w:color w:val="auto"/>
              </w:rPr>
              <w:t>Notary Public Signature</w:t>
            </w:r>
          </w:p>
        </w:tc>
        <w:tc>
          <w:tcPr>
            <w:tcW w:w="7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20</w:t>
            </w:r>
          </w:p>
        </w:tc>
        <w:tc>
          <w:tcPr>
            <w:tcW w:w="1480" w:type="dxa"/>
            <w:vAlign w:val="bottom"/>
            <w:tcBorders>
              <w:top w:val="single" w:sz="8" w:color="auto"/>
            </w:tcBorders>
          </w:tcPr>
          <w:p>
            <w:pPr>
              <w:spacing w:after="0"/>
              <w:rPr>
                <w:sz w:val="17"/>
                <w:szCs w:val="17"/>
                <w:color w:val="auto"/>
              </w:rPr>
            </w:pPr>
          </w:p>
        </w:tc>
        <w:tc>
          <w:tcPr>
            <w:tcW w:w="2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04"/>
        </w:trPr>
        <w:tc>
          <w:tcPr>
            <w:tcW w:w="3100" w:type="dxa"/>
            <w:vAlign w:val="bottom"/>
            <w:gridSpan w:val="3"/>
          </w:tcPr>
          <w:p>
            <w:pPr>
              <w:spacing w:after="0"/>
              <w:rPr>
                <w:sz w:val="20"/>
                <w:szCs w:val="20"/>
                <w:color w:val="auto"/>
              </w:rPr>
            </w:pPr>
            <w:r>
              <w:rPr>
                <w:rFonts w:ascii="Arial" w:cs="Arial" w:eastAsia="Arial" w:hAnsi="Arial"/>
                <w:sz w:val="18"/>
                <w:szCs w:val="18"/>
                <w:color w:val="auto"/>
              </w:rPr>
              <w:t>Printed Name</w:t>
            </w: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3"/>
        </w:trPr>
        <w:tc>
          <w:tcPr>
            <w:tcW w:w="104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3"/>
          </w:tcPr>
          <w:p>
            <w:pPr>
              <w:jc w:val="center"/>
              <w:ind w:left="270"/>
              <w:spacing w:after="0"/>
              <w:rPr>
                <w:sz w:val="20"/>
                <w:szCs w:val="20"/>
                <w:color w:val="auto"/>
              </w:rPr>
            </w:pPr>
            <w:r>
              <w:rPr>
                <w:rFonts w:ascii="Arial" w:cs="Arial" w:eastAsia="Arial" w:hAnsi="Arial"/>
                <w:sz w:val="18"/>
                <w:szCs w:val="18"/>
                <w:i w:val="1"/>
                <w:iCs w:val="1"/>
                <w:color w:val="auto"/>
                <w:w w:val="92"/>
              </w:rPr>
              <w:t>(The remainder of this page is intentionally left blank)</w:t>
            </w:r>
          </w:p>
        </w:tc>
        <w:tc>
          <w:tcPr>
            <w:tcW w:w="1040" w:type="dxa"/>
            <w:vAlign w:val="bottom"/>
          </w:tcPr>
          <w:p>
            <w:pPr>
              <w:spacing w:after="0"/>
              <w:rPr>
                <w:sz w:val="24"/>
                <w:szCs w:val="24"/>
                <w:color w:val="auto"/>
              </w:rPr>
            </w:pPr>
          </w:p>
        </w:tc>
      </w:tr>
      <w:tr>
        <w:trPr>
          <w:trHeight w:val="365"/>
        </w:trPr>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80" w:type="dxa"/>
            <w:vAlign w:val="bottom"/>
            <w:gridSpan w:val="4"/>
          </w:tcPr>
          <w:p>
            <w:pPr>
              <w:jc w:val="right"/>
              <w:ind w:right="1980"/>
              <w:spacing w:after="0"/>
              <w:rPr>
                <w:sz w:val="20"/>
                <w:szCs w:val="20"/>
                <w:color w:val="auto"/>
              </w:rPr>
            </w:pPr>
            <w:r>
              <w:rPr>
                <w:rFonts w:ascii="Arial" w:cs="Arial" w:eastAsia="Arial" w:hAnsi="Arial"/>
                <w:sz w:val="18"/>
                <w:szCs w:val="18"/>
                <w:color w:val="auto"/>
              </w:rPr>
              <w:t>18</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type w:val="continuous"/>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380" w:type="dxa"/>
            <w:vAlign w:val="bottom"/>
            <w:gridSpan w:val="6"/>
          </w:tcPr>
          <w:p>
            <w:pPr>
              <w:spacing w:after="0"/>
              <w:rPr>
                <w:sz w:val="20"/>
                <w:szCs w:val="20"/>
                <w:color w:val="auto"/>
              </w:rPr>
            </w:pPr>
            <w:r>
              <w:rPr>
                <w:rFonts w:ascii="Arial" w:cs="Arial" w:eastAsia="Arial" w:hAnsi="Arial"/>
                <w:sz w:val="18"/>
                <w:szCs w:val="18"/>
                <w:b w:val="1"/>
                <w:bCs w:val="1"/>
                <w:color w:val="auto"/>
              </w:rPr>
              <w:t>INDEMNITOR</w:t>
            </w: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i w:val="1"/>
                <w:iCs w:val="1"/>
                <w:color w:val="auto"/>
              </w:rPr>
              <w:t>(2 signature format)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20"/>
        </w:trPr>
        <w:tc>
          <w:tcPr>
            <w:tcW w:w="4380" w:type="dxa"/>
            <w:vAlign w:val="bottom"/>
            <w:gridSpan w:val="6"/>
          </w:tcPr>
          <w:p>
            <w:pPr>
              <w:spacing w:after="0"/>
              <w:rPr>
                <w:sz w:val="20"/>
                <w:szCs w:val="20"/>
                <w:color w:val="auto"/>
              </w:rPr>
            </w:pPr>
            <w:r>
              <w:rPr>
                <w:rFonts w:ascii="Arial" w:cs="Arial" w:eastAsia="Arial" w:hAnsi="Arial"/>
                <w:sz w:val="18"/>
                <w:szCs w:val="18"/>
                <w:b w:val="1"/>
                <w:bCs w:val="1"/>
                <w:color w:val="auto"/>
              </w:rPr>
              <w:t>North American Leasing, Inc.</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20" w:type="dxa"/>
            <w:vAlign w:val="bottom"/>
          </w:tcPr>
          <w:p>
            <w:pPr>
              <w:jc w:val="right"/>
              <w:ind w:right="1270"/>
              <w:spacing w:after="0"/>
              <w:rPr>
                <w:sz w:val="20"/>
                <w:szCs w:val="20"/>
                <w:color w:val="auto"/>
              </w:rPr>
            </w:pPr>
            <w:r>
              <w:rPr>
                <w:rFonts w:ascii="Arial" w:cs="Arial" w:eastAsia="Arial" w:hAnsi="Arial"/>
                <w:sz w:val="18"/>
                <w:szCs w:val="18"/>
                <w:i w:val="1"/>
                <w:iCs w:val="1"/>
                <w:color w:val="auto"/>
              </w:rPr>
              <w:t>(SEAL)</w:t>
            </w: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46"/>
        </w:trPr>
        <w:tc>
          <w:tcPr>
            <w:tcW w:w="900" w:type="dxa"/>
            <w:vAlign w:val="bottom"/>
            <w:gridSpan w:val="2"/>
          </w:tcPr>
          <w:p>
            <w:pPr>
              <w:spacing w:after="0"/>
              <w:rPr>
                <w:sz w:val="20"/>
                <w:szCs w:val="20"/>
                <w:color w:val="auto"/>
              </w:rPr>
            </w:pPr>
            <w:r>
              <w:rPr>
                <w:rFonts w:ascii="Arial" w:cs="Arial" w:eastAsia="Arial" w:hAnsi="Arial"/>
                <w:sz w:val="18"/>
                <w:szCs w:val="18"/>
                <w:color w:val="auto"/>
              </w:rPr>
              <w:t>By:</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0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Signer #1]</w:t>
            </w: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30"/>
        </w:trPr>
        <w:tc>
          <w:tcPr>
            <w:tcW w:w="4380" w:type="dxa"/>
            <w:vAlign w:val="bottom"/>
            <w:gridSpan w:val="6"/>
          </w:tcPr>
          <w:p>
            <w:pPr>
              <w:ind w:left="380"/>
              <w:spacing w:after="0"/>
              <w:rPr>
                <w:sz w:val="20"/>
                <w:szCs w:val="20"/>
                <w:color w:val="auto"/>
              </w:rPr>
            </w:pPr>
            <w:r>
              <w:rPr>
                <w:rFonts w:ascii="Arial" w:cs="Arial" w:eastAsia="Arial" w:hAnsi="Arial"/>
                <w:sz w:val="18"/>
                <w:szCs w:val="18"/>
                <w:color w:val="auto"/>
              </w:rPr>
              <w:t>As [Title] of North American Leasing, Inc.</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24"/>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LAST 4 DIGITS OF TIN:</w:t>
            </w:r>
          </w:p>
        </w:tc>
      </w:tr>
      <w:tr>
        <w:trPr>
          <w:trHeight w:val="28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53"/>
        </w:trPr>
        <w:tc>
          <w:tcPr>
            <w:tcW w:w="900" w:type="dxa"/>
            <w:vAlign w:val="bottom"/>
            <w:gridSpan w:val="2"/>
          </w:tcPr>
          <w:p>
            <w:pPr>
              <w:spacing w:after="0"/>
              <w:rPr>
                <w:sz w:val="20"/>
                <w:szCs w:val="20"/>
                <w:color w:val="auto"/>
              </w:rPr>
            </w:pPr>
            <w:r>
              <w:rPr>
                <w:rFonts w:ascii="Arial" w:cs="Arial" w:eastAsia="Arial" w:hAnsi="Arial"/>
                <w:sz w:val="18"/>
                <w:szCs w:val="18"/>
                <w:color w:val="auto"/>
              </w:rPr>
              <w:t>By:</w:t>
            </w:r>
          </w:p>
        </w:tc>
        <w:tc>
          <w:tcPr>
            <w:tcW w:w="2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________________</w:t>
            </w:r>
          </w:p>
        </w:tc>
      </w:tr>
      <w:tr>
        <w:trPr>
          <w:trHeight w:val="209"/>
        </w:trPr>
        <w:tc>
          <w:tcPr>
            <w:tcW w:w="380" w:type="dxa"/>
            <w:vAlign w:val="bottom"/>
          </w:tcPr>
          <w:p>
            <w:pPr>
              <w:spacing w:after="0"/>
              <w:rPr>
                <w:sz w:val="18"/>
                <w:szCs w:val="18"/>
                <w:color w:val="auto"/>
              </w:rPr>
            </w:pPr>
          </w:p>
        </w:tc>
        <w:tc>
          <w:tcPr>
            <w:tcW w:w="40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Signer #2]</w:t>
            </w: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30"/>
        </w:trPr>
        <w:tc>
          <w:tcPr>
            <w:tcW w:w="4380" w:type="dxa"/>
            <w:vAlign w:val="bottom"/>
            <w:gridSpan w:val="6"/>
          </w:tcPr>
          <w:p>
            <w:pPr>
              <w:ind w:left="380"/>
              <w:spacing w:after="0"/>
              <w:rPr>
                <w:sz w:val="20"/>
                <w:szCs w:val="20"/>
                <w:color w:val="auto"/>
              </w:rPr>
            </w:pPr>
            <w:r>
              <w:rPr>
                <w:rFonts w:ascii="Arial" w:cs="Arial" w:eastAsia="Arial" w:hAnsi="Arial"/>
                <w:sz w:val="18"/>
                <w:szCs w:val="18"/>
                <w:color w:val="auto"/>
              </w:rPr>
              <w:t>As [Title] of North American Leasing, Inc.</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92"/>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80"/>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NOTARIAL ACKNOWLEDGEMENT</w:t>
            </w:r>
          </w:p>
        </w:tc>
        <w:tc>
          <w:tcPr>
            <w:tcW w:w="360" w:type="dxa"/>
            <w:vAlign w:val="bottom"/>
            <w:tcBorders>
              <w:top w:val="single" w:sz="8" w:color="auto"/>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w w:val="94"/>
              </w:rPr>
              <w:t>STATE OF:</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4"/>
          </w:tcPr>
          <w:p>
            <w:pPr>
              <w:ind w:left="360"/>
              <w:spacing w:after="0"/>
              <w:rPr>
                <w:sz w:val="20"/>
                <w:szCs w:val="20"/>
                <w:color w:val="auto"/>
              </w:rPr>
            </w:pPr>
            <w:r>
              <w:rPr>
                <w:rFonts w:ascii="Arial" w:cs="Arial" w:eastAsia="Arial" w:hAnsi="Arial"/>
                <w:sz w:val="18"/>
                <w:szCs w:val="18"/>
                <w:color w:val="auto"/>
              </w:rPr>
              <w:t>COUNTY OF:</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
        </w:trPr>
        <w:tc>
          <w:tcPr>
            <w:tcW w:w="900" w:type="dxa"/>
            <w:vAlign w:val="bottom"/>
            <w:gridSpan w:val="2"/>
          </w:tcPr>
          <w:p>
            <w:pPr>
              <w:spacing w:after="0" w:line="20" w:lineRule="exact"/>
              <w:rPr>
                <w:sz w:val="1"/>
                <w:szCs w:val="1"/>
                <w:color w:val="auto"/>
              </w:rPr>
            </w:pPr>
          </w:p>
        </w:tc>
        <w:tc>
          <w:tcPr>
            <w:tcW w:w="298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8"/>
        </w:trPr>
        <w:tc>
          <w:tcPr>
            <w:tcW w:w="4380" w:type="dxa"/>
            <w:vAlign w:val="bottom"/>
            <w:gridSpan w:val="6"/>
          </w:tcPr>
          <w:p>
            <w:pPr>
              <w:spacing w:after="0"/>
              <w:rPr>
                <w:sz w:val="20"/>
                <w:szCs w:val="20"/>
                <w:color w:val="auto"/>
              </w:rPr>
            </w:pPr>
            <w:r>
              <w:rPr>
                <w:rFonts w:ascii="Arial" w:cs="Arial" w:eastAsia="Arial" w:hAnsi="Arial"/>
                <w:sz w:val="18"/>
                <w:szCs w:val="18"/>
                <w:color w:val="auto"/>
                <w:w w:val="92"/>
              </w:rPr>
              <w:t>The following instrument was acknowledged before me this</w:t>
            </w:r>
          </w:p>
        </w:tc>
        <w:tc>
          <w:tcPr>
            <w:tcW w:w="540" w:type="dxa"/>
            <w:vAlign w:val="bottom"/>
          </w:tcPr>
          <w:p>
            <w:pPr>
              <w:spacing w:after="0"/>
              <w:rPr>
                <w:sz w:val="24"/>
                <w:szCs w:val="24"/>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1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380" w:type="dxa"/>
            <w:vAlign w:val="bottom"/>
          </w:tcPr>
          <w:p>
            <w:pPr>
              <w:spacing w:after="0"/>
              <w:rPr>
                <w:sz w:val="24"/>
                <w:szCs w:val="24"/>
                <w:color w:val="auto"/>
              </w:rPr>
            </w:pPr>
          </w:p>
        </w:tc>
        <w:tc>
          <w:tcPr>
            <w:tcW w:w="4220" w:type="dxa"/>
            <w:vAlign w:val="bottom"/>
            <w:gridSpan w:val="3"/>
          </w:tcPr>
          <w:p>
            <w:pPr>
              <w:jc w:val="right"/>
              <w:ind w:right="3750"/>
              <w:spacing w:after="0"/>
              <w:rPr>
                <w:sz w:val="20"/>
                <w:szCs w:val="20"/>
                <w:color w:val="auto"/>
              </w:rPr>
            </w:pPr>
            <w:r>
              <w:rPr>
                <w:rFonts w:ascii="Arial" w:cs="Arial" w:eastAsia="Arial" w:hAnsi="Arial"/>
                <w:sz w:val="18"/>
                <w:szCs w:val="18"/>
                <w:color w:val="auto"/>
              </w:rPr>
              <w:t>by:</w:t>
            </w:r>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signer#1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3810</wp:posOffset>
            </wp:positionV>
            <wp:extent cx="15144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w:t>
      </w:r>
      <w:r>
        <w:rPr>
          <w:rFonts w:ascii="Arial" w:cs="Arial" w:eastAsia="Arial" w:hAnsi="Arial"/>
          <w:sz w:val="17"/>
          <w:szCs w:val="17"/>
          <w:i w:val="1"/>
          <w:iCs w:val="1"/>
          <w:color w:val="auto"/>
        </w:rPr>
        <w:t>name of entity</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-19050</wp:posOffset>
            </wp:positionV>
            <wp:extent cx="18573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i w:val="1"/>
          <w:iCs w:val="1"/>
          <w:color w:val="auto"/>
        </w:rPr>
        <w:t>title of signer#1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-10160</wp:posOffset>
            </wp:positionV>
            <wp:extent cx="162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180" w:right="400" w:firstLine="92"/>
        <w:spacing w:after="0" w:line="261"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(“Entity”), on behalf of the Entity. He/She is personally known to me or has produced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-173990</wp:posOffset>
            </wp:positionV>
            <wp:extent cx="17430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140" w:space="720"/>
            <w:col w:w="75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and by</w:t>
      </w:r>
    </w:p>
    <w:p>
      <w:pPr>
        <w:sectPr>
          <w:pgSz w:w="11900" w:h="16838" w:orient="portrait"/>
          <w:cols w:equalWidth="0" w:num="1">
            <w:col w:w="11420"/>
          </w:cols>
          <w:pgMar w:left="240" w:top="270" w:right="239" w:bottom="1440" w:gutter="0" w:footer="0" w:header="0"/>
          <w:type w:val="continuous"/>
        </w:sectPr>
      </w:pPr>
    </w:p>
    <w:p>
      <w:pPr>
        <w:spacing w:after="0" w:line="154"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signer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w:t>
      </w:r>
      <w:r>
        <w:rPr>
          <w:rFonts w:ascii="Arial" w:cs="Arial" w:eastAsia="Arial" w:hAnsi="Arial"/>
          <w:sz w:val="16"/>
          <w:szCs w:val="16"/>
          <w:i w:val="1"/>
          <w:iCs w:val="1"/>
          <w:color w:val="auto"/>
        </w:rPr>
        <w:t>title of signer #2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-10160</wp:posOffset>
            </wp:positionV>
            <wp:extent cx="162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personally known to me or has produced [</w:t>
      </w:r>
      <w:r>
        <w:rPr>
          <w:rFonts w:ascii="Arial" w:cs="Arial" w:eastAsia="Arial" w:hAnsi="Arial"/>
          <w:sz w:val="18"/>
          <w:szCs w:val="18"/>
          <w:i w:val="1"/>
          <w:iCs w:val="1"/>
          <w:color w:val="auto"/>
        </w:rPr>
        <w:t>form of 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-19050</wp:posOffset>
            </wp:positionV>
            <wp:extent cx="14001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40" w:firstLine="1125"/>
        <w:spacing w:after="0" w:line="277" w:lineRule="auto"/>
        <w:rPr>
          <w:sz w:val="20"/>
          <w:szCs w:val="20"/>
          <w:color w:val="auto"/>
        </w:rPr>
      </w:pPr>
      <w:r>
        <w:rPr>
          <w:rFonts w:ascii="Arial" w:cs="Arial" w:eastAsia="Arial" w:hAnsi="Arial"/>
          <w:sz w:val="18"/>
          <w:szCs w:val="18"/>
          <w:color w:val="auto"/>
        </w:rPr>
        <w:t>of the Entity on behalf of the Entity. He/She is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-182245</wp:posOffset>
            </wp:positionV>
            <wp:extent cx="15144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0" w:space="720"/>
            <w:col w:w="4500"/>
          </w:cols>
          <w:pgMar w:left="240" w:top="270"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My commission expires:</w:t>
            </w:r>
          </w:p>
        </w:tc>
        <w:tc>
          <w:tcPr>
            <w:tcW w:w="1040" w:type="dxa"/>
            <w:vAlign w:val="bottom"/>
          </w:tcPr>
          <w:p>
            <w:pPr>
              <w:ind w:left="120"/>
              <w:spacing w:after="0"/>
              <w:rPr>
                <w:sz w:val="20"/>
                <w:szCs w:val="20"/>
                <w:color w:val="auto"/>
              </w:rPr>
            </w:pPr>
            <w:r>
              <w:rPr>
                <w:rFonts w:ascii="Arial" w:cs="Arial" w:eastAsia="Arial" w:hAnsi="Arial"/>
                <w:sz w:val="18"/>
                <w:szCs w:val="18"/>
                <w:color w:val="auto"/>
                <w:w w:val="90"/>
              </w:rPr>
              <w:t>Notary Seal:</w:t>
            </w:r>
          </w:p>
        </w:tc>
      </w:tr>
      <w:tr>
        <w:trPr>
          <w:trHeight w:val="392"/>
        </w:trPr>
        <w:tc>
          <w:tcPr>
            <w:tcW w:w="2660" w:type="dxa"/>
            <w:vAlign w:val="bottom"/>
            <w:gridSpan w:val="2"/>
          </w:tcPr>
          <w:p>
            <w:pPr>
              <w:spacing w:after="0"/>
              <w:rPr>
                <w:sz w:val="20"/>
                <w:szCs w:val="20"/>
                <w:color w:val="auto"/>
              </w:rPr>
            </w:pPr>
            <w:r>
              <w:rPr>
                <w:rFonts w:ascii="Arial" w:cs="Arial" w:eastAsia="Arial" w:hAnsi="Arial"/>
                <w:sz w:val="18"/>
                <w:szCs w:val="18"/>
                <w:color w:val="auto"/>
              </w:rPr>
              <w:t>_______________________</w:t>
            </w:r>
          </w:p>
        </w:tc>
        <w:tc>
          <w:tcPr>
            <w:tcW w:w="440" w:type="dxa"/>
            <w:vAlign w:val="bottom"/>
          </w:tcPr>
          <w:p>
            <w:pPr>
              <w:spacing w:after="0"/>
              <w:rPr>
                <w:sz w:val="24"/>
                <w:szCs w:val="24"/>
                <w:color w:val="auto"/>
              </w:rPr>
            </w:pPr>
          </w:p>
        </w:tc>
        <w:tc>
          <w:tcPr>
            <w:tcW w:w="4680" w:type="dxa"/>
            <w:vAlign w:val="bottom"/>
            <w:gridSpan w:val="4"/>
          </w:tcPr>
          <w:p>
            <w:pPr>
              <w:jc w:val="right"/>
              <w:ind w:right="24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r>
      <w:tr>
        <w:trPr>
          <w:trHeight w:val="196"/>
        </w:trPr>
        <w:tc>
          <w:tcPr>
            <w:tcW w:w="3100" w:type="dxa"/>
            <w:vAlign w:val="bottom"/>
            <w:gridSpan w:val="3"/>
          </w:tcPr>
          <w:p>
            <w:pPr>
              <w:spacing w:after="0" w:line="196" w:lineRule="exact"/>
              <w:rPr>
                <w:sz w:val="20"/>
                <w:szCs w:val="20"/>
                <w:color w:val="auto"/>
              </w:rPr>
            </w:pPr>
            <w:r>
              <w:rPr>
                <w:rFonts w:ascii="Arial" w:cs="Arial" w:eastAsia="Arial" w:hAnsi="Arial"/>
                <w:sz w:val="18"/>
                <w:szCs w:val="18"/>
                <w:color w:val="auto"/>
              </w:rPr>
              <w:t>Notary Public Signature</w:t>
            </w:r>
          </w:p>
        </w:tc>
        <w:tc>
          <w:tcPr>
            <w:tcW w:w="7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20</w:t>
            </w:r>
          </w:p>
        </w:tc>
        <w:tc>
          <w:tcPr>
            <w:tcW w:w="1480" w:type="dxa"/>
            <w:vAlign w:val="bottom"/>
            <w:tcBorders>
              <w:top w:val="single" w:sz="8" w:color="auto"/>
            </w:tcBorders>
          </w:tcPr>
          <w:p>
            <w:pPr>
              <w:spacing w:after="0"/>
              <w:rPr>
                <w:sz w:val="17"/>
                <w:szCs w:val="17"/>
                <w:color w:val="auto"/>
              </w:rPr>
            </w:pPr>
          </w:p>
        </w:tc>
        <w:tc>
          <w:tcPr>
            <w:tcW w:w="2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04"/>
        </w:trPr>
        <w:tc>
          <w:tcPr>
            <w:tcW w:w="3100" w:type="dxa"/>
            <w:vAlign w:val="bottom"/>
            <w:gridSpan w:val="3"/>
          </w:tcPr>
          <w:p>
            <w:pPr>
              <w:spacing w:after="0"/>
              <w:rPr>
                <w:sz w:val="20"/>
                <w:szCs w:val="20"/>
                <w:color w:val="auto"/>
              </w:rPr>
            </w:pPr>
            <w:r>
              <w:rPr>
                <w:rFonts w:ascii="Arial" w:cs="Arial" w:eastAsia="Arial" w:hAnsi="Arial"/>
                <w:sz w:val="18"/>
                <w:szCs w:val="18"/>
                <w:color w:val="auto"/>
              </w:rPr>
              <w:t>Printed Name</w:t>
            </w: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3"/>
        </w:trPr>
        <w:tc>
          <w:tcPr>
            <w:tcW w:w="104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3"/>
          </w:tcPr>
          <w:p>
            <w:pPr>
              <w:jc w:val="center"/>
              <w:ind w:left="270"/>
              <w:spacing w:after="0"/>
              <w:rPr>
                <w:sz w:val="20"/>
                <w:szCs w:val="20"/>
                <w:color w:val="auto"/>
              </w:rPr>
            </w:pPr>
            <w:r>
              <w:rPr>
                <w:rFonts w:ascii="Arial" w:cs="Arial" w:eastAsia="Arial" w:hAnsi="Arial"/>
                <w:sz w:val="18"/>
                <w:szCs w:val="18"/>
                <w:i w:val="1"/>
                <w:iCs w:val="1"/>
                <w:color w:val="auto"/>
                <w:w w:val="92"/>
              </w:rPr>
              <w:t>(The remainder of this page is intentionally left blank)</w:t>
            </w:r>
          </w:p>
        </w:tc>
        <w:tc>
          <w:tcPr>
            <w:tcW w:w="1040" w:type="dxa"/>
            <w:vAlign w:val="bottom"/>
          </w:tcPr>
          <w:p>
            <w:pPr>
              <w:spacing w:after="0"/>
              <w:rPr>
                <w:sz w:val="24"/>
                <w:szCs w:val="24"/>
                <w:color w:val="auto"/>
              </w:rPr>
            </w:pPr>
          </w:p>
        </w:tc>
      </w:tr>
      <w:tr>
        <w:trPr>
          <w:trHeight w:val="365"/>
        </w:trPr>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80" w:type="dxa"/>
            <w:vAlign w:val="bottom"/>
            <w:gridSpan w:val="4"/>
          </w:tcPr>
          <w:p>
            <w:pPr>
              <w:jc w:val="right"/>
              <w:ind w:right="1980"/>
              <w:spacing w:after="0"/>
              <w:rPr>
                <w:sz w:val="20"/>
                <w:szCs w:val="20"/>
                <w:color w:val="auto"/>
              </w:rPr>
            </w:pPr>
            <w:r>
              <w:rPr>
                <w:rFonts w:ascii="Arial" w:cs="Arial" w:eastAsia="Arial" w:hAnsi="Arial"/>
                <w:sz w:val="18"/>
                <w:szCs w:val="18"/>
                <w:color w:val="auto"/>
              </w:rPr>
              <w:t>19</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type w:val="continuous"/>
        </w:sectPr>
      </w:pPr>
    </w:p>
    <w:bookmarkStart w:id="79" w:name="page80"/>
    <w:bookmarkEnd w:id="79"/>
    <w:p>
      <w:pPr>
        <w:spacing w:after="0"/>
        <w:tabs>
          <w:tab w:leader="none" w:pos="3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INDEMNITOR</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(2</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signature format)</w:t>
      </w:r>
    </w:p>
    <w:p>
      <w:pPr>
        <w:spacing w:after="0" w:line="9" w:lineRule="exact"/>
        <w:rPr>
          <w:sz w:val="20"/>
          <w:szCs w:val="20"/>
          <w:color w:val="auto"/>
        </w:rPr>
      </w:pPr>
    </w:p>
    <w:p>
      <w:pPr>
        <w:ind w:right="1320"/>
        <w:spacing w:after="0" w:line="250" w:lineRule="auto"/>
        <w:rPr>
          <w:sz w:val="20"/>
          <w:szCs w:val="20"/>
          <w:color w:val="auto"/>
        </w:rPr>
      </w:pPr>
      <w:r>
        <w:rPr>
          <w:rFonts w:ascii="Arial" w:cs="Arial" w:eastAsia="Arial" w:hAnsi="Arial"/>
          <w:sz w:val="18"/>
          <w:szCs w:val="18"/>
          <w:b w:val="1"/>
          <w:bCs w:val="1"/>
          <w:color w:val="auto"/>
        </w:rPr>
        <w:t xml:space="preserve">River Front, LLC </w:t>
      </w:r>
      <w:r>
        <w:rPr>
          <w:rFonts w:ascii="Arial" w:cs="Arial" w:eastAsia="Arial" w:hAnsi="Arial"/>
          <w:sz w:val="18"/>
          <w:szCs w:val="18"/>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[Address]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7731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of Signer #1]</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[Title] of North American Leasing, Inc.</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LAST 4 DIGITS OF TIN: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900" w:type="dxa"/>
            <w:vAlign w:val="bottom"/>
            <w:gridSpan w:val="2"/>
          </w:tcPr>
          <w:p>
            <w:pPr>
              <w:spacing w:after="0"/>
              <w:rPr>
                <w:sz w:val="20"/>
                <w:szCs w:val="20"/>
                <w:color w:val="auto"/>
              </w:rPr>
            </w:pPr>
            <w:r>
              <w:rPr>
                <w:rFonts w:ascii="Arial" w:cs="Arial" w:eastAsia="Arial" w:hAnsi="Arial"/>
                <w:sz w:val="18"/>
                <w:szCs w:val="18"/>
                <w:color w:val="auto"/>
              </w:rPr>
              <w:t>By:</w:t>
            </w:r>
          </w:p>
        </w:tc>
        <w:tc>
          <w:tcPr>
            <w:tcW w:w="2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0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Signer #2]</w:t>
            </w: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380" w:type="dxa"/>
            <w:vAlign w:val="bottom"/>
            <w:gridSpan w:val="6"/>
          </w:tcPr>
          <w:p>
            <w:pPr>
              <w:ind w:left="380"/>
              <w:spacing w:after="0"/>
              <w:rPr>
                <w:sz w:val="20"/>
                <w:szCs w:val="20"/>
                <w:color w:val="auto"/>
              </w:rPr>
            </w:pPr>
            <w:r>
              <w:rPr>
                <w:rFonts w:ascii="Arial" w:cs="Arial" w:eastAsia="Arial" w:hAnsi="Arial"/>
                <w:sz w:val="18"/>
                <w:szCs w:val="18"/>
                <w:color w:val="auto"/>
              </w:rPr>
              <w:t>As [Title] of North American Leasing, Inc.</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80"/>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NOTARIAL ACKNOWLEDGEMENT</w:t>
            </w:r>
          </w:p>
        </w:tc>
        <w:tc>
          <w:tcPr>
            <w:tcW w:w="360" w:type="dxa"/>
            <w:vAlign w:val="bottom"/>
            <w:tcBorders>
              <w:top w:val="single" w:sz="8" w:color="auto"/>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w w:val="94"/>
              </w:rPr>
              <w:t>STATE OF:</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ind w:left="360"/>
              <w:spacing w:after="0"/>
              <w:rPr>
                <w:sz w:val="20"/>
                <w:szCs w:val="20"/>
                <w:color w:val="auto"/>
              </w:rPr>
            </w:pPr>
            <w:r>
              <w:rPr>
                <w:rFonts w:ascii="Arial" w:cs="Arial" w:eastAsia="Arial" w:hAnsi="Arial"/>
                <w:sz w:val="18"/>
                <w:szCs w:val="18"/>
                <w:color w:val="auto"/>
              </w:rPr>
              <w:t>COUNTY OF:</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900" w:type="dxa"/>
            <w:vAlign w:val="bottom"/>
            <w:gridSpan w:val="2"/>
          </w:tcPr>
          <w:p>
            <w:pPr>
              <w:spacing w:after="0" w:line="20" w:lineRule="exact"/>
              <w:rPr>
                <w:sz w:val="1"/>
                <w:szCs w:val="1"/>
                <w:color w:val="auto"/>
              </w:rPr>
            </w:pPr>
          </w:p>
        </w:tc>
        <w:tc>
          <w:tcPr>
            <w:tcW w:w="298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318"/>
        </w:trPr>
        <w:tc>
          <w:tcPr>
            <w:tcW w:w="4380" w:type="dxa"/>
            <w:vAlign w:val="bottom"/>
            <w:gridSpan w:val="6"/>
          </w:tcPr>
          <w:p>
            <w:pPr>
              <w:spacing w:after="0"/>
              <w:rPr>
                <w:sz w:val="20"/>
                <w:szCs w:val="20"/>
                <w:color w:val="auto"/>
              </w:rPr>
            </w:pPr>
            <w:r>
              <w:rPr>
                <w:rFonts w:ascii="Arial" w:cs="Arial" w:eastAsia="Arial" w:hAnsi="Arial"/>
                <w:sz w:val="18"/>
                <w:szCs w:val="18"/>
                <w:color w:val="auto"/>
                <w:w w:val="92"/>
              </w:rPr>
              <w:t>The following instrument was acknowledged before me this</w:t>
            </w:r>
          </w:p>
        </w:tc>
        <w:tc>
          <w:tcPr>
            <w:tcW w:w="540" w:type="dxa"/>
            <w:vAlign w:val="bottom"/>
            <w:tcBorders>
              <w:bottom w:val="single" w:sz="8" w:color="auto"/>
            </w:tcBorders>
          </w:tcPr>
          <w:p>
            <w:pPr>
              <w:spacing w:after="0"/>
              <w:rPr>
                <w:sz w:val="24"/>
                <w:szCs w:val="24"/>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540" w:type="dxa"/>
            <w:vAlign w:val="bottom"/>
            <w:tcBorders>
              <w:bottom w:val="single" w:sz="8" w:color="auto"/>
            </w:tcBorders>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rPr>
              <w:t>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-1251585</wp:posOffset>
            </wp:positionV>
            <wp:extent cx="12693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signer#1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3810</wp:posOffset>
            </wp:positionV>
            <wp:extent cx="15144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w:t>
      </w:r>
      <w:r>
        <w:rPr>
          <w:rFonts w:ascii="Arial" w:cs="Arial" w:eastAsia="Arial" w:hAnsi="Arial"/>
          <w:sz w:val="17"/>
          <w:szCs w:val="17"/>
          <w:i w:val="1"/>
          <w:iCs w:val="1"/>
          <w:color w:val="auto"/>
        </w:rPr>
        <w:t>name of entity</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-19050</wp:posOffset>
            </wp:positionV>
            <wp:extent cx="18573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and by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i w:val="1"/>
          <w:iCs w:val="1"/>
          <w:color w:val="auto"/>
        </w:rPr>
        <w:t>title of signer#1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-10160</wp:posOffset>
            </wp:positionV>
            <wp:extent cx="162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180" w:right="400" w:firstLine="92"/>
        <w:spacing w:after="0" w:line="261"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(“Entity”), on behalf of the Entity. He/She is personally known to me or has produced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-173990</wp:posOffset>
            </wp:positionV>
            <wp:extent cx="17430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3140" w:space="720"/>
            <w:col w:w="7560"/>
          </w:cols>
          <w:pgMar w:left="240" w:top="270" w:right="239" w:bottom="1440" w:gutter="0" w:footer="0" w:header="0"/>
          <w:type w:val="continuous"/>
        </w:sectPr>
      </w:pPr>
    </w:p>
    <w:p>
      <w:pPr>
        <w:spacing w:after="0"/>
        <w:tabs>
          <w:tab w:leader="none" w:pos="4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signer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w:t>
      </w:r>
      <w:r>
        <w:rPr>
          <w:rFonts w:ascii="Arial" w:cs="Arial" w:eastAsia="Arial" w:hAnsi="Arial"/>
          <w:sz w:val="16"/>
          <w:szCs w:val="16"/>
          <w:i w:val="1"/>
          <w:iCs w:val="1"/>
          <w:color w:val="auto"/>
        </w:rPr>
        <w:t>title of signer #2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-10160</wp:posOffset>
            </wp:positionV>
            <wp:extent cx="162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personally known to me or has produced [</w:t>
      </w:r>
      <w:r>
        <w:rPr>
          <w:rFonts w:ascii="Arial" w:cs="Arial" w:eastAsia="Arial" w:hAnsi="Arial"/>
          <w:sz w:val="18"/>
          <w:szCs w:val="18"/>
          <w:i w:val="1"/>
          <w:iCs w:val="1"/>
          <w:color w:val="auto"/>
        </w:rPr>
        <w:t>form of 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-19050</wp:posOffset>
            </wp:positionV>
            <wp:extent cx="14001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firstLine="1125"/>
        <w:spacing w:after="0" w:line="277" w:lineRule="auto"/>
        <w:rPr>
          <w:sz w:val="20"/>
          <w:szCs w:val="20"/>
          <w:color w:val="auto"/>
        </w:rPr>
      </w:pPr>
      <w:r>
        <w:rPr>
          <w:rFonts w:ascii="Arial" w:cs="Arial" w:eastAsia="Arial" w:hAnsi="Arial"/>
          <w:sz w:val="18"/>
          <w:szCs w:val="18"/>
          <w:color w:val="auto"/>
        </w:rPr>
        <w:t>of the Entity on behalf of the Entity. He/She is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-182245</wp:posOffset>
            </wp:positionV>
            <wp:extent cx="15144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6200" w:space="720"/>
            <w:col w:w="450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My commission expires:</w:t>
            </w:r>
          </w:p>
        </w:tc>
        <w:tc>
          <w:tcPr>
            <w:tcW w:w="2360" w:type="dxa"/>
            <w:vAlign w:val="bottom"/>
          </w:tcPr>
          <w:p>
            <w:pPr>
              <w:jc w:val="right"/>
              <w:spacing w:after="0"/>
              <w:rPr>
                <w:sz w:val="20"/>
                <w:szCs w:val="20"/>
                <w:color w:val="auto"/>
              </w:rPr>
            </w:pPr>
            <w:r>
              <w:rPr>
                <w:rFonts w:ascii="Arial" w:cs="Arial" w:eastAsia="Arial" w:hAnsi="Arial"/>
                <w:sz w:val="18"/>
                <w:szCs w:val="18"/>
                <w:color w:val="auto"/>
              </w:rPr>
              <w:t>Notary Seal:</w:t>
            </w:r>
          </w:p>
        </w:tc>
      </w:tr>
      <w:tr>
        <w:trPr>
          <w:trHeight w:val="344"/>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360" w:type="dxa"/>
            <w:vAlign w:val="bottom"/>
          </w:tcPr>
          <w:p>
            <w:pPr>
              <w:jc w:val="right"/>
              <w:ind w:right="2110"/>
              <w:spacing w:after="0"/>
              <w:rPr>
                <w:sz w:val="20"/>
                <w:szCs w:val="20"/>
                <w:color w:val="auto"/>
              </w:rPr>
            </w:pPr>
            <w:r>
              <w:rPr>
                <w:rFonts w:ascii="Arial" w:cs="Arial" w:eastAsia="Arial" w:hAnsi="Arial"/>
                <w:sz w:val="18"/>
                <w:szCs w:val="18"/>
                <w:color w:val="auto"/>
              </w:rPr>
              <w:t>,</w:t>
            </w:r>
          </w:p>
        </w:tc>
      </w:tr>
      <w:tr>
        <w:trPr>
          <w:trHeight w:val="149"/>
        </w:trPr>
        <w:tc>
          <w:tcPr>
            <w:tcW w:w="20" w:type="dxa"/>
            <w:vAlign w:val="bottom"/>
          </w:tcPr>
          <w:p>
            <w:pPr>
              <w:spacing w:after="0"/>
              <w:rPr>
                <w:sz w:val="12"/>
                <w:szCs w:val="12"/>
                <w:color w:val="auto"/>
              </w:rPr>
            </w:pPr>
          </w:p>
        </w:tc>
        <w:tc>
          <w:tcPr>
            <w:tcW w:w="2860" w:type="dxa"/>
            <w:vAlign w:val="bottom"/>
            <w:gridSpan w:val="3"/>
          </w:tcPr>
          <w:p>
            <w:pPr>
              <w:spacing w:after="0" w:line="142" w:lineRule="exact"/>
              <w:rPr>
                <w:sz w:val="20"/>
                <w:szCs w:val="20"/>
                <w:color w:val="auto"/>
              </w:rPr>
            </w:pPr>
            <w:r>
              <w:rPr>
                <w:rFonts w:ascii="Arial" w:cs="Arial" w:eastAsia="Arial" w:hAnsi="Arial"/>
                <w:sz w:val="16"/>
                <w:szCs w:val="16"/>
                <w:color w:val="auto"/>
              </w:rPr>
              <w:t>Notary Public Signature</w:t>
            </w:r>
          </w:p>
        </w:tc>
        <w:tc>
          <w:tcPr>
            <w:tcW w:w="220" w:type="dxa"/>
            <w:vAlign w:val="bottom"/>
          </w:tcPr>
          <w:p>
            <w:pPr>
              <w:spacing w:after="0"/>
              <w:rPr>
                <w:sz w:val="12"/>
                <w:szCs w:val="12"/>
                <w:color w:val="auto"/>
              </w:rPr>
            </w:pPr>
          </w:p>
        </w:tc>
        <w:tc>
          <w:tcPr>
            <w:tcW w:w="720" w:type="dxa"/>
            <w:vAlign w:val="bottom"/>
            <w:gridSpan w:val="2"/>
          </w:tcPr>
          <w:p>
            <w:pPr>
              <w:spacing w:after="0" w:line="136" w:lineRule="exact"/>
              <w:rPr>
                <w:sz w:val="20"/>
                <w:szCs w:val="20"/>
                <w:color w:val="auto"/>
              </w:rPr>
            </w:pPr>
            <w:r>
              <w:rPr>
                <w:rFonts w:ascii="Arial" w:cs="Arial" w:eastAsia="Arial" w:hAnsi="Arial"/>
                <w:sz w:val="15"/>
                <w:szCs w:val="15"/>
                <w:color w:val="auto"/>
              </w:rPr>
              <w:t>20</w:t>
            </w:r>
          </w:p>
        </w:tc>
        <w:tc>
          <w:tcPr>
            <w:tcW w:w="19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426"/>
        </w:trPr>
        <w:tc>
          <w:tcPr>
            <w:tcW w:w="1040" w:type="dxa"/>
            <w:vAlign w:val="bottom"/>
            <w:gridSpan w:val="2"/>
          </w:tcPr>
          <w:p>
            <w:pPr>
              <w:spacing w:after="0"/>
              <w:rPr>
                <w:sz w:val="20"/>
                <w:szCs w:val="20"/>
                <w:color w:val="auto"/>
              </w:rPr>
            </w:pPr>
            <w:r>
              <w:rPr>
                <w:rFonts w:ascii="Arial" w:cs="Arial" w:eastAsia="Arial" w:hAnsi="Arial"/>
                <w:sz w:val="18"/>
                <w:szCs w:val="18"/>
                <w:color w:val="auto"/>
                <w:w w:val="92"/>
              </w:rPr>
              <w:t>Printed Name</w:t>
            </w:r>
          </w:p>
        </w:tc>
        <w:tc>
          <w:tcPr>
            <w:tcW w:w="1260" w:type="dxa"/>
            <w:vAlign w:val="bottom"/>
            <w:tcBorders>
              <w:bottom w:val="single" w:sz="8" w:color="auto"/>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type w:val="continuous"/>
        </w:sectPr>
      </w:pPr>
    </w:p>
    <w:bookmarkStart w:id="80" w:name="page81"/>
    <w:bookmarkEnd w:id="80"/>
    <w:p>
      <w:pPr>
        <w:spacing w:after="0"/>
        <w:tabs>
          <w:tab w:leader="none" w:pos="3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INDEMNITOR</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(2</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signature format)</w:t>
      </w:r>
    </w:p>
    <w:p>
      <w:pPr>
        <w:spacing w:after="0" w:line="9" w:lineRule="exact"/>
        <w:rPr>
          <w:sz w:val="20"/>
          <w:szCs w:val="20"/>
          <w:color w:val="auto"/>
        </w:rPr>
      </w:pPr>
    </w:p>
    <w:p>
      <w:pPr>
        <w:ind w:right="1320"/>
        <w:spacing w:after="0" w:line="250" w:lineRule="auto"/>
        <w:rPr>
          <w:sz w:val="20"/>
          <w:szCs w:val="20"/>
          <w:color w:val="auto"/>
        </w:rPr>
      </w:pPr>
      <w:r>
        <w:rPr>
          <w:rFonts w:ascii="Arial" w:cs="Arial" w:eastAsia="Arial" w:hAnsi="Arial"/>
          <w:sz w:val="18"/>
          <w:szCs w:val="18"/>
          <w:b w:val="1"/>
          <w:bCs w:val="1"/>
          <w:color w:val="auto"/>
        </w:rPr>
        <w:t xml:space="preserve">NASDI, LLC </w:t>
      </w:r>
      <w:r>
        <w:rPr>
          <w:rFonts w:ascii="Arial" w:cs="Arial" w:eastAsia="Arial" w:hAnsi="Arial"/>
          <w:sz w:val="18"/>
          <w:szCs w:val="18"/>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[Address]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7731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of Signer #1]</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[Title] of North American Leasing,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LAST 4 DIGITS OF TIN: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900" w:type="dxa"/>
            <w:vAlign w:val="bottom"/>
            <w:gridSpan w:val="2"/>
          </w:tcPr>
          <w:p>
            <w:pPr>
              <w:spacing w:after="0"/>
              <w:rPr>
                <w:sz w:val="20"/>
                <w:szCs w:val="20"/>
                <w:color w:val="auto"/>
              </w:rPr>
            </w:pPr>
            <w:r>
              <w:rPr>
                <w:rFonts w:ascii="Arial" w:cs="Arial" w:eastAsia="Arial" w:hAnsi="Arial"/>
                <w:sz w:val="18"/>
                <w:szCs w:val="18"/>
                <w:color w:val="auto"/>
              </w:rPr>
              <w:t>By:</w:t>
            </w:r>
          </w:p>
        </w:tc>
        <w:tc>
          <w:tcPr>
            <w:tcW w:w="2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0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Signer #2]</w:t>
            </w: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380" w:type="dxa"/>
            <w:vAlign w:val="bottom"/>
            <w:gridSpan w:val="6"/>
          </w:tcPr>
          <w:p>
            <w:pPr>
              <w:ind w:left="380"/>
              <w:spacing w:after="0"/>
              <w:rPr>
                <w:sz w:val="20"/>
                <w:szCs w:val="20"/>
                <w:color w:val="auto"/>
              </w:rPr>
            </w:pPr>
            <w:r>
              <w:rPr>
                <w:rFonts w:ascii="Arial" w:cs="Arial" w:eastAsia="Arial" w:hAnsi="Arial"/>
                <w:sz w:val="18"/>
                <w:szCs w:val="18"/>
                <w:color w:val="auto"/>
              </w:rPr>
              <w:t>As [Title] of North American Leasing, Inc.</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80"/>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NOTARIAL ACKNOWLEDGEMENT</w:t>
            </w:r>
          </w:p>
        </w:tc>
        <w:tc>
          <w:tcPr>
            <w:tcW w:w="360" w:type="dxa"/>
            <w:vAlign w:val="bottom"/>
            <w:tcBorders>
              <w:top w:val="single" w:sz="8" w:color="auto"/>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w w:val="94"/>
              </w:rPr>
              <w:t>STATE OF:</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ind w:left="360"/>
              <w:spacing w:after="0"/>
              <w:rPr>
                <w:sz w:val="20"/>
                <w:szCs w:val="20"/>
                <w:color w:val="auto"/>
              </w:rPr>
            </w:pPr>
            <w:r>
              <w:rPr>
                <w:rFonts w:ascii="Arial" w:cs="Arial" w:eastAsia="Arial" w:hAnsi="Arial"/>
                <w:sz w:val="18"/>
                <w:szCs w:val="18"/>
                <w:color w:val="auto"/>
              </w:rPr>
              <w:t>COUNTY OF:</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900" w:type="dxa"/>
            <w:vAlign w:val="bottom"/>
            <w:gridSpan w:val="2"/>
          </w:tcPr>
          <w:p>
            <w:pPr>
              <w:spacing w:after="0" w:line="20" w:lineRule="exact"/>
              <w:rPr>
                <w:sz w:val="1"/>
                <w:szCs w:val="1"/>
                <w:color w:val="auto"/>
              </w:rPr>
            </w:pPr>
          </w:p>
        </w:tc>
        <w:tc>
          <w:tcPr>
            <w:tcW w:w="298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318"/>
        </w:trPr>
        <w:tc>
          <w:tcPr>
            <w:tcW w:w="4380" w:type="dxa"/>
            <w:vAlign w:val="bottom"/>
            <w:gridSpan w:val="6"/>
          </w:tcPr>
          <w:p>
            <w:pPr>
              <w:spacing w:after="0"/>
              <w:rPr>
                <w:sz w:val="20"/>
                <w:szCs w:val="20"/>
                <w:color w:val="auto"/>
              </w:rPr>
            </w:pPr>
            <w:r>
              <w:rPr>
                <w:rFonts w:ascii="Arial" w:cs="Arial" w:eastAsia="Arial" w:hAnsi="Arial"/>
                <w:sz w:val="18"/>
                <w:szCs w:val="18"/>
                <w:color w:val="auto"/>
                <w:w w:val="92"/>
              </w:rPr>
              <w:t>The following instrument was acknowledged before me this</w:t>
            </w:r>
          </w:p>
        </w:tc>
        <w:tc>
          <w:tcPr>
            <w:tcW w:w="540" w:type="dxa"/>
            <w:vAlign w:val="bottom"/>
            <w:tcBorders>
              <w:bottom w:val="single" w:sz="8" w:color="auto"/>
            </w:tcBorders>
          </w:tcPr>
          <w:p>
            <w:pPr>
              <w:spacing w:after="0"/>
              <w:rPr>
                <w:sz w:val="24"/>
                <w:szCs w:val="24"/>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540" w:type="dxa"/>
            <w:vAlign w:val="bottom"/>
            <w:tcBorders>
              <w:bottom w:val="single" w:sz="8" w:color="auto"/>
            </w:tcBorders>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rPr>
              <w:t>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-1251585</wp:posOffset>
            </wp:positionV>
            <wp:extent cx="12693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signer#1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3810</wp:posOffset>
            </wp:positionV>
            <wp:extent cx="15144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w:t>
      </w:r>
      <w:r>
        <w:rPr>
          <w:rFonts w:ascii="Arial" w:cs="Arial" w:eastAsia="Arial" w:hAnsi="Arial"/>
          <w:sz w:val="17"/>
          <w:szCs w:val="17"/>
          <w:i w:val="1"/>
          <w:iCs w:val="1"/>
          <w:color w:val="auto"/>
        </w:rPr>
        <w:t>name of entity</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-19050</wp:posOffset>
            </wp:positionV>
            <wp:extent cx="18573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i w:val="1"/>
          <w:iCs w:val="1"/>
          <w:color w:val="auto"/>
        </w:rPr>
        <w:t>title of signer#1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-10160</wp:posOffset>
            </wp:positionV>
            <wp:extent cx="162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140" w:right="400" w:firstLine="132"/>
        <w:spacing w:after="0" w:line="261" w:lineRule="auto"/>
        <w:tabs>
          <w:tab w:leader="none" w:pos="3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(“Entity”), on behalf of the Entity. He/She is personally known to me or has produced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-173990</wp:posOffset>
            </wp:positionV>
            <wp:extent cx="17430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140" w:space="720"/>
            <w:col w:w="75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and by</w:t>
      </w:r>
    </w:p>
    <w:p>
      <w:pPr>
        <w:sectPr>
          <w:pgSz w:w="11900" w:h="16838" w:orient="portrait"/>
          <w:cols w:equalWidth="0" w:num="1">
            <w:col w:w="11420"/>
          </w:cols>
          <w:pgMar w:left="240" w:top="270" w:right="239" w:bottom="1440" w:gutter="0" w:footer="0" w:header="0"/>
          <w:type w:val="continuous"/>
        </w:sectPr>
      </w:pPr>
    </w:p>
    <w:p>
      <w:pPr>
        <w:spacing w:after="0" w:line="154"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signer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w:t>
      </w:r>
      <w:r>
        <w:rPr>
          <w:rFonts w:ascii="Arial" w:cs="Arial" w:eastAsia="Arial" w:hAnsi="Arial"/>
          <w:sz w:val="16"/>
          <w:szCs w:val="16"/>
          <w:i w:val="1"/>
          <w:iCs w:val="1"/>
          <w:color w:val="auto"/>
        </w:rPr>
        <w:t>title of signer #2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-10160</wp:posOffset>
            </wp:positionV>
            <wp:extent cx="162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personally known to me or has produced [</w:t>
      </w:r>
      <w:r>
        <w:rPr>
          <w:rFonts w:ascii="Arial" w:cs="Arial" w:eastAsia="Arial" w:hAnsi="Arial"/>
          <w:sz w:val="18"/>
          <w:szCs w:val="18"/>
          <w:i w:val="1"/>
          <w:iCs w:val="1"/>
          <w:color w:val="auto"/>
        </w:rPr>
        <w:t>form of 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-19050</wp:posOffset>
            </wp:positionV>
            <wp:extent cx="14001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40" w:firstLine="1125"/>
        <w:spacing w:after="0" w:line="277" w:lineRule="auto"/>
        <w:rPr>
          <w:sz w:val="20"/>
          <w:szCs w:val="20"/>
          <w:color w:val="auto"/>
        </w:rPr>
      </w:pPr>
      <w:r>
        <w:rPr>
          <w:rFonts w:ascii="Arial" w:cs="Arial" w:eastAsia="Arial" w:hAnsi="Arial"/>
          <w:sz w:val="18"/>
          <w:szCs w:val="18"/>
          <w:color w:val="auto"/>
        </w:rPr>
        <w:t>of the Entity on behalf of the Entity. He/She is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-182245</wp:posOffset>
            </wp:positionV>
            <wp:extent cx="15144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6200" w:space="720"/>
            <w:col w:w="450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My commission expires:</w:t>
            </w:r>
          </w:p>
        </w:tc>
        <w:tc>
          <w:tcPr>
            <w:tcW w:w="2360" w:type="dxa"/>
            <w:vAlign w:val="bottom"/>
          </w:tcPr>
          <w:p>
            <w:pPr>
              <w:jc w:val="right"/>
              <w:spacing w:after="0"/>
              <w:rPr>
                <w:sz w:val="20"/>
                <w:szCs w:val="20"/>
                <w:color w:val="auto"/>
              </w:rPr>
            </w:pPr>
            <w:r>
              <w:rPr>
                <w:rFonts w:ascii="Arial" w:cs="Arial" w:eastAsia="Arial" w:hAnsi="Arial"/>
                <w:sz w:val="18"/>
                <w:szCs w:val="18"/>
                <w:color w:val="auto"/>
              </w:rPr>
              <w:t>Notary Seal:</w:t>
            </w:r>
          </w:p>
        </w:tc>
      </w:tr>
      <w:tr>
        <w:trPr>
          <w:trHeight w:val="344"/>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360" w:type="dxa"/>
            <w:vAlign w:val="bottom"/>
          </w:tcPr>
          <w:p>
            <w:pPr>
              <w:jc w:val="right"/>
              <w:ind w:right="2110"/>
              <w:spacing w:after="0"/>
              <w:rPr>
                <w:sz w:val="20"/>
                <w:szCs w:val="20"/>
                <w:color w:val="auto"/>
              </w:rPr>
            </w:pPr>
            <w:r>
              <w:rPr>
                <w:rFonts w:ascii="Arial" w:cs="Arial" w:eastAsia="Arial" w:hAnsi="Arial"/>
                <w:sz w:val="18"/>
                <w:szCs w:val="18"/>
                <w:color w:val="auto"/>
              </w:rPr>
              <w:t>,</w:t>
            </w:r>
          </w:p>
        </w:tc>
      </w:tr>
      <w:tr>
        <w:trPr>
          <w:trHeight w:val="149"/>
        </w:trPr>
        <w:tc>
          <w:tcPr>
            <w:tcW w:w="20" w:type="dxa"/>
            <w:vAlign w:val="bottom"/>
          </w:tcPr>
          <w:p>
            <w:pPr>
              <w:spacing w:after="0"/>
              <w:rPr>
                <w:sz w:val="12"/>
                <w:szCs w:val="12"/>
                <w:color w:val="auto"/>
              </w:rPr>
            </w:pPr>
          </w:p>
        </w:tc>
        <w:tc>
          <w:tcPr>
            <w:tcW w:w="2860" w:type="dxa"/>
            <w:vAlign w:val="bottom"/>
            <w:gridSpan w:val="3"/>
          </w:tcPr>
          <w:p>
            <w:pPr>
              <w:spacing w:after="0" w:line="142" w:lineRule="exact"/>
              <w:rPr>
                <w:sz w:val="20"/>
                <w:szCs w:val="20"/>
                <w:color w:val="auto"/>
              </w:rPr>
            </w:pPr>
            <w:r>
              <w:rPr>
                <w:rFonts w:ascii="Arial" w:cs="Arial" w:eastAsia="Arial" w:hAnsi="Arial"/>
                <w:sz w:val="16"/>
                <w:szCs w:val="16"/>
                <w:color w:val="auto"/>
              </w:rPr>
              <w:t>Notary Public Signature</w:t>
            </w:r>
          </w:p>
        </w:tc>
        <w:tc>
          <w:tcPr>
            <w:tcW w:w="220" w:type="dxa"/>
            <w:vAlign w:val="bottom"/>
          </w:tcPr>
          <w:p>
            <w:pPr>
              <w:spacing w:after="0"/>
              <w:rPr>
                <w:sz w:val="12"/>
                <w:szCs w:val="12"/>
                <w:color w:val="auto"/>
              </w:rPr>
            </w:pPr>
          </w:p>
        </w:tc>
        <w:tc>
          <w:tcPr>
            <w:tcW w:w="720" w:type="dxa"/>
            <w:vAlign w:val="bottom"/>
            <w:gridSpan w:val="2"/>
          </w:tcPr>
          <w:p>
            <w:pPr>
              <w:spacing w:after="0" w:line="136" w:lineRule="exact"/>
              <w:rPr>
                <w:sz w:val="20"/>
                <w:szCs w:val="20"/>
                <w:color w:val="auto"/>
              </w:rPr>
            </w:pPr>
            <w:r>
              <w:rPr>
                <w:rFonts w:ascii="Arial" w:cs="Arial" w:eastAsia="Arial" w:hAnsi="Arial"/>
                <w:sz w:val="15"/>
                <w:szCs w:val="15"/>
                <w:color w:val="auto"/>
              </w:rPr>
              <w:t>20</w:t>
            </w:r>
          </w:p>
        </w:tc>
        <w:tc>
          <w:tcPr>
            <w:tcW w:w="19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426"/>
        </w:trPr>
        <w:tc>
          <w:tcPr>
            <w:tcW w:w="1040" w:type="dxa"/>
            <w:vAlign w:val="bottom"/>
            <w:gridSpan w:val="2"/>
          </w:tcPr>
          <w:p>
            <w:pPr>
              <w:spacing w:after="0"/>
              <w:rPr>
                <w:sz w:val="20"/>
                <w:szCs w:val="20"/>
                <w:color w:val="auto"/>
              </w:rPr>
            </w:pPr>
            <w:r>
              <w:rPr>
                <w:rFonts w:ascii="Arial" w:cs="Arial" w:eastAsia="Arial" w:hAnsi="Arial"/>
                <w:sz w:val="18"/>
                <w:szCs w:val="18"/>
                <w:color w:val="auto"/>
                <w:w w:val="92"/>
              </w:rPr>
              <w:t>Printed Name</w:t>
            </w:r>
          </w:p>
        </w:tc>
        <w:tc>
          <w:tcPr>
            <w:tcW w:w="1260" w:type="dxa"/>
            <w:vAlign w:val="bottom"/>
            <w:tcBorders>
              <w:bottom w:val="single" w:sz="8" w:color="auto"/>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type w:val="continuous"/>
        </w:sectPr>
      </w:pPr>
    </w:p>
    <w:bookmarkStart w:id="81" w:name="page82"/>
    <w:bookmarkEnd w:id="81"/>
    <w:p>
      <w:pPr>
        <w:spacing w:after="0"/>
        <w:tabs>
          <w:tab w:leader="none" w:pos="3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INDEMNITOR</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(2</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signature format)</w:t>
      </w:r>
    </w:p>
    <w:p>
      <w:pPr>
        <w:spacing w:after="0" w:line="9" w:lineRule="exact"/>
        <w:rPr>
          <w:sz w:val="20"/>
          <w:szCs w:val="20"/>
          <w:color w:val="auto"/>
        </w:rPr>
      </w:pPr>
    </w:p>
    <w:p>
      <w:pPr>
        <w:ind w:right="1320"/>
        <w:spacing w:after="0" w:line="250" w:lineRule="auto"/>
        <w:rPr>
          <w:sz w:val="20"/>
          <w:szCs w:val="20"/>
          <w:color w:val="auto"/>
        </w:rPr>
      </w:pPr>
      <w:r>
        <w:rPr>
          <w:rFonts w:ascii="Arial" w:cs="Arial" w:eastAsia="Arial" w:hAnsi="Arial"/>
          <w:sz w:val="18"/>
          <w:szCs w:val="18"/>
          <w:b w:val="1"/>
          <w:bCs w:val="1"/>
          <w:color w:val="auto"/>
        </w:rPr>
        <w:t xml:space="preserve">Yankee Environmental Services, LLC </w:t>
      </w:r>
      <w:r>
        <w:rPr>
          <w:rFonts w:ascii="Arial" w:cs="Arial" w:eastAsia="Arial" w:hAnsi="Arial"/>
          <w:sz w:val="18"/>
          <w:szCs w:val="18"/>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[Address]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7731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of Signer #1]</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[Title] of North American Leasing,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LAST 4 DIGITS OF TIN: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900" w:type="dxa"/>
            <w:vAlign w:val="bottom"/>
            <w:gridSpan w:val="2"/>
          </w:tcPr>
          <w:p>
            <w:pPr>
              <w:spacing w:after="0"/>
              <w:rPr>
                <w:sz w:val="20"/>
                <w:szCs w:val="20"/>
                <w:color w:val="auto"/>
              </w:rPr>
            </w:pPr>
            <w:r>
              <w:rPr>
                <w:rFonts w:ascii="Arial" w:cs="Arial" w:eastAsia="Arial" w:hAnsi="Arial"/>
                <w:sz w:val="18"/>
                <w:szCs w:val="18"/>
                <w:color w:val="auto"/>
              </w:rPr>
              <w:t>By:</w:t>
            </w:r>
          </w:p>
        </w:tc>
        <w:tc>
          <w:tcPr>
            <w:tcW w:w="2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0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[Name of Signer #2]</w:t>
            </w: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380" w:type="dxa"/>
            <w:vAlign w:val="bottom"/>
            <w:gridSpan w:val="6"/>
          </w:tcPr>
          <w:p>
            <w:pPr>
              <w:ind w:left="380"/>
              <w:spacing w:after="0"/>
              <w:rPr>
                <w:sz w:val="20"/>
                <w:szCs w:val="20"/>
                <w:color w:val="auto"/>
              </w:rPr>
            </w:pPr>
            <w:r>
              <w:rPr>
                <w:rFonts w:ascii="Arial" w:cs="Arial" w:eastAsia="Arial" w:hAnsi="Arial"/>
                <w:sz w:val="18"/>
                <w:szCs w:val="18"/>
                <w:color w:val="auto"/>
              </w:rPr>
              <w:t>As [Title] of North American Leasing, Inc.</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7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_______________________, 20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80"/>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NOTARIAL ACKNOWLEDGEMENT</w:t>
            </w:r>
          </w:p>
        </w:tc>
        <w:tc>
          <w:tcPr>
            <w:tcW w:w="360" w:type="dxa"/>
            <w:vAlign w:val="bottom"/>
            <w:tcBorders>
              <w:top w:val="single" w:sz="8" w:color="auto"/>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w w:val="94"/>
              </w:rPr>
              <w:t>STATE OF:</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ind w:left="360"/>
              <w:spacing w:after="0"/>
              <w:rPr>
                <w:sz w:val="20"/>
                <w:szCs w:val="20"/>
                <w:color w:val="auto"/>
              </w:rPr>
            </w:pPr>
            <w:r>
              <w:rPr>
                <w:rFonts w:ascii="Arial" w:cs="Arial" w:eastAsia="Arial" w:hAnsi="Arial"/>
                <w:sz w:val="18"/>
                <w:szCs w:val="18"/>
                <w:color w:val="auto"/>
              </w:rPr>
              <w:t>COUNTY OF:</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900" w:type="dxa"/>
            <w:vAlign w:val="bottom"/>
            <w:gridSpan w:val="2"/>
          </w:tcPr>
          <w:p>
            <w:pPr>
              <w:spacing w:after="0" w:line="20" w:lineRule="exact"/>
              <w:rPr>
                <w:sz w:val="1"/>
                <w:szCs w:val="1"/>
                <w:color w:val="auto"/>
              </w:rPr>
            </w:pPr>
          </w:p>
        </w:tc>
        <w:tc>
          <w:tcPr>
            <w:tcW w:w="298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318"/>
        </w:trPr>
        <w:tc>
          <w:tcPr>
            <w:tcW w:w="4380" w:type="dxa"/>
            <w:vAlign w:val="bottom"/>
            <w:gridSpan w:val="6"/>
          </w:tcPr>
          <w:p>
            <w:pPr>
              <w:spacing w:after="0"/>
              <w:rPr>
                <w:sz w:val="20"/>
                <w:szCs w:val="20"/>
                <w:color w:val="auto"/>
              </w:rPr>
            </w:pPr>
            <w:r>
              <w:rPr>
                <w:rFonts w:ascii="Arial" w:cs="Arial" w:eastAsia="Arial" w:hAnsi="Arial"/>
                <w:sz w:val="18"/>
                <w:szCs w:val="18"/>
                <w:color w:val="auto"/>
                <w:w w:val="92"/>
              </w:rPr>
              <w:t>The following instrument was acknowledged before me this</w:t>
            </w:r>
          </w:p>
        </w:tc>
        <w:tc>
          <w:tcPr>
            <w:tcW w:w="540" w:type="dxa"/>
            <w:vAlign w:val="bottom"/>
            <w:tcBorders>
              <w:bottom w:val="single" w:sz="8" w:color="auto"/>
            </w:tcBorders>
          </w:tcPr>
          <w:p>
            <w:pPr>
              <w:spacing w:after="0"/>
              <w:rPr>
                <w:sz w:val="24"/>
                <w:szCs w:val="24"/>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540" w:type="dxa"/>
            <w:vAlign w:val="bottom"/>
            <w:tcBorders>
              <w:bottom w:val="single" w:sz="8" w:color="auto"/>
            </w:tcBorders>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rPr>
              <w:t>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-1183005</wp:posOffset>
            </wp:positionV>
            <wp:extent cx="12693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signer#1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3810</wp:posOffset>
            </wp:positionV>
            <wp:extent cx="15144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w:t>
      </w:r>
      <w:r>
        <w:rPr>
          <w:rFonts w:ascii="Arial" w:cs="Arial" w:eastAsia="Arial" w:hAnsi="Arial"/>
          <w:sz w:val="17"/>
          <w:szCs w:val="17"/>
          <w:i w:val="1"/>
          <w:iCs w:val="1"/>
          <w:color w:val="auto"/>
        </w:rPr>
        <w:t>name of entity</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-19050</wp:posOffset>
            </wp:positionV>
            <wp:extent cx="18573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i w:val="1"/>
          <w:iCs w:val="1"/>
          <w:color w:val="auto"/>
        </w:rPr>
        <w:t>title of signer#1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-10160</wp:posOffset>
            </wp:positionV>
            <wp:extent cx="162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180" w:right="400" w:firstLine="92"/>
        <w:spacing w:after="0" w:line="261"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(“Entity”), on behalf of the Entity. He/She is personally known to me or has produced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-173990</wp:posOffset>
            </wp:positionV>
            <wp:extent cx="17430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140" w:space="720"/>
            <w:col w:w="75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and by</w:t>
      </w:r>
    </w:p>
    <w:p>
      <w:pPr>
        <w:sectPr>
          <w:pgSz w:w="11900" w:h="16838" w:orient="portrait"/>
          <w:cols w:equalWidth="0" w:num="1">
            <w:col w:w="11420"/>
          </w:cols>
          <w:pgMar w:left="240" w:top="270" w:right="239" w:bottom="1440" w:gutter="0" w:footer="0" w:header="0"/>
          <w:type w:val="continuous"/>
        </w:sectPr>
      </w:pPr>
    </w:p>
    <w:p>
      <w:pPr>
        <w:spacing w:after="0" w:line="154"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signer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w:t>
      </w:r>
      <w:r>
        <w:rPr>
          <w:rFonts w:ascii="Arial" w:cs="Arial" w:eastAsia="Arial" w:hAnsi="Arial"/>
          <w:sz w:val="16"/>
          <w:szCs w:val="16"/>
          <w:i w:val="1"/>
          <w:iCs w:val="1"/>
          <w:color w:val="auto"/>
        </w:rPr>
        <w:t>title of signer #2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-10160</wp:posOffset>
            </wp:positionV>
            <wp:extent cx="162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personally known to me or has produced [</w:t>
      </w:r>
      <w:r>
        <w:rPr>
          <w:rFonts w:ascii="Arial" w:cs="Arial" w:eastAsia="Arial" w:hAnsi="Arial"/>
          <w:sz w:val="18"/>
          <w:szCs w:val="18"/>
          <w:i w:val="1"/>
          <w:iCs w:val="1"/>
          <w:color w:val="auto"/>
        </w:rPr>
        <w:t>form of identification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-19050</wp:posOffset>
            </wp:positionV>
            <wp:extent cx="14001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40" w:firstLine="1125"/>
        <w:spacing w:after="0" w:line="277" w:lineRule="auto"/>
        <w:rPr>
          <w:sz w:val="20"/>
          <w:szCs w:val="20"/>
          <w:color w:val="auto"/>
        </w:rPr>
      </w:pPr>
      <w:r>
        <w:rPr>
          <w:rFonts w:ascii="Arial" w:cs="Arial" w:eastAsia="Arial" w:hAnsi="Arial"/>
          <w:sz w:val="18"/>
          <w:szCs w:val="18"/>
          <w:color w:val="auto"/>
        </w:rPr>
        <w:t>of the Entity on behalf of the Entity. He/She is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-182245</wp:posOffset>
            </wp:positionV>
            <wp:extent cx="15144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6200" w:space="720"/>
            <w:col w:w="450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My commission expires:</w:t>
            </w:r>
          </w:p>
        </w:tc>
        <w:tc>
          <w:tcPr>
            <w:tcW w:w="4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Notary Seal:</w:t>
            </w: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gridSpan w:val="2"/>
          </w:tcPr>
          <w:p>
            <w:pPr>
              <w:jc w:val="right"/>
              <w:ind w:right="2110"/>
              <w:spacing w:after="0"/>
              <w:rPr>
                <w:sz w:val="20"/>
                <w:szCs w:val="20"/>
                <w:color w:val="auto"/>
              </w:rPr>
            </w:pPr>
            <w:r>
              <w:rPr>
                <w:rFonts w:ascii="Arial" w:cs="Arial" w:eastAsia="Arial" w:hAnsi="Arial"/>
                <w:sz w:val="18"/>
                <w:szCs w:val="18"/>
                <w:color w:val="auto"/>
              </w:rPr>
              <w:t>,</w:t>
            </w:r>
          </w:p>
        </w:tc>
      </w:tr>
      <w:tr>
        <w:trPr>
          <w:trHeight w:val="149"/>
        </w:trPr>
        <w:tc>
          <w:tcPr>
            <w:tcW w:w="20" w:type="dxa"/>
            <w:vAlign w:val="bottom"/>
          </w:tcPr>
          <w:p>
            <w:pPr>
              <w:spacing w:after="0"/>
              <w:rPr>
                <w:sz w:val="12"/>
                <w:szCs w:val="12"/>
                <w:color w:val="auto"/>
              </w:rPr>
            </w:pPr>
          </w:p>
        </w:tc>
        <w:tc>
          <w:tcPr>
            <w:tcW w:w="28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6"/>
                <w:szCs w:val="16"/>
                <w:color w:val="auto"/>
              </w:rPr>
              <w:t>Notary Public Signature</w:t>
            </w:r>
          </w:p>
        </w:tc>
        <w:tc>
          <w:tcPr>
            <w:tcW w:w="220" w:type="dxa"/>
            <w:vAlign w:val="bottom"/>
          </w:tcPr>
          <w:p>
            <w:pPr>
              <w:spacing w:after="0"/>
              <w:rPr>
                <w:sz w:val="12"/>
                <w:szCs w:val="12"/>
                <w:color w:val="auto"/>
              </w:rPr>
            </w:pPr>
          </w:p>
        </w:tc>
        <w:tc>
          <w:tcPr>
            <w:tcW w:w="72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5"/>
                <w:szCs w:val="15"/>
                <w:color w:val="auto"/>
              </w:rPr>
              <w:t>20</w:t>
            </w:r>
          </w:p>
        </w:tc>
        <w:tc>
          <w:tcPr>
            <w:tcW w:w="14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360" w:type="dxa"/>
            <w:vAlign w:val="bottom"/>
          </w:tcPr>
          <w:p>
            <w:pPr>
              <w:spacing w:after="0"/>
              <w:rPr>
                <w:sz w:val="12"/>
                <w:szCs w:val="12"/>
                <w:color w:val="auto"/>
              </w:rPr>
            </w:pPr>
          </w:p>
        </w:tc>
      </w:tr>
      <w:tr>
        <w:trPr>
          <w:trHeight w:val="318"/>
        </w:trPr>
        <w:tc>
          <w:tcPr>
            <w:tcW w:w="3100" w:type="dxa"/>
            <w:vAlign w:val="bottom"/>
            <w:gridSpan w:val="5"/>
          </w:tcPr>
          <w:p>
            <w:pPr>
              <w:spacing w:after="0"/>
              <w:rPr>
                <w:sz w:val="20"/>
                <w:szCs w:val="20"/>
                <w:color w:val="auto"/>
              </w:rPr>
            </w:pPr>
            <w:r>
              <w:rPr>
                <w:rFonts w:ascii="Arial" w:cs="Arial" w:eastAsia="Arial" w:hAnsi="Arial"/>
                <w:sz w:val="18"/>
                <w:szCs w:val="18"/>
                <w:color w:val="auto"/>
              </w:rPr>
              <w:t>Printed Name</w:t>
            </w: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gridSpan w:val="2"/>
          </w:tcPr>
          <w:p>
            <w:pPr>
              <w:jc w:val="right"/>
              <w:ind w:right="221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270" w:right="23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u w:val="single" w:color="auto"/>
          <w:color w:val="auto"/>
        </w:rPr>
        <w:t>GLDD Guarantee for Transferred Bonds (unexecuted version)</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Guarantee and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51510" cy="4800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1510" cy="480060"/>
                    </a:xfrm>
                    <a:prstGeom prst="rect">
                      <a:avLst/>
                    </a:prstGeom>
                    <a:noFill/>
                  </pic:spPr>
                </pic:pic>
              </a:graphicData>
            </a:graphic>
          </wp:anchor>
        </w:drawing>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With respect to NASDI/ Yankee Transferred Bonds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THIS GUARANTEE AND INDEMNITY AGREEMENT WITH RESPECT TO NASDI/ YANKEE TRANSFERRED BONDS (“Agreement”), dated this</w:t>
      </w:r>
    </w:p>
    <w:p>
      <w:pPr>
        <w:spacing w:after="0" w:line="35" w:lineRule="exact"/>
        <w:rPr>
          <w:sz w:val="20"/>
          <w:szCs w:val="20"/>
          <w:color w:val="auto"/>
        </w:rPr>
      </w:pPr>
    </w:p>
    <w:p>
      <w:pPr>
        <w:ind w:right="60" w:firstLine="540"/>
        <w:spacing w:after="0" w:line="265" w:lineRule="auto"/>
        <w:rPr>
          <w:sz w:val="20"/>
          <w:szCs w:val="20"/>
          <w:color w:val="auto"/>
        </w:rPr>
      </w:pPr>
      <w:r>
        <w:rPr>
          <w:rFonts w:ascii="Arial" w:cs="Arial" w:eastAsia="Arial" w:hAnsi="Arial"/>
          <w:sz w:val="17"/>
          <w:szCs w:val="17"/>
          <w:color w:val="auto"/>
        </w:rPr>
        <w:t xml:space="preserve">day of , </w:t>
      </w:r>
      <w:r>
        <w:rPr>
          <w:rFonts w:ascii="Arial" w:cs="Arial" w:eastAsia="Arial" w:hAnsi="Arial"/>
          <w:sz w:val="17"/>
          <w:szCs w:val="17"/>
          <w:b w:val="1"/>
          <w:bCs w:val="1"/>
          <w:color w:val="auto"/>
        </w:rPr>
        <w:t>2014</w:t>
      </w:r>
      <w:r>
        <w:rPr>
          <w:rFonts w:ascii="Arial" w:cs="Arial" w:eastAsia="Arial" w:hAnsi="Arial"/>
          <w:sz w:val="17"/>
          <w:szCs w:val="17"/>
          <w:color w:val="auto"/>
        </w:rPr>
        <w:t xml:space="preserve"> by </w:t>
      </w:r>
      <w:r>
        <w:rPr>
          <w:rFonts w:ascii="Arial" w:cs="Arial" w:eastAsia="Arial" w:hAnsi="Arial"/>
          <w:sz w:val="17"/>
          <w:szCs w:val="17"/>
          <w:b w:val="1"/>
          <w:bCs w:val="1"/>
          <w:color w:val="auto"/>
        </w:rPr>
        <w:t>Great Lakes Dredge and Dock Corporation, a Delaware corporation, as Guarantor</w:t>
      </w:r>
      <w:r>
        <w:rPr>
          <w:rFonts w:ascii="Arial" w:cs="Arial" w:eastAsia="Arial" w:hAnsi="Arial"/>
          <w:sz w:val="17"/>
          <w:szCs w:val="17"/>
          <w:color w:val="auto"/>
        </w:rPr>
        <w:t xml:space="preserve"> (“Guarantor” or “GLDD”) in favor of ZURICH AMERICAN INSURANCE COMPANY and its subsidiaries, affiliates and associated companies in any jurisdiction, including but not limited to</w:t>
      </w:r>
    </w:p>
    <w:p>
      <w:pPr>
        <w:ind w:right="480"/>
        <w:spacing w:after="0" w:line="270" w:lineRule="auto"/>
        <w:rPr>
          <w:sz w:val="20"/>
          <w:szCs w:val="20"/>
          <w:color w:val="auto"/>
        </w:rPr>
      </w:pPr>
      <w:r>
        <w:rPr>
          <w:rFonts w:ascii="Arial" w:cs="Arial" w:eastAsia="Arial" w:hAnsi="Arial"/>
          <w:sz w:val="17"/>
          <w:szCs w:val="17"/>
          <w:color w:val="auto"/>
        </w:rPr>
        <w:t>FIDELITY AND DEPOSIT COMPANY OF MARYLAND, COLONIAL AMERICAN CASUALTY AND SURETY COMPANY, AMERICAN GUARANTEE AND LIABILITY INSURANCE COMPANY and ZURICH INSURANCE GROUP LTD, their respective successors and assigns (individually and collectively “Surety”) with respect to the transferred bonds set forth on Exhibit A, List of Transferred Bonds, which is attached to this Agreement and incorporated by reference, including all renewals, extensions, modifications, replacements or substitutions thereof (collectively, the “Transferred Bonds” and each individually a “Transferred Bond”). This Agreement shall be liberally construed so as to fully guarantee, and exonerate, indemnify and hold Surety harmless from, all liability and Loss with respect to the Transferred Bonds.</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Guarantor has requested that Surety consent to Guarantor’s sale of NASDI, LLC (“NASDI”) and Yankee Environmental Services, LLC (“Yankee”), and that GLDD Indemnitors’ (as defined below) liability under the current GLDD Agreement (as defined below) be released or transferred with respect to the Transferred Bonds; and</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Surety is willing to consent to the sale of NASDI and Yankee, and to consent to the transfer of GLDD Indemnitors’ obligations with respect to the Transferred Bonds from the current GLDD Agreement to this Agreement in accordance with the terms of this Agreement, on the condition that Guarantor enter into this Agreement and the GLDD Transferring Release to transfer GLDD Indemnitors’ liability for the Transferred Bonds from the GLDD Agreement to this Agreement.</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an inducement to Surety to issue or refrain from cancelling Transferred Bonds, to accept the GLDD Transferring Release, and to accept this Agreement in lieu of the GLDD Agreement with respect to GLDD Indemnitors’ obligations for the Transferred Bonds, Guarantor represents and agrees for itself, its heirs, executors, administrators, successors and assigns, jointly and severally, as follows:</w:t>
      </w:r>
    </w:p>
    <w:p>
      <w:pPr>
        <w:spacing w:after="0" w:line="69" w:lineRule="exact"/>
        <w:rPr>
          <w:sz w:val="20"/>
          <w:szCs w:val="20"/>
          <w:color w:val="auto"/>
        </w:rPr>
      </w:pPr>
    </w:p>
    <w:p>
      <w:pPr>
        <w:ind w:right="80" w:firstLine="8"/>
        <w:spacing w:after="0" w:line="291"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TERM OF GUARANTEE AND INDEMNITY</w:t>
      </w:r>
      <w:r>
        <w:rPr>
          <w:rFonts w:ascii="Arial" w:cs="Arial" w:eastAsia="Arial" w:hAnsi="Arial"/>
          <w:sz w:val="16"/>
          <w:szCs w:val="16"/>
          <w:color w:val="auto"/>
        </w:rPr>
        <w:t>: This Agreement remains in force until Surety has been provided satisfactory evidence,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that Surety has been fully released and/or discharged from liability under all Transferred Bonds and has been paid in full for all Loss arising from or related to the Transferred Bonds. Guarantor hereby guarantees all liability for and performance of Transferred Bonds under the terms of this Agreement and the GLDD Transferring Release. The obligations of Guarantor to Surety under this Agreement include those arising from or relating to the Transferred Bonds and any breach or default asserted under said Transferred Bonds or the underlying Bonded Contracts, and/or the enforcement of this Agreement or the Dore Agreement. Guarantor acknowledges that Surety may require or retain or release other or additional agreements, indemnity and/or security with respect to the Transferred Bonds, including but not limited to the Dore Agreement, and Surety may exercise its rights and remedies with respect to this Agreement, the Dore Agreement, or any other agreement, indemnity or security, at any time and in any order in Surety’s full and absolute discretion.</w:t>
      </w:r>
    </w:p>
    <w:p>
      <w:pPr>
        <w:spacing w:after="0" w:line="52" w:lineRule="exact"/>
        <w:rPr>
          <w:rFonts w:ascii="Arial" w:cs="Arial" w:eastAsia="Arial" w:hAnsi="Arial"/>
          <w:sz w:val="16"/>
          <w:szCs w:val="16"/>
          <w:color w:val="auto"/>
        </w:rPr>
      </w:pPr>
    </w:p>
    <w:p>
      <w:pPr>
        <w:ind w:right="140" w:firstLine="8"/>
        <w:spacing w:after="0" w:line="293"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GUARANTEE AND INDEMNITY</w:t>
      </w:r>
      <w:r>
        <w:rPr>
          <w:rFonts w:ascii="Arial" w:cs="Arial" w:eastAsia="Arial" w:hAnsi="Arial"/>
          <w:sz w:val="16"/>
          <w:szCs w:val="16"/>
          <w:color w:val="auto"/>
        </w:rPr>
        <w:t>: Guarantor hereby guarantees the full payment and performance of, and shall exonerate, indemnify, and hold Surety</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from, any and all liability and Loss, sustained or incurred, arising from or related to the following: (a) any Transferred Bond, (b) any Claim,</w:t>
      </w:r>
    </w:p>
    <w:p>
      <w:pPr>
        <w:spacing w:after="0" w:line="1" w:lineRule="exact"/>
        <w:rPr>
          <w:rFonts w:ascii="Arial" w:cs="Arial" w:eastAsia="Arial" w:hAnsi="Arial"/>
          <w:sz w:val="16"/>
          <w:szCs w:val="16"/>
          <w:color w:val="auto"/>
        </w:rPr>
      </w:pPr>
    </w:p>
    <w:p>
      <w:pPr>
        <w:ind w:right="10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(c) Guarantor failing to timely and completely perform or comply with this Agreement, or any of the parties to the Dore Agreement failing to timely and completely perform or comply with the Dore Agreement with respect to any Transferred Bond, (d) Surety enforcing this Agreement or the Dore Agreement with respect to any Transferred Bond or (e) any act of Surety to protect or procure any of Surety’s rights, protect or preserve any of Surety’s interests, or to avoid, or lessen Surety’s liability or alleged liability, all with respect to any Transferred Bond. The liability of Guarantor to Surety under this Agreement includes all Claims made on Surety, all payments made, Loss incurred, and all actions taken by Surety with respect to any Transferred Bond under the Good Faith belief that Surety is, would be or was liable for the amounts paid or the actions taken, or that it was necessary or expedient to make such payments or take such actions, whether or not such liability, necessity or expediency existed. Guarantor shall promptly, upon demand, make payment to Surety as soon as liability or Loss exists, whether or not Surety has made any payment. An itemized statement of Loss, sworn to by any officer of Surety, or the voucher or other evidence of any payment,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fact, amount and extent of the liability of Guarantor for such Loss. This Guarantee and Indemnity includes all Loss arising from or related to the Transferred Bonds, including all Loss which may arise under the Dore Agreement with respect to the Transferred Bonds.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83" w:name="page84"/>
    <w:bookmarkEnd w:id="83"/>
    <w:p>
      <w:pPr>
        <w:ind w:left="-8" w:right="240" w:firstLine="8"/>
        <w:spacing w:after="0" w:line="255"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SURETY’S RIGHT TO PERFORM, SETTLE AND/OR MODIFY: </w:t>
      </w:r>
      <w:r>
        <w:rPr>
          <w:rFonts w:ascii="Arial" w:cs="Arial" w:eastAsia="Arial" w:hAnsi="Arial"/>
          <w:sz w:val="18"/>
          <w:szCs w:val="18"/>
          <w:color w:val="auto"/>
        </w:rPr>
        <w:t>Surety shall have the absolute and unconditional right and is authorized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(a) adjust, pay, perform, decline to perform, compromise, settle, deny, litigate or otherwise resolve any Claim and/or any claim, counterclaim, defense or setoff held by or made against Guarantor, any of the parties to the Dore Agreement, any Principal or other entity and/or to take any action to protect any rights of Surety or to preserve or protect Surety’s interests, or to avoid or lessen any alleged liability (hereinafter “Settlement”); and (b) modify, consent to or decline to consent to modification of any Transferred Bond and/or Bonded Contract, and/or to take, consent to or decline to consent to any assignment (hereinafter “Modification”). Any Settlement and/or Modification by Surety shall be final, binding and conclusive upon Guarantor. Guarantor shall remain bound under this Agreement for all Loss even though any such Settlement or Modification by Surety does or might substantially increase the liability of Guarantor.</w:t>
      </w:r>
    </w:p>
    <w:p>
      <w:pPr>
        <w:spacing w:after="0" w:line="77" w:lineRule="exact"/>
        <w:rPr>
          <w:rFonts w:ascii="Arial" w:cs="Arial" w:eastAsia="Arial" w:hAnsi="Arial"/>
          <w:sz w:val="18"/>
          <w:szCs w:val="18"/>
          <w:color w:val="auto"/>
        </w:rPr>
      </w:pPr>
    </w:p>
    <w:p>
      <w:pPr>
        <w:ind w:left="-8" w:firstLine="8"/>
        <w:spacing w:after="0" w:line="269" w:lineRule="auto"/>
        <w:tabs>
          <w:tab w:leader="none" w:pos="172"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PLACE SURETY IN FUNDS</w:t>
      </w:r>
      <w:r>
        <w:rPr>
          <w:rFonts w:ascii="Arial" w:cs="Arial" w:eastAsia="Arial" w:hAnsi="Arial"/>
          <w:sz w:val="17"/>
          <w:szCs w:val="17"/>
          <w:color w:val="auto"/>
        </w:rPr>
        <w:t>: Should an Event of Default occur, or upon determination by Surety, in its sole and absolute discretion, that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exists under any Transferred Bond (regardless of whether liability has been established or whether Surety, Guarantor may have defenses to all or any portion of any claim asserted under any Transferred Bond), Guarantor shall, upon demand, deposit with Surety cash or other collateral acceptable to Surety in an amount determined by Surety, in its sole discretion, to be sufficient to discharge any claim made against or potential liability of Surety on any Transferred Bond or under this Agreement. Surety shall not be required to post a reserve prior to or as a condition of Guarantor’s obligation to deposit collateral. This sum may be used by Surety to pay such claim or be held by Surety as collateral against any loss on any Transferred Bonds or under this Agreement. Any remaining sums deposited with Surety after payment of any and all sums due to Surety under this Agreement or otherwise shall be returned to Guarantor upon the complete release and/or discharge of Surety’s obligations and liability under all Transferred Bonds. The Surety’s demand for collateral shall be sufficient if sent by registered or certified mail, by facsimile transmission, or by personal service to Guarantor at the addresses stated herein, or at the address last known to the Surety, regardless of whether actually received. Guarantor acknowledges that the failure of Guarantor to deposit collateral with the Surety, immediately upon demand, shall cause irreparable harm to the Surety for which the Surety has no adequate remedy at law. Guarantor agrees that the Surety shall be entitled to injunctive relief for specific performance of the obligation to deposit with the Surety the sum demanded as collateral and waive any claims or defenses to the contrary.</w:t>
      </w:r>
    </w:p>
    <w:p>
      <w:pPr>
        <w:spacing w:after="0" w:line="68" w:lineRule="exact"/>
        <w:rPr>
          <w:rFonts w:ascii="Arial" w:cs="Arial" w:eastAsia="Arial" w:hAnsi="Arial"/>
          <w:sz w:val="17"/>
          <w:szCs w:val="17"/>
          <w:color w:val="auto"/>
        </w:rPr>
      </w:pPr>
    </w:p>
    <w:p>
      <w:pPr>
        <w:ind w:left="-8" w:right="420" w:firstLine="8"/>
        <w:spacing w:after="0" w:line="289" w:lineRule="auto"/>
        <w:tabs>
          <w:tab w:leader="none" w:pos="172"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UNIFORM COMMERCIAL CODE</w:t>
      </w:r>
      <w:r>
        <w:rPr>
          <w:rFonts w:ascii="Arial" w:cs="Arial" w:eastAsia="Arial" w:hAnsi="Arial"/>
          <w:sz w:val="17"/>
          <w:szCs w:val="17"/>
          <w:color w:val="auto"/>
        </w:rPr>
        <w:t>: This Agreement shall constitute a Security Agreement to the Surety and also a Financing Statement, both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provisions of the Uniform Commercial Code of every jurisdiction wherein such Code is in effect, and may be so used by the Surety, without in any way abrogating, restricting or limiting the rights of the Surety under this Agreement or under law or in equity.</w:t>
      </w:r>
    </w:p>
    <w:p>
      <w:pPr>
        <w:spacing w:after="0" w:line="50" w:lineRule="exact"/>
        <w:rPr>
          <w:rFonts w:ascii="Arial" w:cs="Arial" w:eastAsia="Arial" w:hAnsi="Arial"/>
          <w:sz w:val="17"/>
          <w:szCs w:val="17"/>
          <w:color w:val="auto"/>
        </w:rPr>
      </w:pPr>
    </w:p>
    <w:p>
      <w:pPr>
        <w:ind w:left="-8" w:right="200" w:firstLine="8"/>
        <w:spacing w:after="0" w:line="261"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DISCHARGE: </w:t>
      </w:r>
      <w:r>
        <w:rPr>
          <w:rFonts w:ascii="Arial" w:cs="Arial" w:eastAsia="Arial" w:hAnsi="Arial"/>
          <w:sz w:val="18"/>
          <w:szCs w:val="18"/>
          <w:color w:val="auto"/>
        </w:rPr>
        <w:t>Guarantor shall promptly, upon demand, procure the full and complete discharge of Surety from all Transferred Bonds and all liability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such Transferred Bonds. If Guarantor is unable to obtain discharge of any or all such Transferred Bonds within the time demanded, Guarantor shall promptly deposit with Surety an amount of money that Surety determines is sufficient to satisfy any liability or Loss with respect to any Transferred Bonds.</w:t>
      </w:r>
    </w:p>
    <w:p>
      <w:pPr>
        <w:spacing w:after="0" w:line="71" w:lineRule="exact"/>
        <w:rPr>
          <w:rFonts w:ascii="Arial" w:cs="Arial" w:eastAsia="Arial" w:hAnsi="Arial"/>
          <w:sz w:val="18"/>
          <w:szCs w:val="18"/>
          <w:color w:val="auto"/>
        </w:rPr>
      </w:pPr>
    </w:p>
    <w:p>
      <w:pPr>
        <w:ind w:left="-8" w:right="100" w:firstLine="8"/>
        <w:spacing w:after="0" w:line="266"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SURETY’S RIGHT TO SPECIFIC PERFORMANCE: </w:t>
      </w:r>
      <w:r>
        <w:rPr>
          <w:rFonts w:ascii="Arial" w:cs="Arial" w:eastAsia="Arial" w:hAnsi="Arial"/>
          <w:sz w:val="18"/>
          <w:szCs w:val="18"/>
          <w:color w:val="auto"/>
        </w:rPr>
        <w:t>Guarantor acknowledges that the failure of Guarantor to perform or comply with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shall cause irreparable harm to Surety for which Surety has no adequate remedy at law. Guarantor agrees that Surety shall be entitled to injunctive relief and/or specific performance, and Guarantor waives any claims or defenses to the contrary.</w:t>
      </w:r>
    </w:p>
    <w:p>
      <w:pPr>
        <w:spacing w:after="0" w:line="68" w:lineRule="exact"/>
        <w:rPr>
          <w:rFonts w:ascii="Arial" w:cs="Arial" w:eastAsia="Arial" w:hAnsi="Arial"/>
          <w:sz w:val="18"/>
          <w:szCs w:val="18"/>
          <w:color w:val="auto"/>
        </w:rPr>
      </w:pPr>
    </w:p>
    <w:p>
      <w:pPr>
        <w:ind w:left="-8" w:right="120" w:firstLine="8"/>
        <w:spacing w:after="0" w:line="261"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WAIVER OF NOTICE</w:t>
      </w:r>
      <w:r>
        <w:rPr>
          <w:rFonts w:ascii="Arial" w:cs="Arial" w:eastAsia="Arial" w:hAnsi="Arial"/>
          <w:sz w:val="18"/>
          <w:szCs w:val="18"/>
          <w:color w:val="auto"/>
        </w:rPr>
        <w:t>: Guarantor waives notice of the issuance, cancellation, renewal, replacement or substitution of any Transferred Bond, any</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or Modification, and any act, fact or information concerning or affecting the rights and liabilities of Surety or the rights or liabilities of Guarantor under the Transferred Bonds or this Agreement, notwithstanding any notice of any kind to which Principal or Guarantor or others might otherwise have been or be entitled, and notwithstanding any defenses they might have been or be entitled to assert.</w:t>
      </w:r>
    </w:p>
    <w:p>
      <w:pPr>
        <w:spacing w:after="0" w:line="71" w:lineRule="exact"/>
        <w:rPr>
          <w:rFonts w:ascii="Arial" w:cs="Arial" w:eastAsia="Arial" w:hAnsi="Arial"/>
          <w:sz w:val="18"/>
          <w:szCs w:val="18"/>
          <w:color w:val="auto"/>
        </w:rPr>
      </w:pPr>
    </w:p>
    <w:p>
      <w:pPr>
        <w:jc w:val="both"/>
        <w:ind w:left="-8" w:right="320" w:firstLine="8"/>
        <w:spacing w:after="0" w:line="314" w:lineRule="auto"/>
        <w:tabs>
          <w:tab w:leader="none" w:pos="172"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OTHER SURETIES AS BENEFICIARIES</w:t>
      </w:r>
      <w:r>
        <w:rPr>
          <w:rFonts w:ascii="Arial" w:cs="Arial" w:eastAsia="Arial" w:hAnsi="Arial"/>
          <w:sz w:val="16"/>
          <w:szCs w:val="16"/>
          <w:color w:val="auto"/>
        </w:rPr>
        <w:t>: If Surety procures the execution of any Transferred Bond by other sureties, or executes any Transferred</w:t>
      </w:r>
      <w:r>
        <w:rPr>
          <w:rFonts w:ascii="Arial" w:cs="Arial" w:eastAsia="Arial" w:hAnsi="Arial"/>
          <w:sz w:val="16"/>
          <w:szCs w:val="16"/>
          <w:b w:val="1"/>
          <w:bCs w:val="1"/>
          <w:color w:val="auto"/>
        </w:rPr>
        <w:t xml:space="preserve"> </w:t>
      </w:r>
      <w:r>
        <w:rPr>
          <w:rFonts w:ascii="Arial" w:cs="Arial" w:eastAsia="Arial" w:hAnsi="Arial"/>
          <w:sz w:val="16"/>
          <w:szCs w:val="16"/>
          <w:color w:val="auto"/>
        </w:rPr>
        <w:t>Bond with co-sureties, or reinsures any portion of any Transferred Bond with reinsuring sureties, then all the terms and conditions of this Agreement shall inure to the benefit of such other sureties, co-sureties and/or reinsuring sureties, including the right to bring an action for enforcement of this Agreement.</w:t>
      </w:r>
    </w:p>
    <w:p>
      <w:pPr>
        <w:spacing w:after="0" w:line="34" w:lineRule="exact"/>
        <w:rPr>
          <w:rFonts w:ascii="Arial" w:cs="Arial" w:eastAsia="Arial" w:hAnsi="Arial"/>
          <w:sz w:val="16"/>
          <w:szCs w:val="16"/>
          <w:color w:val="auto"/>
        </w:rPr>
      </w:pPr>
    </w:p>
    <w:p>
      <w:pPr>
        <w:ind w:left="-8" w:right="100" w:firstLine="8"/>
        <w:spacing w:after="0" w:line="255"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SURETY’S ADDITIONAL RIGHTS</w:t>
      </w:r>
      <w:r>
        <w:rPr>
          <w:rFonts w:ascii="Arial" w:cs="Arial" w:eastAsia="Arial" w:hAnsi="Arial"/>
          <w:sz w:val="18"/>
          <w:szCs w:val="18"/>
          <w:color w:val="auto"/>
        </w:rPr>
        <w:t>: This Agreement is in addition to and not in lieu of the GLDD Agreement (subject to the terms of the GLDD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Transferring Release), the Dore Agreement and all other agreements of indemnity and any and all rights, powers, and remedies that Surety may have or acquire against Guarantor or any other person or entity, including but not limited to the parties to the Dore Agreement, whether by agreement, law or otherwise. Surety’s forbearance or failure to act to enforce any right shall not waive or diminish any of its rights, which rights may be enforced at any time in Surety’s sole discretion. Guarantor waives and subordinates all rights of indemnity, subrogation and contribution against any party to the Dore Agreement and/or any Principal until all obligations to Surety under this Agreement, at law or in equity, have been satisfied in full. Surety may enforce this Agreement against Guarantor in its sole discretion at any time and in whatever manner Surety sees fit, without joining any other person or entity, whether that person or entity is a party to the Dore Agreement or otherwise.</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70" w:right="239" w:bottom="1440" w:gutter="0" w:footer="0" w:header="0"/>
        </w:sectPr>
      </w:pPr>
    </w:p>
    <w:bookmarkStart w:id="84" w:name="page85"/>
    <w:bookmarkEnd w:id="84"/>
    <w:p>
      <w:pPr>
        <w:ind w:firstLine="8"/>
        <w:spacing w:after="0" w:line="273" w:lineRule="auto"/>
        <w:tabs>
          <w:tab w:leader="none" w:pos="263"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LAWSUITS AND JURISDICTION</w:t>
      </w:r>
      <w:r>
        <w:rPr>
          <w:rFonts w:ascii="Arial" w:cs="Arial" w:eastAsia="Arial" w:hAnsi="Arial"/>
          <w:sz w:val="17"/>
          <w:szCs w:val="17"/>
          <w:color w:val="auto"/>
        </w:rPr>
        <w:t>: Separate lawsuits may be brought under this Agreement as causes of action accrue, and the bringing of any lawsuit</w:t>
      </w:r>
      <w:r>
        <w:rPr>
          <w:rFonts w:ascii="Arial" w:cs="Arial" w:eastAsia="Arial" w:hAnsi="Arial"/>
          <w:sz w:val="17"/>
          <w:szCs w:val="17"/>
          <w:b w:val="1"/>
          <w:bCs w:val="1"/>
          <w:color w:val="auto"/>
        </w:rPr>
        <w:t xml:space="preserve"> </w:t>
      </w:r>
      <w:r>
        <w:rPr>
          <w:rFonts w:ascii="Arial" w:cs="Arial" w:eastAsia="Arial" w:hAnsi="Arial"/>
          <w:sz w:val="17"/>
          <w:szCs w:val="17"/>
          <w:color w:val="auto"/>
        </w:rPr>
        <w:t>or the recovery of any judgment on any cause of action shall not prejudice or bar the bringing of other lawsuits, on the same or other causes of action, whether arising before or after any other lawsuit or cause of action. In any legal proceeding brought by or against Surety that in any way relates to this Agreement, Guarantor irrevocably and unconditionally submits to the jurisdiction, at Surety’s sole option, of the Federal, state and local courts in which (a) Guarantor resides or has property, (b) any bonded obligation arises or is performed, in whole or in part, or (c) any action may be brought against Surety. Guarantor submits to the jurisdiction of such courts and waive and agree not to assert that it is not subject to the jurisdiction of any such court or that the jurisdiction and/or venue is in an inconvenient forum or otherwise improper.</w:t>
      </w:r>
    </w:p>
    <w:p>
      <w:pPr>
        <w:spacing w:after="0" w:line="64" w:lineRule="exact"/>
        <w:rPr>
          <w:rFonts w:ascii="Arial" w:cs="Arial" w:eastAsia="Arial" w:hAnsi="Arial"/>
          <w:sz w:val="17"/>
          <w:szCs w:val="17"/>
          <w:color w:val="auto"/>
        </w:rPr>
      </w:pPr>
    </w:p>
    <w:p>
      <w:pPr>
        <w:ind w:right="400" w:firstLine="8"/>
        <w:spacing w:after="0" w:line="282"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interpreted under the laws of the State of New York, without regard to principles of</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laws.</w:t>
      </w:r>
    </w:p>
    <w:p>
      <w:pPr>
        <w:spacing w:after="0" w:line="53" w:lineRule="exact"/>
        <w:rPr>
          <w:rFonts w:ascii="Arial" w:cs="Arial" w:eastAsia="Arial" w:hAnsi="Arial"/>
          <w:sz w:val="18"/>
          <w:szCs w:val="18"/>
          <w:color w:val="auto"/>
        </w:rPr>
      </w:pPr>
    </w:p>
    <w:p>
      <w:pPr>
        <w:ind w:right="60" w:firstLine="8"/>
        <w:spacing w:after="0" w:line="266"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EXECUTION AND CHANGES</w:t>
      </w:r>
      <w:r>
        <w:rPr>
          <w:rFonts w:ascii="Arial" w:cs="Arial" w:eastAsia="Arial" w:hAnsi="Arial"/>
          <w:sz w:val="18"/>
          <w:szCs w:val="18"/>
          <w:color w:val="auto"/>
        </w:rPr>
        <w:t>: This Agreement shall be effective and immediately binding as to Guarantor when Guarantor executes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whether any other party has executed this Agreement or the Dore Agreement or fails to execute this Agreement or the Dore Agreement. This Agreement shall only be changed or modified in writing.</w:t>
      </w:r>
    </w:p>
    <w:p>
      <w:pPr>
        <w:spacing w:after="0" w:line="68" w:lineRule="exact"/>
        <w:rPr>
          <w:rFonts w:ascii="Arial" w:cs="Arial" w:eastAsia="Arial" w:hAnsi="Arial"/>
          <w:sz w:val="18"/>
          <w:szCs w:val="18"/>
          <w:color w:val="auto"/>
        </w:rPr>
      </w:pPr>
    </w:p>
    <w:p>
      <w:pPr>
        <w:ind w:right="20" w:firstLine="8"/>
        <w:spacing w:after="0" w:line="282"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JURY WAIVER</w:t>
      </w:r>
      <w:r>
        <w:rPr>
          <w:rFonts w:ascii="Arial" w:cs="Arial" w:eastAsia="Arial" w:hAnsi="Arial"/>
          <w:sz w:val="18"/>
          <w:szCs w:val="18"/>
          <w:color w:val="auto"/>
        </w:rPr>
        <w:t>: Guarantor hereby knowingly and voluntarily waives and covenants that it will not assert any right to trial by jury in respect to any legal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arising out of this Agreement.</w:t>
      </w:r>
    </w:p>
    <w:p>
      <w:pPr>
        <w:spacing w:after="0" w:line="53" w:lineRule="exact"/>
        <w:rPr>
          <w:rFonts w:ascii="Arial" w:cs="Arial" w:eastAsia="Arial" w:hAnsi="Arial"/>
          <w:sz w:val="18"/>
          <w:szCs w:val="18"/>
          <w:color w:val="auto"/>
        </w:rPr>
      </w:pPr>
    </w:p>
    <w:p>
      <w:pPr>
        <w:ind w:right="120" w:firstLine="8"/>
        <w:spacing w:after="0" w:line="274" w:lineRule="auto"/>
        <w:tabs>
          <w:tab w:leader="none" w:pos="27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 Guarantor represents and warrants the following: (a) Guarantor has a substantial, material, and/or</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beneficial interest in one or more Principals obtaining or maintaining the Transferred Bonds or in Surety refraining from canceling, renewing, extending, modifying, replacing or substituting any such Transferred Bond; (b) Guarantor has the full power and authority to execute and deliver this Agreement and to perform all obligations in this Agreement; (c) All information provided to Surety by Guarantor prior to and after the execution of this Agreement is true, accurate and complete in all material respects as of the time provided; and (d) Each right, power and remedy given to Surety, under any provision of this Agreement or otherwise, forms a material part of Surety’s consideration for Transferred Bonds.</w:t>
      </w:r>
    </w:p>
    <w:p>
      <w:pPr>
        <w:spacing w:after="0" w:line="65" w:lineRule="exact"/>
        <w:rPr>
          <w:rFonts w:ascii="Arial" w:cs="Arial" w:eastAsia="Arial" w:hAnsi="Arial"/>
          <w:sz w:val="17"/>
          <w:szCs w:val="17"/>
          <w:color w:val="auto"/>
        </w:rPr>
      </w:pPr>
    </w:p>
    <w:p>
      <w:pPr>
        <w:ind w:right="140" w:firstLine="8"/>
        <w:spacing w:after="0" w:line="282"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LIMIT OF INDEMNITY AND GUARANTEE: Guarantor’s liability under this Agreement is limited to the sum of TWENTY-FIVE MILLION AND NO/100 DOLLARS ($25,000,000).</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Bonded Contract </w:t>
      </w:r>
      <w:r>
        <w:rPr>
          <w:rFonts w:ascii="Arial" w:cs="Arial" w:eastAsia="Arial" w:hAnsi="Arial"/>
          <w:sz w:val="18"/>
          <w:szCs w:val="18"/>
          <w:color w:val="auto"/>
        </w:rPr>
        <w:t>means any contract or other obligation referred to in any Transferred Bond or secured by any Transferred Bond.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has the meaning provided in the GLDD Agreement.</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or</w:t>
      </w:r>
      <w:r>
        <w:rPr>
          <w:rFonts w:ascii="Arial" w:cs="Arial" w:eastAsia="Arial" w:hAnsi="Arial"/>
          <w:sz w:val="18"/>
          <w:szCs w:val="18"/>
          <w:b w:val="1"/>
          <w:bCs w:val="1"/>
          <w:color w:val="auto"/>
        </w:rPr>
        <w:t xml:space="preserve"> Claims </w:t>
      </w:r>
      <w:r>
        <w:rPr>
          <w:rFonts w:ascii="Arial" w:cs="Arial" w:eastAsia="Arial" w:hAnsi="Arial"/>
          <w:sz w:val="18"/>
          <w:szCs w:val="18"/>
          <w:color w:val="auto"/>
        </w:rPr>
        <w:t>means any notice, claim, demand, defense, counterclaim, setoff, lawsuit or proceeding or circumstance which may constitute, lead to or</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Loss, liability, or asserted liability in connection with any Transferred Bond, any Bonded Contract, this Agreement or the Dore Agreement (except to the extent not related to any Transferred Bond).</w:t>
      </w:r>
    </w:p>
    <w:p>
      <w:pPr>
        <w:spacing w:after="0" w:line="68"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Dore Agreement </w:t>
      </w:r>
      <w:r>
        <w:rPr>
          <w:rFonts w:ascii="Arial" w:cs="Arial" w:eastAsia="Arial" w:hAnsi="Arial"/>
          <w:sz w:val="16"/>
          <w:szCs w:val="16"/>
          <w:color w:val="auto"/>
        </w:rPr>
        <w:t>means the General Indemnity Agreement executed by Dore &amp; Associates Contracting, Inc. (“Dore”) and others, dated April 18, 2014. For</w:t>
      </w:r>
      <w:r>
        <w:rPr>
          <w:rFonts w:ascii="Arial" w:cs="Arial" w:eastAsia="Arial" w:hAnsi="Arial"/>
          <w:sz w:val="16"/>
          <w:szCs w:val="16"/>
          <w:b w:val="1"/>
          <w:bCs w:val="1"/>
          <w:color w:val="auto"/>
        </w:rPr>
        <w:t xml:space="preserve"> </w:t>
      </w:r>
      <w:r>
        <w:rPr>
          <w:rFonts w:ascii="Arial" w:cs="Arial" w:eastAsia="Arial" w:hAnsi="Arial"/>
          <w:sz w:val="16"/>
          <w:szCs w:val="16"/>
          <w:color w:val="auto"/>
        </w:rPr>
        <w:t>clarity, this Agreement covers only the obligations of Dore and others with respect to the Transferred Bonds and the bonded obligations underlying such Transferred Bonds, and does not cover any other bond which Surety may issue for Dore or others which is not related to the Transferred Bonds.</w:t>
      </w:r>
    </w:p>
    <w:p>
      <w:pPr>
        <w:spacing w:after="0" w:line="3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b w:val="1"/>
          <w:bCs w:val="1"/>
          <w:color w:val="auto"/>
        </w:rPr>
        <w:t xml:space="preserve">Event of Default </w:t>
      </w:r>
      <w:r>
        <w:rPr>
          <w:rFonts w:ascii="Arial" w:cs="Arial" w:eastAsia="Arial" w:hAnsi="Arial"/>
          <w:sz w:val="16"/>
          <w:szCs w:val="16"/>
          <w:color w:val="auto"/>
        </w:rPr>
        <w:t>means any one or more of the following: (a) any abandonment, forfeiture, termination, default or breach of any Bonded Contract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breach of any Transferred Bond; (b) receipt by Surety of any Claims under any Transferred Bond or declaration of default under any Transferred Bond;</w:t>
      </w:r>
    </w:p>
    <w:p>
      <w:pPr>
        <w:spacing w:after="0" w:line="1" w:lineRule="exact"/>
        <w:rPr>
          <w:sz w:val="20"/>
          <w:szCs w:val="20"/>
          <w:color w:val="auto"/>
        </w:rPr>
      </w:pPr>
    </w:p>
    <w:p>
      <w:pPr>
        <w:ind w:right="120" w:firstLine="8"/>
        <w:spacing w:after="0" w:line="253"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breach of or failure to timely comply with this Agreement, or the Dore Agreement with respect to any Transferred Bond; (d) Guarantor becoming the subject of any bankruptcy, insolvency, receivership, creditor assignment or trusteeship (whether voluntary or involuntary and whether insolvent or not); (e) a Change in Control; (f) any default, however described, which occurs under any document relating to the financial indebtedness of Guarantor, as a result of which that financial indebtedness is or becomes capable of being rendered prematurely due and payable; or (g) any representation by Guarantor to Surety which was materially false or misleading when made.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85" w:name="page86"/>
    <w:bookmarkEnd w:id="85"/>
    <w:p>
      <w:pPr>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GLDD Agreement </w:t>
      </w:r>
      <w:r>
        <w:rPr>
          <w:rFonts w:ascii="Arial" w:cs="Arial" w:eastAsia="Arial" w:hAnsi="Arial"/>
          <w:sz w:val="18"/>
          <w:szCs w:val="18"/>
          <w:color w:val="auto"/>
        </w:rPr>
        <w:t>means the General Agreement of Indemnity executed by GLDD and the other GLDD Indemnitors, dated September 7, 2011, as</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subsequently modified, amended, supplemented or replaced, including but not limited to the Rider dated June 4, 2012, and all underlying and related agreements and modifications of agreements, including the Equipment Utilization Agreement dated June 4, 2012 and the Lender-Surety Agreement dated June 4, 2012. For clarity, this Agreement covers only the obligations of Guarantor and the other GLDD Indemnitors with respect to the Transferred Bonds and the Bonded Contracts and obligations underlying such Transferred Bonds, and does not cover any other bond which Surety may issue for Guarantor or any other GLDD Indemnitor which is not a Transferred Bond (the “Non-Transferred Bonds”), and with respect to those Non-Transferred Bonds, the GLDD Agreement remains in full force and effect.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GLDD Indemnitors </w:t>
      </w:r>
      <w:r>
        <w:rPr>
          <w:rFonts w:ascii="Arial" w:cs="Arial" w:eastAsia="Arial" w:hAnsi="Arial"/>
          <w:sz w:val="18"/>
          <w:szCs w:val="18"/>
          <w:color w:val="auto"/>
        </w:rPr>
        <w:t>means Guarantor and the other “Indemnitors” and “Contractors” party to the GLDD Agreement.</w:t>
      </w:r>
    </w:p>
    <w:p>
      <w:pPr>
        <w:spacing w:after="0" w:line="117"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GLDD Transferring Release </w:t>
      </w:r>
      <w:r>
        <w:rPr>
          <w:rFonts w:ascii="Arial" w:cs="Arial" w:eastAsia="Arial" w:hAnsi="Arial"/>
          <w:sz w:val="18"/>
          <w:szCs w:val="18"/>
          <w:color w:val="auto"/>
        </w:rPr>
        <w:t>means the Second Rider to General Agreement of Indemnity with respect to NASDI/Yankee Transferred Bonds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April 18, 2014 among Surety, Guarantor and the other GLDD Indemnitors, which is executed concurrently with this Agreement and which applies to the GLDD Agreement.</w:t>
      </w:r>
    </w:p>
    <w:p>
      <w:pPr>
        <w:spacing w:after="0" w:line="17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Good Faith </w:t>
      </w:r>
      <w:r>
        <w:rPr>
          <w:rFonts w:ascii="Arial" w:cs="Arial" w:eastAsia="Arial" w:hAnsi="Arial"/>
          <w:sz w:val="18"/>
          <w:szCs w:val="18"/>
          <w:color w:val="auto"/>
        </w:rPr>
        <w:t>means, with respect to any act, exercise of discretion or omission by Surety, an absence of bad faith, willful misconduct, dishonesty, evil intent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actual malice toward Guarantor.</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means, with respect to any Transferred Bond, all premiums due to Surety and any and all liability, loss, Claims, damages, court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fees (including those of Surety), consultant fees, and all other costs and expenses, including but not limited to any additional or extra-contractual damages arising from Surety’s Settlement of any Claim. Pre-judgment and post-judgment interest shall accrue from the date of any payment made by Surety with respect to any of the foregoing at the maximum default rate permitted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means any person or entity whose obligation is guaranteed by a Transferred Bond.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TO FOLLOW</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86" w:name="page87"/>
    <w:bookmarkEnd w:id="8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INSTRUCTIONS</w:t>
      </w:r>
    </w:p>
    <w:p>
      <w:pPr>
        <w:spacing w:after="0" w:line="22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All signatures should be notarized and dated</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640"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signer is a Corporation, an officer on the operational side (i.e. President, CEO, COO) and an officer on the finance side (i.e. Secretary, CFO, Treasurer) should sign and the Corporation should attach its seal.</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one signer is signing in two different capacities (i.e. President and Secretary), then list both titles in the signature block and notary acknowledgement.</w:t>
      </w:r>
    </w:p>
    <w:p>
      <w:pPr>
        <w:spacing w:after="0" w:line="140" w:lineRule="exact"/>
        <w:rPr>
          <w:rFonts w:ascii="Arial" w:cs="Arial" w:eastAsia="Arial" w:hAnsi="Arial"/>
          <w:sz w:val="16"/>
          <w:szCs w:val="16"/>
          <w:color w:val="auto"/>
        </w:rPr>
      </w:pPr>
    </w:p>
    <w:p>
      <w:pPr>
        <w:ind w:right="80"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signer is an individual (personal) Indemnitor, each Indemnitor should sign and date their signature and provide all of the required information. Each signature should be witnessed and notarized.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By signing below, Guarantor affirms to Surety that it has read this Guarantee and Indemnity Agreement carefully and understands its obligations as a Guarantor. Each signer executing this Agreement on behalf of Guarantor represents and warrants solely in their capacity as an officer of Guarantor and not individually that he or she holds the office or position shown and that he or she is duly authorized by Guarantor to execute this Agreement on behalf of Guarantor and to bind Guarantor to all of the terms and conditions of this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 York Road, Oak Brook, IL 60523</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Katherine M. Hayes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ind w:left="80"/>
              <w:spacing w:after="0"/>
              <w:rPr>
                <w:sz w:val="20"/>
                <w:szCs w:val="20"/>
                <w:color w:val="auto"/>
              </w:rPr>
            </w:pPr>
            <w:r>
              <w:rPr>
                <w:rFonts w:ascii="Arial" w:cs="Arial" w:eastAsia="Arial" w:hAnsi="Arial"/>
                <w:sz w:val="18"/>
                <w:szCs w:val="18"/>
                <w:color w:val="auto"/>
                <w:w w:val="96"/>
              </w:rPr>
              <w:t>Vice President, Corporate Controller and Assistant</w:t>
            </w:r>
          </w:p>
        </w:tc>
      </w:tr>
      <w:tr>
        <w:trPr>
          <w:trHeight w:val="230"/>
        </w:trPr>
        <w:tc>
          <w:tcPr>
            <w:tcW w:w="580" w:type="dxa"/>
            <w:vAlign w:val="bottom"/>
          </w:tcPr>
          <w:p>
            <w:pPr>
              <w:spacing w:after="0"/>
              <w:rPr>
                <w:sz w:val="20"/>
                <w:szCs w:val="20"/>
                <w:color w:val="auto"/>
              </w:rPr>
            </w:pP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Secretary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Richard Roman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Treasurer</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NOTARIAL ACKNOWLEDGEMENT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w w:val="90"/>
              </w:rPr>
              <w:t>STATE OF:</w:t>
            </w:r>
          </w:p>
        </w:tc>
        <w:tc>
          <w:tcPr>
            <w:tcW w:w="3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w w:val="95"/>
              </w:rPr>
              <w:t>COUNTY OF:</w:t>
            </w: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318"/>
        </w:trPr>
        <w:tc>
          <w:tcPr>
            <w:tcW w:w="4360" w:type="dxa"/>
            <w:vAlign w:val="bottom"/>
            <w:gridSpan w:val="3"/>
          </w:tcPr>
          <w:p>
            <w:pPr>
              <w:spacing w:after="0"/>
              <w:rPr>
                <w:sz w:val="20"/>
                <w:szCs w:val="20"/>
                <w:color w:val="auto"/>
              </w:rPr>
            </w:pPr>
            <w:r>
              <w:rPr>
                <w:rFonts w:ascii="Arial" w:cs="Arial" w:eastAsia="Arial" w:hAnsi="Arial"/>
                <w:sz w:val="18"/>
                <w:szCs w:val="18"/>
                <w:color w:val="auto"/>
                <w:w w:val="92"/>
              </w:rPr>
              <w:t>The following instrument was acknowledged before me this</w:t>
            </w: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 2014 by:</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Katherine M. Hayes as Vice President, Corporate Controller and Assistant Secretary of Great Lakes Dredge &amp; Dock Corporation, (“Entity”), on behalf of the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20"/>
                <w:szCs w:val="20"/>
                <w:color w:val="auto"/>
              </w:rPr>
            </w:pPr>
            <w:r>
              <w:rPr>
                <w:rFonts w:ascii="Arial" w:cs="Arial" w:eastAsia="Arial" w:hAnsi="Arial"/>
                <w:sz w:val="18"/>
                <w:szCs w:val="18"/>
                <w:color w:val="auto"/>
                <w:w w:val="92"/>
              </w:rPr>
              <w:t>Entity. She is personally known to me or has produced [</w:t>
            </w:r>
            <w:r>
              <w:rPr>
                <w:rFonts w:ascii="Arial" w:cs="Arial" w:eastAsia="Arial" w:hAnsi="Arial"/>
                <w:sz w:val="18"/>
                <w:szCs w:val="18"/>
                <w:i w:val="1"/>
                <w:iCs w:val="1"/>
                <w:color w:val="auto"/>
                <w:w w:val="92"/>
              </w:rPr>
              <w:t>form of identification</w:t>
            </w:r>
            <w:r>
              <w:rPr>
                <w:rFonts w:ascii="Arial" w:cs="Arial" w:eastAsia="Arial" w:hAnsi="Arial"/>
                <w:sz w:val="18"/>
                <w:szCs w:val="18"/>
                <w:color w:val="auto"/>
                <w:w w:val="92"/>
              </w:rPr>
              <w:t>]</w:t>
            </w:r>
          </w:p>
        </w:tc>
        <w:tc>
          <w:tcPr>
            <w:tcW w:w="2380" w:type="dxa"/>
            <w:vAlign w:val="bottom"/>
            <w:tcBorders>
              <w:bottom w:val="single" w:sz="8" w:color="auto"/>
            </w:tcBorders>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1"/>
              </w:rPr>
              <w:t>as identification.</w:t>
            </w:r>
          </w:p>
        </w:tc>
      </w:tr>
      <w:tr>
        <w:trPr>
          <w:trHeight w:val="358"/>
        </w:trPr>
        <w:tc>
          <w:tcPr>
            <w:tcW w:w="5680" w:type="dxa"/>
            <w:vAlign w:val="bottom"/>
          </w:tcPr>
          <w:p>
            <w:pPr>
              <w:spacing w:after="0"/>
              <w:rPr>
                <w:sz w:val="20"/>
                <w:szCs w:val="20"/>
                <w:color w:val="auto"/>
              </w:rPr>
            </w:pPr>
            <w:r>
              <w:rPr>
                <w:rFonts w:ascii="Arial" w:cs="Arial" w:eastAsia="Arial" w:hAnsi="Arial"/>
                <w:sz w:val="18"/>
                <w:szCs w:val="18"/>
                <w:color w:val="auto"/>
              </w:rPr>
              <w:t>and by</w:t>
            </w:r>
          </w:p>
        </w:tc>
        <w:tc>
          <w:tcPr>
            <w:tcW w:w="2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07" w:lineRule="exact"/>
        <w:rPr>
          <w:sz w:val="20"/>
          <w:szCs w:val="20"/>
          <w:color w:val="auto"/>
        </w:rPr>
      </w:pPr>
    </w:p>
    <w:p>
      <w:pPr>
        <w:ind w:left="3520" w:right="1540" w:hanging="3509"/>
        <w:spacing w:after="0" w:line="258" w:lineRule="auto"/>
        <w:rPr>
          <w:sz w:val="20"/>
          <w:szCs w:val="20"/>
          <w:color w:val="auto"/>
        </w:rPr>
      </w:pPr>
      <w:r>
        <w:rPr>
          <w:rFonts w:ascii="Arial" w:cs="Arial" w:eastAsia="Arial" w:hAnsi="Arial"/>
          <w:sz w:val="18"/>
          <w:szCs w:val="18"/>
          <w:color w:val="auto"/>
        </w:rPr>
        <w:t>Richard Roman as Treasurer of the Entity on behalf of the Entity. He is personally known to me or has produced [</w:t>
      </w:r>
      <w:r>
        <w:rPr>
          <w:rFonts w:ascii="Arial" w:cs="Arial" w:eastAsia="Arial" w:hAnsi="Arial"/>
          <w:sz w:val="18"/>
          <w:szCs w:val="18"/>
          <w:i w:val="1"/>
          <w:iCs w:val="1"/>
          <w:color w:val="auto"/>
        </w:rPr>
        <w:t>form of identification</w:t>
      </w:r>
      <w:r>
        <w:rPr>
          <w:rFonts w:ascii="Arial" w:cs="Arial" w:eastAsia="Arial" w:hAnsi="Arial"/>
          <w:sz w:val="18"/>
          <w:szCs w:val="18"/>
          <w:color w:val="auto"/>
        </w:rPr>
        <w:t>]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2002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ind w:left="4460"/>
        <w:spacing w:after="0"/>
        <w:tabs>
          <w:tab w:leader="none" w:pos="8560" w:val="left"/>
        </w:tabs>
        <w:rPr>
          <w:sz w:val="20"/>
          <w:szCs w:val="20"/>
          <w:color w:val="auto"/>
        </w:rPr>
      </w:pPr>
      <w:r>
        <w:rPr>
          <w:rFonts w:ascii="Arial" w:cs="Arial" w:eastAsia="Arial" w:hAnsi="Arial"/>
          <w:sz w:val="18"/>
          <w:szCs w:val="18"/>
          <w:color w:val="auto"/>
        </w:rPr>
        <w:t>My commission expires:</w:t>
      </w:r>
      <w:r>
        <w:rPr>
          <w:sz w:val="20"/>
          <w:szCs w:val="20"/>
          <w:color w:val="auto"/>
        </w:rPr>
        <w:tab/>
      </w:r>
      <w:r>
        <w:rPr>
          <w:rFonts w:ascii="Arial" w:cs="Arial" w:eastAsia="Arial" w:hAnsi="Arial"/>
          <w:sz w:val="16"/>
          <w:szCs w:val="16"/>
          <w:color w:val="auto"/>
        </w:rPr>
        <w:t>Notary Seal:</w:t>
      </w:r>
    </w:p>
    <w:p>
      <w:pPr>
        <w:spacing w:after="0" w:line="248"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Notary Public Signature</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20</w:t>
            </w:r>
          </w:p>
        </w:tc>
        <w:tc>
          <w:tcPr>
            <w:tcW w:w="360" w:type="dxa"/>
            <w:vAlign w:val="bottom"/>
            <w:tcBorders>
              <w:top w:val="single" w:sz="8" w:color="auto"/>
              <w:bottom w:val="single" w:sz="8" w:color="auto"/>
            </w:tcBorders>
          </w:tcPr>
          <w:p>
            <w:pPr>
              <w:spacing w:after="0"/>
              <w:rPr>
                <w:sz w:val="15"/>
                <w:szCs w:val="15"/>
                <w:color w:val="auto"/>
              </w:rPr>
            </w:pPr>
          </w:p>
        </w:tc>
        <w:tc>
          <w:tcPr>
            <w:tcW w:w="3320" w:type="dxa"/>
            <w:vAlign w:val="bottom"/>
            <w:tcBorders>
              <w:top w:val="single" w:sz="8" w:color="auto"/>
            </w:tcBorders>
          </w:tcPr>
          <w:p>
            <w:pPr>
              <w:spacing w:after="0"/>
              <w:rPr>
                <w:sz w:val="15"/>
                <w:szCs w:val="15"/>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-10160</wp:posOffset>
            </wp:positionV>
            <wp:extent cx="14001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70" w:right="3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1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Katherine M. Hayes, certify that:</w:t>
      </w:r>
    </w:p>
    <w:p>
      <w:pPr>
        <w:spacing w:after="0" w:line="13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Katherine M.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Katherine M.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2014,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2014, as filed with the Securities and Exchange Commission on the date hereof (the “Report”), I, Katherine M. Hayes, Interim Chief Financial Officer of the Company, certify pursuant to 18 U.S.C. Section 1350, as adopted pursuant to Section 906 of the Sarbanes-Oxley Act of 2002, that:</w:t>
      </w:r>
    </w:p>
    <w:p>
      <w:pPr>
        <w:spacing w:after="0" w:line="7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Katherine M.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Katherine M.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lowerRoman"/>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lowerRoman"/>
      <w:start w:val="10"/>
    </w:lvl>
  </w:abstractNum>
  <w:abstractNum w:abstractNumId="11">
    <w:nsid w:val="7C3DBD3D"/>
    <w:multiLevelType w:val="hybridMultilevel"/>
    <w:lvl w:ilvl="0">
      <w:lvlJc w:val="left"/>
      <w:lvlText w:val="(%1)"/>
      <w:numFmt w:val="lowerLetter"/>
      <w:start w:val="2"/>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4"/>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Roman"/>
      <w:start w:val="2"/>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5"/>
    </w:lvl>
  </w:abstractNum>
  <w:abstractNum w:abstractNumId="19">
    <w:nsid w:val="5577F8E1"/>
    <w:multiLevelType w:val="hybridMultilevel"/>
    <w:lvl w:ilvl="0">
      <w:lvlJc w:val="left"/>
      <w:lvlText w:val="(%1)"/>
      <w:numFmt w:val="lowerRoman"/>
      <w:start w:val="2"/>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3">
    <w:nsid w:val="77465F01"/>
    <w:multiLevelType w:val="hybridMultilevel"/>
    <w:lvl w:ilvl="0">
      <w:lvlJc w:val="left"/>
      <w:lvlText w:val="(%1)"/>
      <w:numFmt w:val="lowerLetter"/>
      <w:start w:val="21"/>
    </w:lvl>
    <w:lvl w:ilvl="1">
      <w:lvlJc w:val="left"/>
      <w:lvlText w:val="%2"/>
      <w:numFmt w:val="lowerLetter"/>
      <w:start w:val="1"/>
    </w:lvl>
    <w:lvl w:ilvl="2">
      <w:lvlJc w:val="left"/>
      <w:lvlText w:val="(%3)"/>
      <w:numFmt w:val="lowerLetter"/>
      <w:start w:val="2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2"/>
    </w:lvl>
  </w:abstractNum>
  <w:abstractNum w:abstractNumId="26">
    <w:nsid w:val="2463B9EA"/>
    <w:multiLevelType w:val="hybridMultilevel"/>
    <w:lvl w:ilvl="0">
      <w:lvlJc w:val="left"/>
      <w:lvlText w:val="(%1)"/>
      <w:numFmt w:val="lowerRoman"/>
      <w:start w:val="4"/>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4"/>
    </w:lvl>
  </w:abstractNum>
  <w:abstractNum w:abstractNumId="32">
    <w:nsid w:val="3855585C"/>
    <w:multiLevelType w:val="hybridMultilevel"/>
    <w:lvl w:ilvl="0">
      <w:lvlJc w:val="left"/>
      <w:lvlText w:val="%1."/>
      <w:numFmt w:val="decimal"/>
      <w:start w:val="13"/>
    </w:lvl>
  </w:abstractNum>
  <w:abstractNum w:abstractNumId="33">
    <w:nsid w:val="70A64E2A"/>
    <w:multiLevelType w:val="hybridMultilevel"/>
    <w:lvl w:ilvl="0">
      <w:lvlJc w:val="left"/>
      <w:lvlText w:val="%1."/>
      <w:numFmt w:val="decimal"/>
      <w:start w:val="21"/>
    </w:lvl>
  </w:abstractNum>
  <w:abstractNum w:abstractNumId="34">
    <w:nsid w:val="6A2342EC"/>
    <w:multiLevelType w:val="hybridMultilevel"/>
    <w:lvl w:ilvl="0">
      <w:lvlJc w:val="left"/>
      <w:lvlText w:val="(%1)"/>
      <w:numFmt w:val="lowerLetter"/>
      <w:start w:val="8"/>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3"/>
    </w:lvl>
  </w:abstractNum>
  <w:abstractNum w:abstractNumId="43">
    <w:nsid w:val="6DE91B18"/>
    <w:multiLevelType w:val="hybridMultilevel"/>
    <w:lvl w:ilvl="0">
      <w:lvlJc w:val="left"/>
      <w:lvlText w:val="%1."/>
      <w:numFmt w:val="decimal"/>
      <w:start w:val="11"/>
    </w:lvl>
  </w:abstractNum>
  <w:abstractNum w:abstractNumId="44">
    <w:nsid w:val="38437FDB"/>
    <w:multiLevelType w:val="hybridMultilevel"/>
    <w:lvl w:ilvl="0">
      <w:lvlJc w:val="left"/>
      <w:lvlText w:val="(%1)"/>
      <w:numFmt w:val="lowerLetter"/>
      <w:start w:val="3"/>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2019-12-07T13:47:06Z</dcterms:created>
  <dcterms:modified xsi:type="dcterms:W3CDTF">2019-12-07T13:47:06Z</dcterms:modified>
</cp:coreProperties>
</file>