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1" w:lineRule="exact"/>
        <w:rPr>
          <w:sz w:val="24"/>
          <w:szCs w:val="24"/>
          <w:color w:val="auto"/>
        </w:rPr>
      </w:pPr>
    </w:p>
    <w:p>
      <w:pPr>
        <w:ind w:left="520" w:right="38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6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94615</wp:posOffset>
            </wp:positionV>
            <wp:extent cx="771525" cy="771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20" w:type="dxa"/>
            <w:vAlign w:val="bottom"/>
          </w:tcPr>
          <w:p>
            <w:pPr>
              <w:jc w:val="right"/>
              <w:ind w:right="40"/>
              <w:spacing w:after="0"/>
              <w:rPr>
                <w:sz w:val="20"/>
                <w:szCs w:val="20"/>
                <w:color w:val="auto"/>
              </w:rPr>
            </w:pPr>
            <w:r>
              <w:rPr>
                <w:rFonts w:ascii="Arial" w:cs="Arial" w:eastAsia="Arial" w:hAnsi="Arial"/>
                <w:sz w:val="18"/>
                <w:szCs w:val="18"/>
                <w:b w:val="1"/>
                <w:bCs w:val="1"/>
                <w:color w:val="auto"/>
              </w:rPr>
              <w:t>20-5336063</w:t>
            </w:r>
          </w:p>
        </w:tc>
      </w:tr>
      <w:tr>
        <w:trPr>
          <w:trHeight w:val="149"/>
        </w:trPr>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5120" w:type="dxa"/>
            <w:vAlign w:val="bottom"/>
          </w:tcPr>
          <w:p>
            <w:pPr>
              <w:jc w:val="center"/>
              <w:ind w:left="392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20" w:type="dxa"/>
            <w:vAlign w:val="bottom"/>
          </w:tcPr>
          <w:p>
            <w:pPr>
              <w:jc w:val="center"/>
              <w:ind w:left="3920"/>
              <w:spacing w:after="0"/>
              <w:rPr>
                <w:sz w:val="20"/>
                <w:szCs w:val="20"/>
                <w:color w:val="auto"/>
              </w:rPr>
            </w:pPr>
            <w:r>
              <w:rPr>
                <w:rFonts w:ascii="Arial" w:cs="Arial" w:eastAsia="Arial" w:hAnsi="Arial"/>
                <w:sz w:val="14"/>
                <w:szCs w:val="14"/>
                <w:b w:val="1"/>
                <w:bCs w:val="1"/>
                <w:color w:val="auto"/>
                <w:w w:val="94"/>
              </w:rPr>
              <w:t>Identification No.)</w:t>
            </w:r>
          </w:p>
        </w:tc>
      </w:tr>
      <w:tr>
        <w:trPr>
          <w:trHeight w:val="313"/>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3"/>
              </w:rPr>
              <w:t>2122 York Road, Oak Brook, IL</w:t>
            </w:r>
          </w:p>
        </w:tc>
        <w:tc>
          <w:tcPr>
            <w:tcW w:w="5120" w:type="dxa"/>
            <w:vAlign w:val="bottom"/>
          </w:tcPr>
          <w:p>
            <w:pPr>
              <w:jc w:val="right"/>
              <w:ind w:right="260"/>
              <w:spacing w:after="0"/>
              <w:rPr>
                <w:sz w:val="20"/>
                <w:szCs w:val="20"/>
                <w:color w:val="auto"/>
              </w:rPr>
            </w:pPr>
            <w:r>
              <w:rPr>
                <w:rFonts w:ascii="Arial" w:cs="Arial" w:eastAsia="Arial" w:hAnsi="Arial"/>
                <w:sz w:val="18"/>
                <w:szCs w:val="18"/>
                <w:b w:val="1"/>
                <w:bCs w:val="1"/>
                <w:color w:val="auto"/>
              </w:rPr>
              <w:t>60523</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20" w:type="dxa"/>
            <w:vAlign w:val="bottom"/>
          </w:tcPr>
          <w:p>
            <w:pPr>
              <w:jc w:val="center"/>
              <w:ind w:left="3940"/>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2480" w:type="dxa"/>
            <w:vAlign w:val="bottom"/>
          </w:tcPr>
          <w:p>
            <w:pPr>
              <w:spacing w:after="0"/>
              <w:rPr>
                <w:sz w:val="24"/>
                <w:szCs w:val="24"/>
                <w:color w:val="auto"/>
              </w:rPr>
            </w:pPr>
          </w:p>
        </w:tc>
        <w:tc>
          <w:tcPr>
            <w:tcW w:w="5120" w:type="dxa"/>
            <w:vAlign w:val="bottom"/>
          </w:tcPr>
          <w:p>
            <w:pPr>
              <w:jc w:val="right"/>
              <w:ind w:right="2820"/>
              <w:spacing w:after="0"/>
              <w:rPr>
                <w:sz w:val="20"/>
                <w:szCs w:val="20"/>
                <w:color w:val="auto"/>
              </w:rPr>
            </w:pPr>
            <w:r>
              <w:rPr>
                <w:rFonts w:ascii="Arial" w:cs="Arial" w:eastAsia="Arial" w:hAnsi="Arial"/>
                <w:sz w:val="18"/>
                <w:szCs w:val="18"/>
                <w:b w:val="1"/>
                <w:bCs w:val="1"/>
                <w:color w:val="auto"/>
              </w:rPr>
              <w:t>(630) 574-3000</w:t>
            </w:r>
          </w:p>
        </w:tc>
      </w:tr>
      <w:tr>
        <w:trPr>
          <w:trHeight w:val="186"/>
        </w:trPr>
        <w:tc>
          <w:tcPr>
            <w:tcW w:w="2480" w:type="dxa"/>
            <w:vAlign w:val="bottom"/>
          </w:tcPr>
          <w:p>
            <w:pPr>
              <w:spacing w:after="0"/>
              <w:rPr>
                <w:sz w:val="16"/>
                <w:szCs w:val="16"/>
                <w:color w:val="auto"/>
              </w:rPr>
            </w:pPr>
          </w:p>
        </w:tc>
        <w:tc>
          <w:tcPr>
            <w:tcW w:w="5120" w:type="dxa"/>
            <w:vAlign w:val="bottom"/>
          </w:tcPr>
          <w:p>
            <w:pPr>
              <w:jc w:val="center"/>
              <w:ind w:right="17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85090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1" w:lineRule="exact"/>
        <w:rPr>
          <w:sz w:val="24"/>
          <w:szCs w:val="24"/>
          <w:color w:val="auto"/>
        </w:rPr>
      </w:pPr>
    </w:p>
    <w:p>
      <w:pPr>
        <w:ind w:right="2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firstLine="518"/>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80" w:val="left"/>
          <w:tab w:leader="none" w:pos="128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92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34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92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4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101" w:lineRule="exact"/>
        <w:rPr>
          <w:sz w:val="24"/>
          <w:szCs w:val="24"/>
          <w:color w:val="auto"/>
        </w:rPr>
      </w:pPr>
    </w:p>
    <w:p>
      <w:pPr>
        <w:ind w:right="14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left="520" w:right="1360"/>
        <w:spacing w:after="0" w:line="30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2, 2018, 62,479,490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227965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291"/>
        </w:trPr>
        <w:tc>
          <w:tcPr>
            <w:tcW w:w="104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1660" w:type="dxa"/>
            <w:vAlign w:val="bottom"/>
            <w:tcBorders>
              <w:top w:val="single" w:sz="8" w:color="0000EE"/>
            </w:tcBorders>
            <w:gridSpan w:val="5"/>
          </w:tcPr>
          <w:p>
            <w:pPr>
              <w:spacing w:after="0"/>
              <w:rPr>
                <w:sz w:val="24"/>
                <w:szCs w:val="24"/>
                <w:color w:val="auto"/>
              </w:rPr>
            </w:pPr>
          </w:p>
        </w:tc>
        <w:tc>
          <w:tcPr>
            <w:tcW w:w="630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4"/>
                <w:szCs w:val="24"/>
                <w:color w:val="auto"/>
              </w:rPr>
            </w:pPr>
          </w:p>
        </w:tc>
        <w:tc>
          <w:tcPr>
            <w:tcW w:w="638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September 30, 2018 and December 31, 2017</w:t>
              </w:r>
            </w:hyperlink>
          </w:p>
        </w:tc>
        <w:tc>
          <w:tcPr>
            <w:tcW w:w="310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Condensed Consolidated Statements of Operations for the Three and Nine Months ended September 30, 2018 and 2017</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Comprehensive Loss for the Three and Nine Months ended September 30, 2018 and 2017</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1040" w:type="dxa"/>
            <w:vAlign w:val="bottom"/>
          </w:tcPr>
          <w:p>
            <w:pPr>
              <w:spacing w:after="0"/>
              <w:rPr>
                <w:sz w:val="24"/>
                <w:szCs w:val="24"/>
                <w:color w:val="auto"/>
              </w:rPr>
            </w:pPr>
          </w:p>
        </w:tc>
        <w:tc>
          <w:tcPr>
            <w:tcW w:w="758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Equity for the Nine Months Ended September 30, 2018 and 2017</w:t>
              </w:r>
            </w:hyperlink>
          </w:p>
        </w:tc>
        <w:tc>
          <w:tcPr>
            <w:tcW w:w="1760" w:type="dxa"/>
            <w:vAlign w:val="bottom"/>
            <w:tcBorders>
              <w:top w:val="single" w:sz="8" w:color="0000EE"/>
            </w:tcBorders>
            <w:gridSpan w:val="3"/>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1040" w:type="dxa"/>
            <w:vAlign w:val="bottom"/>
          </w:tcPr>
          <w:p>
            <w:pPr>
              <w:spacing w:after="0"/>
              <w:rPr>
                <w:sz w:val="24"/>
                <w:szCs w:val="24"/>
                <w:color w:val="auto"/>
              </w:rPr>
            </w:pPr>
          </w:p>
        </w:tc>
        <w:tc>
          <w:tcPr>
            <w:tcW w:w="79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Nine Months Ended September 30, 2018 and 2017</w:t>
              </w:r>
            </w:hyperlink>
          </w:p>
        </w:tc>
        <w:tc>
          <w:tcPr>
            <w:tcW w:w="154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104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48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02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Controls and Procedures</w:t>
              </w:r>
            </w:hyperlink>
          </w:p>
        </w:tc>
        <w:tc>
          <w:tcPr>
            <w:tcW w:w="768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04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 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2020" w:type="dxa"/>
            <w:vAlign w:val="bottom"/>
            <w:tcBorders>
              <w:top w:val="single" w:sz="8" w:color="0000EE"/>
            </w:tcBorders>
            <w:gridSpan w:val="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746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140" w:type="dxa"/>
            <w:vAlign w:val="bottom"/>
            <w:gridSpan w:val="1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Unregistered Sales of Equity Securities and Use of Proceeds</w:t>
              </w:r>
            </w:hyperlink>
          </w:p>
        </w:tc>
        <w:tc>
          <w:tcPr>
            <w:tcW w:w="512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Defaults Upon Senior Securities</w:t>
              </w:r>
            </w:hyperlink>
          </w:p>
        </w:tc>
        <w:tc>
          <w:tcPr>
            <w:tcW w:w="714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Mine Safety Disclosures</w:t>
              </w:r>
            </w:hyperlink>
          </w:p>
        </w:tc>
        <w:tc>
          <w:tcPr>
            <w:tcW w:w="770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9480" w:type="dxa"/>
            <w:vAlign w:val="bottom"/>
            <w:gridSpan w:val="2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816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720" w:type="dxa"/>
            <w:vAlign w:val="bottom"/>
            <w:gridSpan w:val="1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b w:val="1"/>
                <w:bCs w:val="1"/>
                <w:color w:val="0000EE"/>
                <w:w w:val="89"/>
              </w:rPr>
            </w:pPr>
            <w:hyperlink w:anchor="page37">
              <w:r>
                <w:rPr>
                  <w:rFonts w:ascii="Arial" w:cs="Arial" w:eastAsia="Arial" w:hAnsi="Arial"/>
                  <w:sz w:val="18"/>
                  <w:szCs w:val="18"/>
                  <w:b w:val="1"/>
                  <w:bCs w:val="1"/>
                  <w:color w:val="0000EE"/>
                  <w:w w:val="89"/>
                </w:rPr>
                <w:t>Signature</w:t>
              </w:r>
            </w:hyperlink>
          </w:p>
        </w:tc>
        <w:tc>
          <w:tcPr>
            <w:tcW w:w="8720" w:type="dxa"/>
            <w:vAlign w:val="bottom"/>
            <w:gridSpan w:val="19"/>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September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23,127</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Accounts receivable—net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86,665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75,533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 revenues in excess of billings</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36,151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90,788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32,004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34,600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39,411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45,411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217,358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262,184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365,491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407,294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GOODWILL AND OTHER INTANGIBLE ASSETS—Net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84,038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84,484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INVENTORIES—Noncurrent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56,821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54,023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JOINT VENTURES</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ASSETS HELD FOR SALE—Noncurrent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12,588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750,306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832,357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80,302</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87,659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47,411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56,218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Billings in excess of contract revenues</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139,774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321,727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30,882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25,605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25,561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525,871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611,061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700" w:type="dxa"/>
            <w:vAlign w:val="bottom"/>
            <w:gridSpan w:val="2"/>
          </w:tcPr>
          <w:p>
            <w:pPr>
              <w:spacing w:after="0"/>
              <w:rPr>
                <w:sz w:val="20"/>
                <w:szCs w:val="20"/>
                <w:color w:val="auto"/>
              </w:rPr>
            </w:pPr>
            <w:r>
              <w:rPr>
                <w:rFonts w:ascii="Arial" w:cs="Arial" w:eastAsia="Arial" w:hAnsi="Arial"/>
                <w:sz w:val="18"/>
                <w:szCs w:val="18"/>
                <w:color w:val="auto"/>
              </w:rPr>
              <w:t>COMMITMENTS AND CONTINGENCIES (Note 9)</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w w:val="92"/>
              </w:rPr>
              <w:t>Common stock—$.0001 par value; 90,000 authorized, 62,730 and 61,897 shares issued; 62,452 and</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61,619 shares outstanding at September 30, 2018 and December 31, 2017, respectively.</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Treasury stock, at cost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(1,433)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292,902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289,821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(67,271)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equity</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224,435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221,296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750,306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832,357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00" w:type="dxa"/>
            <w:vAlign w:val="bottom"/>
            <w:gridSpan w:val="3"/>
          </w:tcPr>
          <w:p>
            <w:pPr>
              <w:jc w:val="center"/>
              <w:ind w:left="3090"/>
              <w:spacing w:after="0"/>
              <w:rPr>
                <w:sz w:val="20"/>
                <w:szCs w:val="20"/>
                <w:color w:val="auto"/>
              </w:rPr>
            </w:pPr>
            <w:r>
              <w:rPr>
                <w:rFonts w:ascii="Arial" w:cs="Arial" w:eastAsia="Arial" w:hAnsi="Arial"/>
                <w:sz w:val="18"/>
                <w:szCs w:val="18"/>
                <w:color w:val="auto"/>
                <w:w w:val="88"/>
              </w:rPr>
              <w:t>See notes to unaudited condensed consolidated financial statements.</w:t>
            </w: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00" w:type="dxa"/>
            <w:vAlign w:val="bottom"/>
            <w:gridSpan w:val="2"/>
          </w:tcPr>
          <w:p>
            <w:pPr>
              <w:jc w:val="right"/>
              <w:ind w:right="185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6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204,322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163,317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501,505</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510,762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Costs of contract revenues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162,188</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143,499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422,426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455,850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42,134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19,818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79,079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17,293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17,522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48,406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Loss on sale of assets—net</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23,389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30,483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(8,062)</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(6,417)</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(25,719)</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(18,440)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Equity in earnings (loss) of joint ventures</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(266)</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Income (loss) from continuing operations before income taxes</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15,492</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(4,536)</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(19,581)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(3,790)</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Income (loss) from continuing operations</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11,702</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(3,228)</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(12,026)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Loss from discontinued operations, net of income taxes</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(12,697)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(loss) per share attributable to continuing operations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Basic loss per share attributable to discontinued operations, net of tax</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earnings (loss) per share</w:t>
            </w: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Basic weighted average shares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62,358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61,462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62,147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Diluted earnings (loss) per share attributable to continuing operations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0.18</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(0.05)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9"/>
                <w:szCs w:val="19"/>
                <w:color w:val="auto"/>
              </w:rPr>
            </w:pPr>
          </w:p>
        </w:tc>
        <w:tc>
          <w:tcPr>
            <w:tcW w:w="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Diluted loss per share attributable to discontinued operations, net of tax</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Diluted earnings (loss) per share</w:t>
            </w: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24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4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Diluted weighted average shares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63,260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61,462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63,340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(3,228)</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(24,723)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Currency translation adjustment—net of tax (1)</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 loss on derivatives—net of tax (2)</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(201)</w:t>
            </w: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Other comprehensive income (loss)—net of tax</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1,682</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80" w:right="520" w:hanging="572"/>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of $21 and $13 for the three months ended September 30, 2018 and 2017, respectively. Net of income tax (provision) benefit of $(551) and $46 for the nine months ended September 30, 2018 and 2017, respectively.</w:t>
      </w:r>
    </w:p>
    <w:p>
      <w:pPr>
        <w:spacing w:after="0" w:line="170" w:lineRule="exact"/>
        <w:rPr>
          <w:rFonts w:ascii="Arial" w:cs="Arial" w:eastAsia="Arial" w:hAnsi="Arial"/>
          <w:sz w:val="18"/>
          <w:szCs w:val="18"/>
          <w:color w:val="auto"/>
        </w:rPr>
      </w:pPr>
    </w:p>
    <w:p>
      <w:pPr>
        <w:ind w:left="580" w:right="80" w:hanging="572"/>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(provision) benefit of $(242) and $1,098 for the three months ended September 30, 2018 and 2017, respectively. Net of income tax (provision) benefit of $(1,191) and $151 for the nine months ended September 30, 2018 and 2017,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ind w:right="-79"/>
        <w:spacing w:after="0"/>
        <w:rPr>
          <w:sz w:val="20"/>
          <w:szCs w:val="20"/>
          <w:color w:val="auto"/>
        </w:rPr>
      </w:pPr>
      <w:r>
        <w:rPr>
          <w:rFonts w:ascii="Arial" w:cs="Arial" w:eastAsia="Arial" w:hAnsi="Arial"/>
          <w:sz w:val="16"/>
          <w:szCs w:val="16"/>
          <w:b w:val="1"/>
          <w:bCs w:val="1"/>
          <w:color w:val="auto"/>
        </w:rPr>
        <w:t>Great Lakes Dredge &amp; Dock Corporation and Subsidiaries</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360"/>
          </w:cols>
          <w:pgMar w:left="240" w:top="337"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BALANCE—January 1, 2018</w:t>
      </w:r>
    </w:p>
    <w:p>
      <w:pPr>
        <w:spacing w:after="0" w:line="163" w:lineRule="exact"/>
        <w:rPr>
          <w:sz w:val="20"/>
          <w:szCs w:val="20"/>
          <w:color w:val="auto"/>
        </w:rPr>
      </w:pPr>
    </w:p>
    <w:p>
      <w:pPr>
        <w:ind w:left="260"/>
        <w:spacing w:after="0" w:line="250" w:lineRule="auto"/>
        <w:rPr>
          <w:sz w:val="20"/>
          <w:szCs w:val="20"/>
          <w:color w:val="auto"/>
        </w:rPr>
      </w:pPr>
      <w:r>
        <w:rPr>
          <w:rFonts w:ascii="Arial" w:cs="Arial" w:eastAsia="Arial" w:hAnsi="Arial"/>
          <w:sz w:val="14"/>
          <w:szCs w:val="14"/>
          <w:color w:val="auto"/>
        </w:rPr>
        <w:t>Cumulative effect of recent accounting pronouncements Share-based compensation</w:t>
      </w:r>
    </w:p>
    <w:p>
      <w:pPr>
        <w:spacing w:after="0" w:line="1" w:lineRule="exact"/>
        <w:rPr>
          <w:sz w:val="20"/>
          <w:szCs w:val="20"/>
          <w:color w:val="auto"/>
        </w:rPr>
      </w:pPr>
    </w:p>
    <w:p>
      <w:pPr>
        <w:ind w:left="260" w:right="220"/>
        <w:spacing w:after="0" w:line="231" w:lineRule="auto"/>
        <w:rPr>
          <w:sz w:val="20"/>
          <w:szCs w:val="20"/>
          <w:color w:val="auto"/>
        </w:rPr>
      </w:pPr>
      <w:r>
        <w:rPr>
          <w:rFonts w:ascii="Arial" w:cs="Arial" w:eastAsia="Arial" w:hAnsi="Arial"/>
          <w:sz w:val="14"/>
          <w:szCs w:val="14"/>
          <w:color w:val="auto"/>
        </w:rPr>
        <w:t>Vesting of restricted stock units, including impact of shares withheld for taxes</w:t>
      </w:r>
    </w:p>
    <w:p>
      <w:pPr>
        <w:spacing w:after="0" w:line="1" w:lineRule="exact"/>
        <w:rPr>
          <w:sz w:val="20"/>
          <w:szCs w:val="20"/>
          <w:color w:val="auto"/>
        </w:rPr>
      </w:pPr>
    </w:p>
    <w:p>
      <w:pPr>
        <w:ind w:left="260" w:right="20"/>
        <w:spacing w:after="0" w:line="231" w:lineRule="auto"/>
        <w:rPr>
          <w:sz w:val="20"/>
          <w:szCs w:val="20"/>
          <w:color w:val="auto"/>
        </w:rPr>
      </w:pPr>
      <w:r>
        <w:rPr>
          <w:rFonts w:ascii="Arial" w:cs="Arial" w:eastAsia="Arial" w:hAnsi="Arial"/>
          <w:sz w:val="14"/>
          <w:szCs w:val="14"/>
          <w:color w:val="auto"/>
        </w:rPr>
        <w:t>Exercise of options and purchases from employee stock plans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income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 comprehensive income—net of tax</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BALANCE—September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BALANCE—January 1, 2017</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Share-based compensation</w:t>
      </w:r>
    </w:p>
    <w:p>
      <w:pPr>
        <w:spacing w:after="0" w:line="13" w:lineRule="exact"/>
        <w:rPr>
          <w:sz w:val="20"/>
          <w:szCs w:val="20"/>
          <w:color w:val="auto"/>
        </w:rPr>
      </w:pPr>
    </w:p>
    <w:p>
      <w:pPr>
        <w:ind w:left="260" w:right="220"/>
        <w:spacing w:after="0" w:line="231" w:lineRule="auto"/>
        <w:rPr>
          <w:sz w:val="20"/>
          <w:szCs w:val="20"/>
          <w:color w:val="auto"/>
        </w:rPr>
      </w:pPr>
      <w:r>
        <w:rPr>
          <w:rFonts w:ascii="Arial" w:cs="Arial" w:eastAsia="Arial" w:hAnsi="Arial"/>
          <w:sz w:val="14"/>
          <w:szCs w:val="14"/>
          <w:color w:val="auto"/>
        </w:rPr>
        <w:t>Vesting of restricted stock units, including impact of shares withheld for taxes</w:t>
      </w:r>
    </w:p>
    <w:p>
      <w:pPr>
        <w:spacing w:after="0" w:line="1" w:lineRule="exact"/>
        <w:rPr>
          <w:sz w:val="20"/>
          <w:szCs w:val="20"/>
          <w:color w:val="auto"/>
        </w:rPr>
      </w:pPr>
    </w:p>
    <w:p>
      <w:pPr>
        <w:ind w:left="260" w:right="20"/>
        <w:spacing w:after="0" w:line="231" w:lineRule="auto"/>
        <w:rPr>
          <w:sz w:val="20"/>
          <w:szCs w:val="20"/>
          <w:color w:val="auto"/>
        </w:rPr>
      </w:pPr>
      <w:r>
        <w:rPr>
          <w:rFonts w:ascii="Arial" w:cs="Arial" w:eastAsia="Arial" w:hAnsi="Arial"/>
          <w:sz w:val="14"/>
          <w:szCs w:val="14"/>
          <w:color w:val="auto"/>
        </w:rPr>
        <w:t>Exercise of options and purchases from employee stock plans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loss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 comprehensive income—net of tax</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BALANCE—September 30, 2017</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4"/>
              </w:rPr>
              <w:t>Shares of</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Shares of</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8"/>
              </w:rPr>
              <w:t>Common</w:t>
            </w:r>
          </w:p>
        </w:tc>
        <w:tc>
          <w:tcPr>
            <w:tcW w:w="240" w:type="dxa"/>
            <w:vAlign w:val="bottom"/>
          </w:tcPr>
          <w:p>
            <w:pPr>
              <w:spacing w:after="0"/>
              <w:rPr>
                <w:sz w:val="14"/>
                <w:szCs w:val="14"/>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8"/>
              </w:rPr>
              <w:t>Common</w:t>
            </w: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Treasury</w:t>
            </w:r>
          </w:p>
        </w:tc>
        <w:tc>
          <w:tcPr>
            <w:tcW w:w="860" w:type="dxa"/>
            <w:vAlign w:val="bottom"/>
            <w:gridSpan w:val="3"/>
          </w:tcPr>
          <w:p>
            <w:pPr>
              <w:jc w:val="center"/>
              <w:ind w:right="188"/>
              <w:spacing w:after="0"/>
              <w:rPr>
                <w:sz w:val="20"/>
                <w:szCs w:val="20"/>
                <w:color w:val="auto"/>
              </w:rPr>
            </w:pPr>
            <w:r>
              <w:rPr>
                <w:rFonts w:ascii="Arial" w:cs="Arial" w:eastAsia="Arial" w:hAnsi="Arial"/>
                <w:sz w:val="13"/>
                <w:szCs w:val="13"/>
                <w:b w:val="1"/>
                <w:bCs w:val="1"/>
                <w:color w:val="auto"/>
                <w:w w:val="87"/>
              </w:rPr>
              <w:t>Treasury</w:t>
            </w:r>
          </w:p>
        </w:tc>
        <w:tc>
          <w:tcPr>
            <w:tcW w:w="12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6"/>
        </w:trPr>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5"/>
              </w:rPr>
              <w:t>Deficit</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1"/>
              <w:spacing w:after="0"/>
              <w:rPr>
                <w:sz w:val="20"/>
                <w:szCs w:val="20"/>
                <w:color w:val="auto"/>
              </w:rPr>
            </w:pPr>
            <w:r>
              <w:rPr>
                <w:rFonts w:ascii="Arial" w:cs="Arial" w:eastAsia="Arial" w:hAnsi="Arial"/>
                <w:sz w:val="13"/>
                <w:szCs w:val="13"/>
                <w:b w:val="1"/>
                <w:bCs w:val="1"/>
                <w:color w:val="auto"/>
                <w:w w:val="87"/>
              </w:rPr>
              <w:t>Income</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4"/>
                <w:szCs w:val="14"/>
                <w:color w:val="auto"/>
              </w:rPr>
            </w:pPr>
          </w:p>
        </w:tc>
      </w:tr>
      <w:tr>
        <w:trPr>
          <w:trHeight w:val="307"/>
        </w:trPr>
        <w:tc>
          <w:tcPr>
            <w:tcW w:w="600" w:type="dxa"/>
            <w:vAlign w:val="bottom"/>
          </w:tcPr>
          <w:p>
            <w:pPr>
              <w:jc w:val="right"/>
              <w:spacing w:after="0"/>
              <w:rPr>
                <w:sz w:val="20"/>
                <w:szCs w:val="20"/>
                <w:color w:val="auto"/>
              </w:rPr>
            </w:pPr>
            <w:r>
              <w:rPr>
                <w:rFonts w:ascii="Arial" w:cs="Arial" w:eastAsia="Arial" w:hAnsi="Arial"/>
                <w:sz w:val="14"/>
                <w:szCs w:val="14"/>
                <w:color w:val="auto"/>
              </w:rPr>
              <w:t>61,897</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(278)</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08"/>
              <w:spacing w:after="0"/>
              <w:rPr>
                <w:sz w:val="20"/>
                <w:szCs w:val="20"/>
                <w:color w:val="auto"/>
              </w:rPr>
            </w:pPr>
            <w:r>
              <w:rPr>
                <w:rFonts w:ascii="Arial" w:cs="Arial" w:eastAsia="Arial" w:hAnsi="Arial"/>
                <w:sz w:val="14"/>
                <w:szCs w:val="14"/>
                <w:color w:val="auto"/>
              </w:rPr>
              <w:t>(1,433)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289,821</w:t>
            </w:r>
          </w:p>
        </w:tc>
        <w:tc>
          <w:tcPr>
            <w:tcW w:w="16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(67,101)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221,296</w:t>
            </w:r>
          </w:p>
        </w:tc>
        <w:tc>
          <w:tcPr>
            <w:tcW w:w="40" w:type="dxa"/>
            <w:vAlign w:val="bottom"/>
          </w:tcPr>
          <w:p>
            <w:pPr>
              <w:spacing w:after="0"/>
              <w:rPr>
                <w:sz w:val="24"/>
                <w:szCs w:val="24"/>
                <w:color w:val="auto"/>
              </w:rPr>
            </w:pPr>
          </w:p>
        </w:tc>
      </w:tr>
      <w:tr>
        <w:trPr>
          <w:trHeight w:val="304"/>
        </w:trPr>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(1,577)</w:t>
            </w:r>
          </w:p>
        </w:tc>
        <w:tc>
          <w:tcPr>
            <w:tcW w:w="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(1,577)</w:t>
            </w:r>
          </w:p>
        </w:tc>
      </w:tr>
      <w:tr>
        <w:trPr>
          <w:trHeight w:val="182"/>
        </w:trPr>
        <w:tc>
          <w:tcPr>
            <w:tcW w:w="600" w:type="dxa"/>
            <w:vAlign w:val="bottom"/>
          </w:tcPr>
          <w:p>
            <w:pPr>
              <w:jc w:val="right"/>
              <w:spacing w:after="0"/>
              <w:rPr>
                <w:sz w:val="20"/>
                <w:szCs w:val="20"/>
                <w:color w:val="auto"/>
              </w:rPr>
            </w:pPr>
            <w:r>
              <w:rPr>
                <w:rFonts w:ascii="Arial" w:cs="Arial" w:eastAsia="Arial" w:hAnsi="Arial"/>
                <w:sz w:val="14"/>
                <w:szCs w:val="14"/>
                <w:color w:val="auto"/>
              </w:rPr>
              <w:t>105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3,294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3,294</w:t>
            </w:r>
          </w:p>
        </w:tc>
        <w:tc>
          <w:tcPr>
            <w:tcW w:w="40" w:type="dxa"/>
            <w:vAlign w:val="bottom"/>
          </w:tcPr>
          <w:p>
            <w:pPr>
              <w:spacing w:after="0"/>
              <w:rPr>
                <w:sz w:val="15"/>
                <w:szCs w:val="15"/>
                <w:color w:val="auto"/>
              </w:rPr>
            </w:pPr>
          </w:p>
        </w:tc>
      </w:tr>
      <w:tr>
        <w:trPr>
          <w:trHeight w:val="230"/>
        </w:trPr>
        <w:tc>
          <w:tcPr>
            <w:tcW w:w="600" w:type="dxa"/>
            <w:vAlign w:val="bottom"/>
          </w:tcPr>
          <w:p>
            <w:pPr>
              <w:jc w:val="right"/>
              <w:spacing w:after="0"/>
              <w:rPr>
                <w:sz w:val="20"/>
                <w:szCs w:val="20"/>
                <w:color w:val="auto"/>
              </w:rPr>
            </w:pPr>
            <w:r>
              <w:rPr>
                <w:rFonts w:ascii="Arial" w:cs="Arial" w:eastAsia="Arial" w:hAnsi="Arial"/>
                <w:sz w:val="14"/>
                <w:szCs w:val="14"/>
                <w:color w:val="auto"/>
              </w:rPr>
              <w:t>492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(1,075)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(1,075)</w:t>
            </w:r>
          </w:p>
        </w:tc>
      </w:tr>
      <w:tr>
        <w:trPr>
          <w:trHeight w:val="311"/>
        </w:trPr>
        <w:tc>
          <w:tcPr>
            <w:tcW w:w="600" w:type="dxa"/>
            <w:vAlign w:val="bottom"/>
          </w:tcPr>
          <w:p>
            <w:pPr>
              <w:jc w:val="right"/>
              <w:spacing w:after="0"/>
              <w:rPr>
                <w:sz w:val="20"/>
                <w:szCs w:val="20"/>
                <w:color w:val="auto"/>
              </w:rPr>
            </w:pPr>
            <w:r>
              <w:rPr>
                <w:rFonts w:ascii="Arial" w:cs="Arial" w:eastAsia="Arial" w:hAnsi="Arial"/>
                <w:sz w:val="14"/>
                <w:szCs w:val="14"/>
                <w:color w:val="auto"/>
              </w:rPr>
              <w:t>236</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862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862</w:t>
            </w:r>
          </w:p>
        </w:tc>
        <w:tc>
          <w:tcPr>
            <w:tcW w:w="40" w:type="dxa"/>
            <w:vAlign w:val="bottom"/>
          </w:tcPr>
          <w:p>
            <w:pPr>
              <w:spacing w:after="0"/>
              <w:rPr>
                <w:sz w:val="24"/>
                <w:szCs w:val="24"/>
                <w:color w:val="auto"/>
              </w:rPr>
            </w:pPr>
          </w:p>
        </w:tc>
      </w:tr>
      <w:tr>
        <w:trPr>
          <w:trHeight w:val="223"/>
        </w:trPr>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1,407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1,407</w:t>
            </w:r>
          </w:p>
        </w:tc>
        <w:tc>
          <w:tcPr>
            <w:tcW w:w="40" w:type="dxa"/>
            <w:vAlign w:val="bottom"/>
          </w:tcPr>
          <w:p>
            <w:pPr>
              <w:spacing w:after="0"/>
              <w:rPr>
                <w:sz w:val="19"/>
                <w:szCs w:val="19"/>
                <w:color w:val="auto"/>
              </w:rPr>
            </w:pPr>
          </w:p>
        </w:tc>
      </w:tr>
      <w:tr>
        <w:trPr>
          <w:trHeight w:val="167"/>
        </w:trPr>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228</w:t>
            </w:r>
          </w:p>
        </w:tc>
        <w:tc>
          <w:tcPr>
            <w:tcW w:w="40" w:type="dxa"/>
            <w:vAlign w:val="bottom"/>
          </w:tcPr>
          <w:p>
            <w:pPr>
              <w:spacing w:after="0"/>
              <w:rPr>
                <w:sz w:val="14"/>
                <w:szCs w:val="14"/>
                <w:color w:val="auto"/>
              </w:rPr>
            </w:pPr>
          </w:p>
        </w:tc>
      </w:tr>
      <w:tr>
        <w:trPr>
          <w:trHeight w:val="156"/>
        </w:trPr>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62,730</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2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(1,433</w:t>
            </w:r>
          </w:p>
        </w:tc>
        <w:tc>
          <w:tcPr>
            <w:tcW w:w="24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292,902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(67,271)</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231</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224,435</w:t>
            </w:r>
          </w:p>
        </w:tc>
        <w:tc>
          <w:tcPr>
            <w:tcW w:w="40" w:type="dxa"/>
            <w:vAlign w:val="bottom"/>
          </w:tcPr>
          <w:p>
            <w:pPr>
              <w:spacing w:after="0"/>
              <w:rPr>
                <w:sz w:val="13"/>
                <w:szCs w:val="13"/>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16"/>
        </w:trPr>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4"/>
              </w:rPr>
              <w:t>Shares of</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Shares of</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8"/>
              </w:rPr>
              <w:t>Common</w:t>
            </w:r>
          </w:p>
        </w:tc>
        <w:tc>
          <w:tcPr>
            <w:tcW w:w="240" w:type="dxa"/>
            <w:vAlign w:val="bottom"/>
          </w:tcPr>
          <w:p>
            <w:pPr>
              <w:spacing w:after="0"/>
              <w:rPr>
                <w:sz w:val="14"/>
                <w:szCs w:val="14"/>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8"/>
              </w:rPr>
              <w:t>Common</w:t>
            </w: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Treasury</w:t>
            </w:r>
          </w:p>
        </w:tc>
        <w:tc>
          <w:tcPr>
            <w:tcW w:w="860" w:type="dxa"/>
            <w:vAlign w:val="bottom"/>
            <w:gridSpan w:val="3"/>
          </w:tcPr>
          <w:p>
            <w:pPr>
              <w:jc w:val="center"/>
              <w:ind w:right="188"/>
              <w:spacing w:after="0"/>
              <w:rPr>
                <w:sz w:val="20"/>
                <w:szCs w:val="20"/>
                <w:color w:val="auto"/>
              </w:rPr>
            </w:pPr>
            <w:r>
              <w:rPr>
                <w:rFonts w:ascii="Arial" w:cs="Arial" w:eastAsia="Arial" w:hAnsi="Arial"/>
                <w:sz w:val="13"/>
                <w:szCs w:val="13"/>
                <w:b w:val="1"/>
                <w:bCs w:val="1"/>
                <w:color w:val="auto"/>
                <w:w w:val="87"/>
              </w:rPr>
              <w:t>Treasury</w:t>
            </w:r>
          </w:p>
        </w:tc>
        <w:tc>
          <w:tcPr>
            <w:tcW w:w="12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6"/>
        </w:trPr>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5"/>
              </w:rPr>
              <w:t>Deficit</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1"/>
              <w:spacing w:after="0"/>
              <w:rPr>
                <w:sz w:val="20"/>
                <w:szCs w:val="20"/>
                <w:color w:val="auto"/>
              </w:rPr>
            </w:pPr>
            <w:r>
              <w:rPr>
                <w:rFonts w:ascii="Arial" w:cs="Arial" w:eastAsia="Arial" w:hAnsi="Arial"/>
                <w:sz w:val="13"/>
                <w:szCs w:val="13"/>
                <w:b w:val="1"/>
                <w:bCs w:val="1"/>
                <w:color w:val="auto"/>
                <w:w w:val="85"/>
              </w:rPr>
              <w:t>Income (loss)</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4"/>
                <w:szCs w:val="14"/>
                <w:color w:val="auto"/>
              </w:rPr>
            </w:pPr>
          </w:p>
        </w:tc>
      </w:tr>
      <w:tr>
        <w:trPr>
          <w:trHeight w:val="307"/>
        </w:trPr>
        <w:tc>
          <w:tcPr>
            <w:tcW w:w="600" w:type="dxa"/>
            <w:vAlign w:val="bottom"/>
          </w:tcPr>
          <w:p>
            <w:pPr>
              <w:jc w:val="right"/>
              <w:spacing w:after="0"/>
              <w:rPr>
                <w:sz w:val="20"/>
                <w:szCs w:val="20"/>
                <w:color w:val="auto"/>
              </w:rPr>
            </w:pPr>
            <w:r>
              <w:rPr>
                <w:rFonts w:ascii="Arial" w:cs="Arial" w:eastAsia="Arial" w:hAnsi="Arial"/>
                <w:sz w:val="14"/>
                <w:szCs w:val="14"/>
                <w:color w:val="auto"/>
              </w:rPr>
              <w:t>61,240</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(278)</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08"/>
              <w:spacing w:after="0"/>
              <w:rPr>
                <w:sz w:val="20"/>
                <w:szCs w:val="20"/>
                <w:color w:val="auto"/>
              </w:rPr>
            </w:pPr>
            <w:r>
              <w:rPr>
                <w:rFonts w:ascii="Arial" w:cs="Arial" w:eastAsia="Arial" w:hAnsi="Arial"/>
                <w:sz w:val="14"/>
                <w:szCs w:val="14"/>
                <w:color w:val="auto"/>
              </w:rPr>
              <w:t>(1,433)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286,303</w:t>
            </w:r>
          </w:p>
        </w:tc>
        <w:tc>
          <w:tcPr>
            <w:tcW w:w="16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(35,841)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(1,145)</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247,890</w:t>
            </w:r>
          </w:p>
        </w:tc>
        <w:tc>
          <w:tcPr>
            <w:tcW w:w="40" w:type="dxa"/>
            <w:vAlign w:val="bottom"/>
          </w:tcPr>
          <w:p>
            <w:pPr>
              <w:spacing w:after="0"/>
              <w:rPr>
                <w:sz w:val="24"/>
                <w:szCs w:val="24"/>
                <w:color w:val="auto"/>
              </w:rPr>
            </w:pPr>
          </w:p>
        </w:tc>
      </w:tr>
      <w:tr>
        <w:trPr>
          <w:trHeight w:val="324"/>
        </w:trPr>
        <w:tc>
          <w:tcPr>
            <w:tcW w:w="600" w:type="dxa"/>
            <w:vAlign w:val="bottom"/>
          </w:tcPr>
          <w:p>
            <w:pPr>
              <w:jc w:val="right"/>
              <w:spacing w:after="0"/>
              <w:rPr>
                <w:sz w:val="20"/>
                <w:szCs w:val="20"/>
                <w:color w:val="auto"/>
              </w:rPr>
            </w:pPr>
            <w:r>
              <w:rPr>
                <w:rFonts w:ascii="Arial" w:cs="Arial" w:eastAsia="Arial" w:hAnsi="Arial"/>
                <w:sz w:val="14"/>
                <w:szCs w:val="14"/>
                <w:color w:val="auto"/>
              </w:rPr>
              <w:t>208</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2,514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2,514</w:t>
            </w:r>
          </w:p>
        </w:tc>
        <w:tc>
          <w:tcPr>
            <w:tcW w:w="40" w:type="dxa"/>
            <w:vAlign w:val="bottom"/>
          </w:tcPr>
          <w:p>
            <w:pPr>
              <w:spacing w:after="0"/>
              <w:rPr>
                <w:sz w:val="24"/>
                <w:szCs w:val="24"/>
                <w:color w:val="auto"/>
              </w:rPr>
            </w:pPr>
          </w:p>
        </w:tc>
      </w:tr>
      <w:tr>
        <w:trPr>
          <w:trHeight w:val="230"/>
        </w:trPr>
        <w:tc>
          <w:tcPr>
            <w:tcW w:w="600" w:type="dxa"/>
            <w:vAlign w:val="bottom"/>
          </w:tcPr>
          <w:p>
            <w:pPr>
              <w:jc w:val="right"/>
              <w:spacing w:after="0"/>
              <w:rPr>
                <w:sz w:val="20"/>
                <w:szCs w:val="20"/>
                <w:color w:val="auto"/>
              </w:rPr>
            </w:pPr>
            <w:r>
              <w:rPr>
                <w:rFonts w:ascii="Arial" w:cs="Arial" w:eastAsia="Arial" w:hAnsi="Arial"/>
                <w:sz w:val="14"/>
                <w:szCs w:val="14"/>
                <w:color w:val="auto"/>
              </w:rPr>
              <w:t>147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(328)</w:t>
            </w:r>
          </w:p>
        </w:tc>
      </w:tr>
      <w:tr>
        <w:trPr>
          <w:trHeight w:val="311"/>
        </w:trPr>
        <w:tc>
          <w:tcPr>
            <w:tcW w:w="600" w:type="dxa"/>
            <w:vAlign w:val="bottom"/>
          </w:tcPr>
          <w:p>
            <w:pPr>
              <w:jc w:val="right"/>
              <w:spacing w:after="0"/>
              <w:rPr>
                <w:sz w:val="20"/>
                <w:szCs w:val="20"/>
                <w:color w:val="auto"/>
              </w:rPr>
            </w:pPr>
            <w:r>
              <w:rPr>
                <w:rFonts w:ascii="Arial" w:cs="Arial" w:eastAsia="Arial" w:hAnsi="Arial"/>
                <w:sz w:val="14"/>
                <w:szCs w:val="14"/>
                <w:color w:val="auto"/>
              </w:rPr>
              <w:t>258</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867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867</w:t>
            </w:r>
          </w:p>
        </w:tc>
        <w:tc>
          <w:tcPr>
            <w:tcW w:w="40" w:type="dxa"/>
            <w:vAlign w:val="bottom"/>
          </w:tcPr>
          <w:p>
            <w:pPr>
              <w:spacing w:after="0"/>
              <w:rPr>
                <w:sz w:val="24"/>
                <w:szCs w:val="24"/>
                <w:color w:val="auto"/>
              </w:rPr>
            </w:pPr>
          </w:p>
        </w:tc>
      </w:tr>
      <w:tr>
        <w:trPr>
          <w:trHeight w:val="223"/>
        </w:trPr>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(24,723)</w:t>
            </w:r>
          </w:p>
        </w:tc>
        <w:tc>
          <w:tcPr>
            <w:tcW w:w="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(24,723)</w:t>
            </w:r>
          </w:p>
        </w:tc>
      </w:tr>
      <w:tr>
        <w:trPr>
          <w:trHeight w:val="167"/>
        </w:trPr>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208</w:t>
            </w:r>
          </w:p>
        </w:tc>
        <w:tc>
          <w:tcPr>
            <w:tcW w:w="40" w:type="dxa"/>
            <w:vAlign w:val="bottom"/>
          </w:tcPr>
          <w:p>
            <w:pPr>
              <w:spacing w:after="0"/>
              <w:rPr>
                <w:sz w:val="14"/>
                <w:szCs w:val="14"/>
                <w:color w:val="auto"/>
              </w:rPr>
            </w:pPr>
          </w:p>
        </w:tc>
      </w:tr>
      <w:tr>
        <w:trPr>
          <w:trHeight w:val="156"/>
        </w:trPr>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61,853</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2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(1,433</w:t>
            </w:r>
          </w:p>
        </w:tc>
        <w:tc>
          <w:tcPr>
            <w:tcW w:w="24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289,356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(60,564)</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(937)</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226,428</w:t>
            </w:r>
          </w:p>
        </w:tc>
        <w:tc>
          <w:tcPr>
            <w:tcW w:w="40" w:type="dxa"/>
            <w:vAlign w:val="bottom"/>
          </w:tcPr>
          <w:p>
            <w:pPr>
              <w:spacing w:after="0"/>
              <w:rPr>
                <w:sz w:val="13"/>
                <w:szCs w:val="13"/>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-2940685</wp:posOffset>
            </wp:positionV>
            <wp:extent cx="7246620"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-2734945</wp:posOffset>
            </wp:positionV>
            <wp:extent cx="724662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-2529205</wp:posOffset>
            </wp:positionV>
            <wp:extent cx="7246620" cy="197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-2134870</wp:posOffset>
            </wp:positionV>
            <wp:extent cx="724662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-1929130</wp:posOffset>
            </wp:positionV>
            <wp:extent cx="724662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-1045845</wp:posOffset>
            </wp:positionV>
            <wp:extent cx="7246620" cy="102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-736600</wp:posOffset>
            </wp:positionV>
            <wp:extent cx="7246620" cy="197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-342265</wp:posOffset>
            </wp:positionV>
            <wp:extent cx="7246620"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-136525</wp:posOffset>
            </wp:positionV>
            <wp:extent cx="7246620"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80" w:space="300"/>
            <w:col w:w="7580"/>
          </w:cols>
          <w:pgMar w:left="240" w:top="337" w:right="299" w:bottom="1440" w:gutter="0" w:footer="0" w:header="0"/>
          <w:type w:val="continuous"/>
        </w:sectPr>
      </w:pPr>
    </w:p>
    <w:p>
      <w:pPr>
        <w:spacing w:after="0" w:line="4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gridSpan w:val="4"/>
          </w:tcPr>
          <w:p>
            <w:pPr>
              <w:jc w:val="right"/>
              <w:ind w:right="5"/>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7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185"/>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7300" w:type="dxa"/>
            <w:vAlign w:val="bottom"/>
            <w:tcBorders>
              <w:bottom w:val="single" w:sz="8" w:color="CFF0FC"/>
            </w:tcBorders>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7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Net income (loss)</w:t>
            </w:r>
          </w:p>
        </w:tc>
        <w:tc>
          <w:tcPr>
            <w:tcW w:w="152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1,407</w:t>
            </w:r>
          </w:p>
        </w:tc>
        <w:tc>
          <w:tcPr>
            <w:tcW w:w="160" w:type="dxa"/>
            <w:vAlign w:val="bottom"/>
          </w:tcPr>
          <w:p>
            <w:pPr>
              <w:spacing w:after="0"/>
              <w:rPr>
                <w:sz w:val="19"/>
                <w:szCs w:val="19"/>
                <w:color w:val="auto"/>
              </w:rPr>
            </w:pPr>
          </w:p>
        </w:tc>
        <w:tc>
          <w:tcPr>
            <w:tcW w:w="68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(24,723)</w:t>
            </w: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(12,697)</w:t>
            </w:r>
          </w:p>
        </w:tc>
        <w:tc>
          <w:tcPr>
            <w:tcW w:w="20" w:type="dxa"/>
            <w:vAlign w:val="bottom"/>
          </w:tcPr>
          <w:p>
            <w:pPr>
              <w:spacing w:after="0"/>
              <w:rPr>
                <w:sz w:val="19"/>
                <w:szCs w:val="19"/>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560" w:type="dxa"/>
            <w:vAlign w:val="bottom"/>
          </w:tcPr>
          <w:p>
            <w:pPr>
              <w:spacing w:after="0"/>
              <w:rPr>
                <w:sz w:val="19"/>
                <w:szCs w:val="19"/>
                <w:color w:val="auto"/>
              </w:rPr>
            </w:pP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w w:val="99"/>
              </w:rPr>
              <w:t>Adjustments to reconcile net income (loss) to net cash flows provided by operating activities: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41,290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38,707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in earnings of joint ventures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(2,988)</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(5,726)</w:t>
            </w: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Arial" w:cs="Arial" w:eastAsia="Arial" w:hAnsi="Arial"/>
                <w:sz w:val="18"/>
                <w:szCs w:val="18"/>
                <w:color w:val="auto"/>
              </w:rPr>
              <w:t>Cash distributions from joint ventures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4,486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extinguishment of 7 3/8% senior notes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(7,347)</w:t>
            </w: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sale of assets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Arial" w:cs="Arial" w:eastAsia="Arial" w:hAnsi="Arial"/>
                <w:sz w:val="18"/>
                <w:szCs w:val="18"/>
                <w:color w:val="auto"/>
              </w:rPr>
              <w:t>Other non-cash restructuring items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deferred financing fees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Arial" w:cs="Arial" w:eastAsia="Arial" w:hAnsi="Arial"/>
                <w:sz w:val="18"/>
                <w:szCs w:val="18"/>
                <w:color w:val="auto"/>
              </w:rPr>
              <w:t>Unrealized net loss from mark-to-market valuations of derivatives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foreign currency gain</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Arial" w:cs="Arial" w:eastAsia="Arial" w:hAnsi="Arial"/>
                <w:sz w:val="18"/>
                <w:szCs w:val="18"/>
                <w:color w:val="auto"/>
              </w:rPr>
              <w:t>Share-based compensation expense</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assets and liabilities: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(6,657)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8,794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Contract revenues in excess of billings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(3,443)</w:t>
            </w: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500"/>
              <w:spacing w:after="0"/>
              <w:rPr>
                <w:sz w:val="20"/>
                <w:szCs w:val="20"/>
                <w:color w:val="auto"/>
              </w:rPr>
            </w:pPr>
            <w:r>
              <w:rPr>
                <w:rFonts w:ascii="Arial" w:cs="Arial" w:eastAsia="Arial" w:hAnsi="Arial"/>
                <w:sz w:val="18"/>
                <w:szCs w:val="18"/>
                <w:color w:val="auto"/>
              </w:rPr>
              <w:t>Accounts payable and accrued expenses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(11,157)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(27,055)</w:t>
            </w: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Billings in excess of contract revenues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9"/>
                <w:szCs w:val="19"/>
                <w:color w:val="auto"/>
              </w:rPr>
            </w:pPr>
          </w:p>
        </w:tc>
      </w:tr>
      <w:tr>
        <w:trPr>
          <w:trHeight w:val="230"/>
        </w:trPr>
        <w:tc>
          <w:tcPr>
            <w:tcW w:w="7300" w:type="dxa"/>
            <w:vAlign w:val="bottom"/>
          </w:tcPr>
          <w:p>
            <w:pPr>
              <w:ind w:left="500"/>
              <w:spacing w:after="0"/>
              <w:rPr>
                <w:sz w:val="20"/>
                <w:szCs w:val="20"/>
                <w:color w:val="auto"/>
              </w:rPr>
            </w:pPr>
            <w:r>
              <w:rPr>
                <w:rFonts w:ascii="Arial" w:cs="Arial" w:eastAsia="Arial" w:hAnsi="Arial"/>
                <w:sz w:val="18"/>
                <w:szCs w:val="18"/>
                <w:color w:val="auto"/>
              </w:rPr>
              <w:t>Other noncurrent assets and liabilities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(4,147)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(482)</w:t>
            </w:r>
          </w:p>
        </w:tc>
        <w:tc>
          <w:tcPr>
            <w:tcW w:w="20" w:type="dxa"/>
            <w:vAlign w:val="bottom"/>
          </w:tcPr>
          <w:p>
            <w:pPr>
              <w:spacing w:after="0"/>
              <w:rPr>
                <w:sz w:val="19"/>
                <w:szCs w:val="19"/>
                <w:color w:val="auto"/>
              </w:rPr>
            </w:pPr>
          </w:p>
        </w:tc>
      </w:tr>
      <w:tr>
        <w:trPr>
          <w:trHeight w:val="223"/>
        </w:trPr>
        <w:tc>
          <w:tcPr>
            <w:tcW w:w="73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flows provided by operating activities from continuing operations</w:t>
            </w:r>
          </w:p>
        </w:tc>
        <w:tc>
          <w:tcPr>
            <w:tcW w:w="5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88,934</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23,498</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Arial" w:cs="Arial" w:eastAsia="Arial" w:hAnsi="Arial"/>
                <w:sz w:val="18"/>
                <w:szCs w:val="18"/>
                <w:color w:val="auto"/>
              </w:rPr>
              <w:t>Net cash flows used in operating activities of discontinued operations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(20,900)</w:t>
            </w:r>
          </w:p>
        </w:tc>
        <w:tc>
          <w:tcPr>
            <w:tcW w:w="20" w:type="dxa"/>
            <w:vAlign w:val="bottom"/>
          </w:tcPr>
          <w:p>
            <w:pPr>
              <w:spacing w:after="0"/>
              <w:rPr>
                <w:sz w:val="19"/>
                <w:szCs w:val="19"/>
                <w:color w:val="auto"/>
              </w:rPr>
            </w:pPr>
          </w:p>
        </w:tc>
      </w:tr>
      <w:tr>
        <w:trPr>
          <w:trHeight w:val="223"/>
        </w:trPr>
        <w:tc>
          <w:tcPr>
            <w:tcW w:w="73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Cash provided by operating activities</w:t>
            </w:r>
          </w:p>
        </w:tc>
        <w:tc>
          <w:tcPr>
            <w:tcW w:w="5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88,934</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2,598</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459"/>
        </w:trPr>
        <w:tc>
          <w:tcPr>
            <w:tcW w:w="73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(29,671)</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(49,377)</w:t>
            </w:r>
          </w:p>
        </w:tc>
        <w:tc>
          <w:tcPr>
            <w:tcW w:w="20" w:type="dxa"/>
            <w:vAlign w:val="bottom"/>
          </w:tcPr>
          <w:p>
            <w:pPr>
              <w:spacing w:after="0"/>
              <w:rPr>
                <w:sz w:val="19"/>
                <w:szCs w:val="19"/>
                <w:color w:val="auto"/>
              </w:rPr>
            </w:pPr>
          </w:p>
        </w:tc>
      </w:tr>
      <w:tr>
        <w:trPr>
          <w:trHeight w:val="230"/>
        </w:trPr>
        <w:tc>
          <w:tcPr>
            <w:tcW w:w="7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Proceeds from dispositions of property and equipment</w:t>
            </w:r>
          </w:p>
        </w:tc>
        <w:tc>
          <w:tcPr>
            <w:tcW w:w="5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9,198</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used in investing activities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(17,426)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(40,179)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648"/>
        </w:trPr>
        <w:tc>
          <w:tcPr>
            <w:tcW w:w="7300" w:type="dxa"/>
            <w:vAlign w:val="bottom"/>
          </w:tcPr>
          <w:p>
            <w:pPr>
              <w:ind w:left="566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3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gridSpan w:val="4"/>
          </w:tcPr>
          <w:p>
            <w:pPr>
              <w:jc w:val="right"/>
              <w:ind w:right="5"/>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185"/>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FINANCING ACTIVITIES:</w:t>
            </w:r>
          </w:p>
        </w:tc>
        <w:tc>
          <w:tcPr>
            <w:tcW w:w="136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00" w:type="dxa"/>
            <w:vAlign w:val="bottom"/>
            <w:gridSpan w:val="2"/>
            <w:vMerge w:val="continue"/>
          </w:tcPr>
          <w:p>
            <w:pPr>
              <w:spacing w:after="0"/>
              <w:rPr>
                <w:sz w:val="19"/>
                <w:szCs w:val="19"/>
                <w:color w:val="auto"/>
              </w:rPr>
            </w:pP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7 3/8% senior notes tender premium</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Deferred financing fees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(4,522)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Repayments of debt</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(1,428)</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(277,026)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Proceeds from issuance of debt</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326,241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Taxes paid on settlement of vested share awards</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(1,075)</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Exercise of options and purchases from employee stock plans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Borrowings under revolving loans</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Repayments of revolving loans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(82,118)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(103,536)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Cash provided by (used in) financing activities</w:t>
            </w:r>
          </w:p>
        </w:tc>
        <w:tc>
          <w:tcPr>
            <w:tcW w:w="13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(65,759)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30,377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3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3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3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23,127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12,490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360" w:type="dxa"/>
            <w:vAlign w:val="bottom"/>
          </w:tcPr>
          <w:p>
            <w:pPr>
              <w:spacing w:after="0"/>
              <w:rPr>
                <w:sz w:val="23"/>
                <w:szCs w:val="23"/>
                <w:color w:val="auto"/>
              </w:rPr>
            </w:pP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17,402</w:t>
            </w:r>
          </w:p>
        </w:tc>
        <w:tc>
          <w:tcPr>
            <w:tcW w:w="160" w:type="dxa"/>
            <w:vAlign w:val="bottom"/>
          </w:tcPr>
          <w:p>
            <w:pPr>
              <w:spacing w:after="0"/>
              <w:rPr>
                <w:sz w:val="23"/>
                <w:szCs w:val="23"/>
                <w:color w:val="auto"/>
              </w:rPr>
            </w:pPr>
          </w:p>
        </w:tc>
        <w:tc>
          <w:tcPr>
            <w:tcW w:w="68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20,986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income taxes</w:t>
            </w:r>
          </w:p>
        </w:tc>
        <w:tc>
          <w:tcPr>
            <w:tcW w:w="136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Property and equipment purchased but not yet paid</w:t>
            </w:r>
          </w:p>
        </w:tc>
        <w:tc>
          <w:tcPr>
            <w:tcW w:w="1360" w:type="dxa"/>
            <w:vAlign w:val="bottom"/>
          </w:tcPr>
          <w:p>
            <w:pPr>
              <w:spacing w:after="0"/>
              <w:rPr>
                <w:sz w:val="23"/>
                <w:szCs w:val="23"/>
                <w:color w:val="auto"/>
              </w:rPr>
            </w:pP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3,920</w:t>
            </w:r>
          </w:p>
        </w:tc>
        <w:tc>
          <w:tcPr>
            <w:tcW w:w="160" w:type="dxa"/>
            <w:vAlign w:val="bottom"/>
          </w:tcPr>
          <w:p>
            <w:pPr>
              <w:spacing w:after="0"/>
              <w:rPr>
                <w:sz w:val="23"/>
                <w:szCs w:val="23"/>
                <w:color w:val="auto"/>
              </w:rPr>
            </w:pPr>
          </w:p>
        </w:tc>
        <w:tc>
          <w:tcPr>
            <w:tcW w:w="68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Repayments of debt with proceeds from sale-leaseback transactions</w:t>
            </w:r>
          </w:p>
        </w:tc>
        <w:tc>
          <w:tcPr>
            <w:tcW w:w="136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13,034</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234"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2017.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September 30, 2018, and its results of operations for the three and nine months ended September 30, 2018 and 2017 and cash flows for the nine months ended September 30, 2018 and 2017 have been included.</w:t>
      </w:r>
    </w:p>
    <w:p>
      <w:pPr>
        <w:spacing w:after="0" w:line="59"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 xml:space="preserve">The Company adopted Accounting Standard Update No. 2016-18 (“ASU 2016-18”), </w:t>
      </w:r>
      <w:r>
        <w:rPr>
          <w:rFonts w:ascii="Arial" w:cs="Arial" w:eastAsia="Arial" w:hAnsi="Arial"/>
          <w:sz w:val="16"/>
          <w:szCs w:val="16"/>
          <w:i w:val="1"/>
          <w:iCs w:val="1"/>
          <w:color w:val="auto"/>
        </w:rPr>
        <w:t>Statement of Cashflows (Topic 230): Restricted Cash</w:t>
      </w:r>
      <w:r>
        <w:rPr>
          <w:rFonts w:ascii="Arial" w:cs="Arial" w:eastAsia="Arial" w:hAnsi="Arial"/>
          <w:sz w:val="16"/>
          <w:szCs w:val="16"/>
          <w:color w:val="auto"/>
        </w:rPr>
        <w:t xml:space="preserve"> on January 1, 2018. The amendments require that the statement of cash flows explain the changes during the period in the total of cash, cash equivalents, and amounts generally described as restricted cash or restricted cash equivalents. Therefore amounts generally described as restricted cash or restricted cash equivalents should be included with the cash and cash equivalents when reconciling the beginning-of-period and end-of-period total amounts shown on the statement of cash flows. The impact of the adoption of ASU 2016-18 has been applied retrospectively and the prior period presented has been recast.</w:t>
      </w:r>
    </w:p>
    <w:p>
      <w:pPr>
        <w:spacing w:after="0" w:line="50" w:lineRule="exact"/>
        <w:rPr>
          <w:sz w:val="20"/>
          <w:szCs w:val="20"/>
          <w:color w:val="auto"/>
        </w:rPr>
      </w:pPr>
    </w:p>
    <w:p>
      <w:pPr>
        <w:ind w:right="120"/>
        <w:spacing w:after="0" w:line="329" w:lineRule="auto"/>
        <w:rPr>
          <w:sz w:val="20"/>
          <w:szCs w:val="20"/>
          <w:color w:val="auto"/>
        </w:rPr>
      </w:pPr>
      <w:r>
        <w:rPr>
          <w:rFonts w:ascii="Arial" w:cs="Arial" w:eastAsia="Arial" w:hAnsi="Arial"/>
          <w:sz w:val="16"/>
          <w:szCs w:val="16"/>
          <w:color w:val="auto"/>
        </w:rPr>
        <w:t>The following table provides a reconciliation of cash, cash equivalents and restricted cash at September 30, 2018 and December 31, 2017 reported within the Condensed Consolidated Balance Sheets that sum to the total of the same such amounts shown in the Condensed Consolidated Statements of Cash Flows.</w:t>
      </w:r>
    </w:p>
    <w:tbl>
      <w:tblPr>
        <w:tblLayout w:type="fixed"/>
        <w:tblInd w:w="168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3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6"/>
              </w:rPr>
              <w:t>September 30, 2018</w:t>
            </w:r>
          </w:p>
        </w:tc>
        <w:tc>
          <w:tcPr>
            <w:tcW w:w="280" w:type="dxa"/>
            <w:vAlign w:val="bottom"/>
          </w:tcPr>
          <w:p>
            <w:pPr>
              <w:spacing w:after="0"/>
              <w:rPr>
                <w:sz w:val="14"/>
                <w:szCs w:val="14"/>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2017</w:t>
            </w: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tcBorders>
              <w:top w:val="single" w:sz="8" w:color="auto"/>
            </w:tcBorders>
            <w:shd w:val="clear" w:color="auto" w:fill="CFF0FC"/>
          </w:tcPr>
          <w:p>
            <w:pPr>
              <w:jc w:val="right"/>
              <w:ind w:right="32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23,127</w:t>
            </w:r>
          </w:p>
        </w:tc>
        <w:tc>
          <w:tcPr>
            <w:tcW w:w="2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15,852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 included in other long-term assets</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80" w:type="dxa"/>
            <w:vAlign w:val="bottom"/>
            <w:tcBorders>
              <w:bottom w:val="single" w:sz="8" w:color="CFF0FC"/>
            </w:tcBorders>
          </w:tcPr>
          <w:p>
            <w:pPr>
              <w:spacing w:after="0"/>
              <w:rPr>
                <w:sz w:val="19"/>
                <w:szCs w:val="19"/>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480" w:type="dxa"/>
            <w:vAlign w:val="bottom"/>
            <w:shd w:val="clear" w:color="auto" w:fill="CFF0FC"/>
          </w:tcPr>
          <w:p>
            <w:pPr>
              <w:jc w:val="right"/>
              <w:ind w:right="32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23,127</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17,352</w:t>
            </w:r>
          </w:p>
        </w:tc>
        <w:tc>
          <w:tcPr>
            <w:tcW w:w="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Effective beginning the first quarter of 2018, the Company changed the method of accounting for allocated fixed equipment costs for interim periods such that fixed equipment costs are now recognized as incurred. The Company adopted this change as a result of management’s belief that the new method is preferable and results in a more objective measure of quarterly expense that will better support planning and resource allocation decisions by management. The change has been applied retrospectively and all prior interim periods presented have been recast. The Company’s cost structure includes significant annual equipment-related costs, including depreciation, maintenance, insurance and long-term rentals. Previously, the Company allocated fixed equipment costs to interim periods in proportion to revenues recognized over the year. Specifically, at each interim reporting date the Company compared actual revenues earned to date on its dredging contracts to expected annual revenues and recognized equipment costs on the same proportionate basis. In the fourth quarter, any over or under allocated equipment costs are recognized such that the expense for the year equals actual equipment costs incurred during the year. The impact of the change in accounting policy on our Condensed Consolidated Statements of Operations and Condensed Consolidated Balance Sheets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Costs of contract revenues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September 30, 2017</w:t>
            </w:r>
          </w:p>
        </w:tc>
        <w:tc>
          <w:tcPr>
            <w:tcW w:w="200" w:type="dxa"/>
            <w:vAlign w:val="bottom"/>
          </w:tcPr>
          <w:p>
            <w:pPr>
              <w:spacing w:after="0"/>
              <w:rPr>
                <w:sz w:val="18"/>
                <w:szCs w:val="18"/>
                <w:color w:val="auto"/>
              </w:rPr>
            </w:pPr>
          </w:p>
        </w:tc>
        <w:tc>
          <w:tcPr>
            <w:tcW w:w="1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September 30, 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gridSpan w:val="2"/>
            <w:vMerge w:val="continue"/>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(3,123)</w:t>
            </w:r>
          </w:p>
        </w:tc>
        <w:tc>
          <w:tcPr>
            <w:tcW w:w="4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 benefit</w:t>
            </w:r>
          </w:p>
        </w:tc>
        <w:tc>
          <w:tcPr>
            <w:tcW w:w="1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1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(1,406)</w:t>
            </w:r>
          </w:p>
        </w:tc>
        <w:tc>
          <w:tcPr>
            <w:tcW w:w="2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1,717</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(2,296)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9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19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w w:val="98"/>
              </w:rPr>
              <w:t>Basic earnings (loss) per share attributable to continuing operations</w:t>
            </w:r>
          </w:p>
        </w:tc>
        <w:tc>
          <w:tcPr>
            <w:tcW w:w="19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w w:val="96"/>
              </w:rPr>
              <w:t>Diluted earnings (loss) per share attributable to continuing operations</w:t>
            </w:r>
          </w:p>
        </w:tc>
        <w:tc>
          <w:tcPr>
            <w:tcW w:w="19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0.03</w:t>
            </w:r>
          </w:p>
        </w:tc>
        <w:tc>
          <w:tcPr>
            <w:tcW w:w="4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760" w:type="dxa"/>
            <w:vAlign w:val="bottom"/>
          </w:tcPr>
          <w:p>
            <w:pPr>
              <w:jc w:val="right"/>
              <w:ind w:right="125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3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9" w:name="page10"/>
    <w:bookmarkEnd w:id="9"/>
    <w:tbl>
      <w:tblPr>
        <w:tblLayout w:type="fixed"/>
        <w:tblInd w:w="1140" w:type="dxa"/>
        <w:tblCellMar>
          <w:top w:w="0" w:type="dxa"/>
          <w:left w:w="0" w:type="dxa"/>
          <w:bottom w:w="0" w:type="dxa"/>
          <w:right w:w="0" w:type="dxa"/>
        </w:tblCellMar>
      </w:tblPr>
      <w:tr>
        <w:trPr>
          <w:trHeight w:val="171"/>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Prepaid expenses and other current assets</w:t>
            </w: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223"/>
        </w:trPr>
        <w:tc>
          <w:tcPr>
            <w:tcW w:w="5040" w:type="dxa"/>
            <w:vAlign w:val="bottom"/>
            <w:gridSpan w:val="2"/>
            <w:vMerge w:val="continue"/>
          </w:tcPr>
          <w:p>
            <w:pPr>
              <w:spacing w:after="0"/>
              <w:rPr>
                <w:sz w:val="19"/>
                <w:szCs w:val="19"/>
                <w:color w:val="auto"/>
              </w:rPr>
            </w:pPr>
          </w:p>
        </w:tc>
        <w:tc>
          <w:tcPr>
            <w:tcW w:w="206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tcPr>
          <w:p>
            <w:pPr>
              <w:ind w:left="1240"/>
              <w:spacing w:after="0"/>
              <w:rPr>
                <w:sz w:val="20"/>
                <w:szCs w:val="20"/>
                <w:color w:val="auto"/>
              </w:rPr>
            </w:pPr>
            <w:r>
              <w:rPr>
                <w:rFonts w:ascii="Arial" w:cs="Arial" w:eastAsia="Arial" w:hAnsi="Arial"/>
                <w:sz w:val="18"/>
                <w:szCs w:val="18"/>
                <w:color w:val="auto"/>
                <w:w w:val="84"/>
              </w:rPr>
              <w:t>(3,739)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ind w:left="1240"/>
              <w:spacing w:after="0"/>
              <w:rPr>
                <w:sz w:val="20"/>
                <w:szCs w:val="20"/>
                <w:color w:val="auto"/>
              </w:rPr>
            </w:pPr>
            <w:r>
              <w:rPr>
                <w:rFonts w:ascii="Arial" w:cs="Arial" w:eastAsia="Arial" w:hAnsi="Arial"/>
                <w:sz w:val="18"/>
                <w:szCs w:val="18"/>
                <w:color w:val="auto"/>
                <w:w w:val="98"/>
              </w:rPr>
              <w:t>(1,443)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Accumulated deficit</w:t>
            </w:r>
          </w:p>
        </w:tc>
        <w:tc>
          <w:tcPr>
            <w:tcW w:w="22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1240"/>
              <w:spacing w:after="0"/>
              <w:rPr>
                <w:sz w:val="20"/>
                <w:szCs w:val="20"/>
                <w:color w:val="auto"/>
              </w:rPr>
            </w:pPr>
            <w:r>
              <w:rPr>
                <w:rFonts w:ascii="Arial" w:cs="Arial" w:eastAsia="Arial" w:hAnsi="Arial"/>
                <w:sz w:val="18"/>
                <w:szCs w:val="18"/>
                <w:color w:val="auto"/>
                <w:w w:val="98"/>
              </w:rPr>
              <w:t>(2,296)</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 xml:space="preserve">The Company adopted Accounting Standard Update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and subsequently issued other Accounting Standard Updates related to Accounting Standards Codification Topic 606 (collectively, “ASC 606”) on January 1, 2018 under the modified retrospective method such that the cumulative effect is recognized at the date of initial application. The adoption of ASC 606 may result in a change in the timing of recognition of both contract revenue and costs from our prior practices. Upon the adoption of ASC 606, the Company recorded a cumulative net adjustment of $1,950 to the beginning retained earnings balance. Refer to Note 7, Revenue, for further discussion of the adoption of ASC 606.</w:t>
      </w:r>
    </w:p>
    <w:p>
      <w:pPr>
        <w:spacing w:after="0" w:line="15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In February 2018, the Financial Accounting Standards Board (“FASB”) issued Accounting Standard Update No. 2018-02 (“ASU 2018-02”), </w:t>
      </w:r>
      <w:r>
        <w:rPr>
          <w:rFonts w:ascii="Arial" w:cs="Arial" w:eastAsia="Arial" w:hAnsi="Arial"/>
          <w:sz w:val="17"/>
          <w:szCs w:val="17"/>
          <w:i w:val="1"/>
          <w:iCs w:val="1"/>
          <w:color w:val="auto"/>
        </w:rPr>
        <w:t>Income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Statement—Reporting Comprehensive Income (Topic 220): Reclassification of Certain Tax Effects from Accumulated Other Comprehensive Income. </w:t>
      </w:r>
      <w:r>
        <w:rPr>
          <w:rFonts w:ascii="Arial" w:cs="Arial" w:eastAsia="Arial" w:hAnsi="Arial"/>
          <w:sz w:val="17"/>
          <w:szCs w:val="17"/>
          <w:color w:val="auto"/>
        </w:rPr>
        <w:t>The new</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allows entities to reclassify from accumulated other comprehensive income to retained earnings stranded tax effects resulting from the Tax Cut and Jobs Act. The Company elected to early adopt ASU 2018-02 during the quarter ended March 31, 2018.</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components of costs of contract revenues include labor, equipment (including depreciation, maintenance, insurance and long-term rentals), subcontracts, fuel, supplies, short-term rentals and project overhead. Hourly labor is generally hired on a project-by-project basis. Costs of contract revenues vary significantly depending on the type and location of work performed and assets utilized.</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has two operating segments: dredging and environmental &amp; infrastructure, which are also the Company’s reportable segments and reporting units of which the Company tests goodwill for impairment. The Company performed its most recent annual test of impairment as of July 1, 2018 with no indication of impairment as of the test date. The Company will perform its next scheduled annual test of goodwill in the third quarter of 2019 should no triggering events occur which would require a test prior to the next annual test.</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condensed consolidated results of operations and comprehensive income for the interim periods presented herein are not necessarily indicative of the results to be expected for the full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In January 2017, the FASB issued Accounting Standard Update No. 2017-04 (“ASU 2017-04”), </w:t>
      </w:r>
      <w:r>
        <w:rPr>
          <w:rFonts w:ascii="Arial" w:cs="Arial" w:eastAsia="Arial" w:hAnsi="Arial"/>
          <w:sz w:val="17"/>
          <w:szCs w:val="17"/>
          <w:i w:val="1"/>
          <w:iCs w:val="1"/>
          <w:color w:val="auto"/>
        </w:rPr>
        <w:t>Intangibles—Goodwill and Other (Topic 350): Simplifying</w:t>
      </w:r>
      <w:r>
        <w:rPr>
          <w:rFonts w:ascii="Arial" w:cs="Arial" w:eastAsia="Arial" w:hAnsi="Arial"/>
          <w:sz w:val="17"/>
          <w:szCs w:val="17"/>
          <w:color w:val="auto"/>
        </w:rPr>
        <w:t xml:space="preserve"> </w:t>
      </w:r>
      <w:r>
        <w:rPr>
          <w:rFonts w:ascii="Arial" w:cs="Arial" w:eastAsia="Arial" w:hAnsi="Arial"/>
          <w:sz w:val="17"/>
          <w:szCs w:val="17"/>
          <w:i w:val="1"/>
          <w:iCs w:val="1"/>
          <w:color w:val="auto"/>
        </w:rPr>
        <w:t>the Test for Goodwill Impairment</w:t>
      </w:r>
      <w:r>
        <w:rPr>
          <w:rFonts w:ascii="Arial" w:cs="Arial" w:eastAsia="Arial" w:hAnsi="Arial"/>
          <w:sz w:val="17"/>
          <w:szCs w:val="17"/>
          <w:color w:val="auto"/>
        </w:rPr>
        <w:t>. The amendment removes the requirement to compare the implied fair value of goodwill with its carrying amount as part of</w:t>
      </w:r>
      <w:r>
        <w:rPr>
          <w:rFonts w:ascii="Arial" w:cs="Arial" w:eastAsia="Arial" w:hAnsi="Arial"/>
          <w:sz w:val="17"/>
          <w:szCs w:val="17"/>
          <w:i w:val="1"/>
          <w:iCs w:val="1"/>
          <w:color w:val="auto"/>
        </w:rPr>
        <w:t xml:space="preserve"> </w:t>
      </w:r>
      <w:r>
        <w:rPr>
          <w:rFonts w:ascii="Arial" w:cs="Arial" w:eastAsia="Arial" w:hAnsi="Arial"/>
          <w:sz w:val="17"/>
          <w:szCs w:val="17"/>
          <w:color w:val="auto"/>
        </w:rPr>
        <w:t>step 2 of the goodwill impairment test. The guidance is effective for fiscal years beginning after December 15, 2019. The Company does not anticipate that the adoption of ASU 2017-04 will have a material effect on the Company’s consolidated financial statements.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February 2016, the FASB issued Accounting Standard Update No. 2016-02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and subsequently issued other Accounting Standard Updates related to the Accounting Standards Codification Topic 842 (collectively, “ASC 842”). The FASB issued ASC 842 to increase the transparency and comparability among organizations by recognizing lease assets and lease liabilities on the balance sheet and disclosing key information about leasing arrangements. The guidance is effective for fiscal years beginning after December 15, 2018, including interim periods within those annual periods. The Company expects to adopt ASC 842 as of January 1, 2019 using the package of practical expedients that allow entities to retain the classification of lease contracts existing as of the date of adoption. The Company continues its implementation of ASC 842 as it relates to changes necessitated on our internal controls and processes to comply with the guidance. The Company expects the adoption of ASC 842 to result in a material increase to assets and liabilities on its consolidated balance sheets. As we expect full implementation of the standard to extend until year-end, the Company is still evaluating the effect of the adoption of ASC 842 on its consolidated statements of operations and statements of cash flows.</w:t>
      </w:r>
    </w:p>
    <w:p>
      <w:pPr>
        <w:spacing w:after="0" w:line="149"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jc w:val="both"/>
        <w:ind w:right="520"/>
        <w:spacing w:after="0" w:line="312" w:lineRule="auto"/>
        <w:rPr>
          <w:sz w:val="20"/>
          <w:szCs w:val="20"/>
          <w:color w:val="auto"/>
        </w:rPr>
      </w:pPr>
      <w:r>
        <w:rPr>
          <w:rFonts w:ascii="Arial" w:cs="Arial" w:eastAsia="Arial" w:hAnsi="Arial"/>
          <w:sz w:val="16"/>
          <w:szCs w:val="16"/>
          <w:color w:val="auto"/>
        </w:rPr>
        <w:t>Basic earnings per share is computed by dividing net income attributable to common stockholders by the weighted-average number of common shares outstanding during the reporting period. Diluted earnings per share is computed the same as basic earnings per share except that it reflects the potential dilution that could occur if dilutive securities or other obligations to issue common stock were exercised or converted into common stock.</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846"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computations for basic and diluted earnings (loss) per share are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200" w:type="dxa"/>
            <w:vAlign w:val="bottom"/>
            <w:gridSpan w:val="2"/>
          </w:tcPr>
          <w:p>
            <w:pPr>
              <w:spacing w:after="0"/>
              <w:rPr>
                <w:sz w:val="20"/>
                <w:szCs w:val="20"/>
                <w:color w:val="auto"/>
              </w:rPr>
            </w:pPr>
            <w:r>
              <w:rPr>
                <w:rFonts w:ascii="Arial" w:cs="Arial" w:eastAsia="Arial" w:hAnsi="Arial"/>
                <w:sz w:val="14"/>
                <w:szCs w:val="14"/>
                <w:b w:val="1"/>
                <w:bCs w:val="1"/>
                <w:color w:val="auto"/>
              </w:rPr>
              <w:t>(shares in thousands)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11,702</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(3,228)</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(12,026)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(12,697)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6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11,702</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(24,723)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520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 — basic</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62,358</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61,462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62,147</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61,290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Effect of stock options and restricted stock units</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3"/>
        </w:trPr>
        <w:tc>
          <w:tcPr>
            <w:tcW w:w="520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 — diluted</w:t>
            </w:r>
          </w:p>
        </w:tc>
        <w:tc>
          <w:tcPr>
            <w:tcW w:w="62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63,260</w:t>
            </w:r>
          </w:p>
        </w:tc>
        <w:tc>
          <w:tcPr>
            <w:tcW w:w="22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61,462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63,340</w:t>
            </w:r>
          </w:p>
        </w:tc>
        <w:tc>
          <w:tcPr>
            <w:tcW w:w="22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61,290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Earnings (loss) per share from continuing operations — basic</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(0.05)</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Earnings (loss) per share from continuing operations — diluted</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0.18</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0.02</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the quarter and nine months ended September 30, 2017, 611 and 646 options and restricted stock units, respectively, were excluded from the diluted weighted-average common shares outstanding as the Company incurred a loss during these periods.</w:t>
      </w:r>
    </w:p>
    <w:p>
      <w:pPr>
        <w:spacing w:after="0" w:line="170"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For the quarter and nine months ended September 30, 2018 and 2017, the following stock options and restricted stock units were excluded from the calculation of diluted earnings per share as such stock options and restricted stock units were determined to be anti-dilutive: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5520" w:type="dxa"/>
            <w:vAlign w:val="bottom"/>
            <w:gridSpan w:val="3"/>
          </w:tcPr>
          <w:p>
            <w:pPr>
              <w:ind w:left="300"/>
              <w:spacing w:after="0"/>
              <w:rPr>
                <w:sz w:val="20"/>
                <w:szCs w:val="20"/>
                <w:color w:val="auto"/>
              </w:rPr>
            </w:pPr>
            <w:r>
              <w:rPr>
                <w:rFonts w:ascii="Arial" w:cs="Arial" w:eastAsia="Arial" w:hAnsi="Arial"/>
                <w:sz w:val="14"/>
                <w:szCs w:val="14"/>
                <w:b w:val="1"/>
                <w:bCs w:val="1"/>
                <w:color w:val="auto"/>
              </w:rPr>
              <w:t>(shares in thousands)</w:t>
            </w:r>
          </w:p>
        </w:tc>
        <w:tc>
          <w:tcPr>
            <w:tcW w:w="2000" w:type="dxa"/>
            <w:vAlign w:val="bottom"/>
            <w:gridSpan w:val="6"/>
          </w:tcPr>
          <w:p>
            <w:pPr>
              <w:ind w:left="46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620" w:type="dxa"/>
            <w:vAlign w:val="bottom"/>
            <w:tcBorders>
              <w:top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201"/>
              <w:spacing w:after="0" w:line="155" w:lineRule="exact"/>
              <w:rPr>
                <w:sz w:val="20"/>
                <w:szCs w:val="20"/>
                <w:color w:val="auto"/>
              </w:rPr>
            </w:pPr>
            <w:r>
              <w:rPr>
                <w:rFonts w:ascii="Arial" w:cs="Arial" w:eastAsia="Arial" w:hAnsi="Arial"/>
                <w:sz w:val="14"/>
                <w:szCs w:val="14"/>
                <w:b w:val="1"/>
                <w:bCs w:val="1"/>
                <w:color w:val="auto"/>
              </w:rPr>
              <w:t>2018</w:t>
            </w:r>
          </w:p>
        </w:tc>
        <w:tc>
          <w:tcPr>
            <w:tcW w:w="1020" w:type="dxa"/>
            <w:vAlign w:val="bottom"/>
            <w:tcBorders>
              <w:top w:val="single" w:sz="8" w:color="auto"/>
            </w:tcBorders>
            <w:gridSpan w:val="3"/>
          </w:tcPr>
          <w:p>
            <w:pPr>
              <w:jc w:val="right"/>
              <w:ind w:right="300"/>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Effect of stock options and restricted stock units</w:t>
            </w: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1,224</w:t>
            </w:r>
          </w:p>
        </w:tc>
        <w:tc>
          <w:tcPr>
            <w:tcW w:w="1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1,489</w:t>
            </w:r>
          </w:p>
        </w:tc>
        <w:tc>
          <w:tcPr>
            <w:tcW w:w="1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1,399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35"/>
        </w:trPr>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rPr>
              <w:t>3.</w:t>
            </w:r>
          </w:p>
        </w:tc>
        <w:tc>
          <w:tcPr>
            <w:tcW w:w="5520" w:type="dxa"/>
            <w:vAlign w:val="bottom"/>
            <w:gridSpan w:val="3"/>
          </w:tcPr>
          <w:p>
            <w:pPr>
              <w:ind w:left="200"/>
              <w:spacing w:after="0"/>
              <w:rPr>
                <w:sz w:val="20"/>
                <w:szCs w:val="20"/>
                <w:color w:val="auto"/>
              </w:rPr>
            </w:pPr>
            <w:r>
              <w:rPr>
                <w:rFonts w:ascii="Arial" w:cs="Arial" w:eastAsia="Arial" w:hAnsi="Arial"/>
                <w:sz w:val="18"/>
                <w:szCs w:val="18"/>
                <w:b w:val="1"/>
                <w:bCs w:val="1"/>
                <w:color w:val="auto"/>
              </w:rPr>
              <w:t>Accrued expenses</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60" w:type="dxa"/>
            <w:vAlign w:val="bottom"/>
            <w:gridSpan w:val="4"/>
          </w:tcPr>
          <w:p>
            <w:pPr>
              <w:spacing w:after="0"/>
              <w:rPr>
                <w:sz w:val="20"/>
                <w:szCs w:val="20"/>
                <w:color w:val="auto"/>
              </w:rPr>
            </w:pPr>
            <w:r>
              <w:rPr>
                <w:rFonts w:ascii="Arial" w:cs="Arial" w:eastAsia="Arial" w:hAnsi="Arial"/>
                <w:sz w:val="18"/>
                <w:szCs w:val="18"/>
                <w:color w:val="auto"/>
                <w:w w:val="96"/>
              </w:rPr>
              <w:t>Accrued expenses at September 30, 2018 and December 31, 2017 are as follows:</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vMerge w:val="restart"/>
          </w:tcPr>
          <w:p>
            <w:pPr>
              <w:spacing w:after="0"/>
              <w:rPr>
                <w:sz w:val="11"/>
                <w:szCs w:val="11"/>
                <w:color w:val="auto"/>
              </w:rPr>
            </w:pPr>
          </w:p>
        </w:tc>
        <w:tc>
          <w:tcPr>
            <w:tcW w:w="4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8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13,185</w:t>
            </w:r>
          </w:p>
        </w:tc>
        <w:tc>
          <w:tcPr>
            <w:tcW w:w="160" w:type="dxa"/>
            <w:vAlign w:val="bottom"/>
            <w:shd w:val="clear" w:color="auto" w:fill="CFF0FC"/>
          </w:tcPr>
          <w:p>
            <w:pPr>
              <w:spacing w:after="0"/>
              <w:rPr>
                <w:sz w:val="19"/>
                <w:szCs w:val="19"/>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22,941</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Payroll and employee benefits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11,829</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3"/>
              </w:rPr>
              <w:t>8,747</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10,103</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4,210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Percentage of completion adjustment</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3,234</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3"/>
              </w:rPr>
              <w:t>3,591</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Income and other taxes</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2,193</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2,794</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Accrued rent</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458</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3"/>
              </w:rPr>
              <w:t>6,519</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6,409</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7,416</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0" w:type="dxa"/>
            <w:vAlign w:val="bottom"/>
            <w:gridSpan w:val="2"/>
          </w:tcPr>
          <w:p>
            <w:pPr>
              <w:ind w:left="560"/>
              <w:spacing w:after="0"/>
              <w:rPr>
                <w:sz w:val="20"/>
                <w:szCs w:val="20"/>
                <w:color w:val="auto"/>
              </w:rPr>
            </w:pPr>
            <w:r>
              <w:rPr>
                <w:rFonts w:ascii="Arial" w:cs="Arial" w:eastAsia="Arial" w:hAnsi="Arial"/>
                <w:sz w:val="18"/>
                <w:szCs w:val="18"/>
                <w:color w:val="auto"/>
              </w:rPr>
              <w:t>Total accrued expenses</w:t>
            </w:r>
          </w:p>
        </w:tc>
        <w:tc>
          <w:tcPr>
            <w:tcW w:w="6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47,411</w:t>
            </w:r>
          </w:p>
        </w:tc>
        <w:tc>
          <w:tcPr>
            <w:tcW w:w="16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56,218</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December 30, 2016, the Company, Great Lakes Dredge &amp; Dock Company, LLC, NASDI Holdings, LLC, Great Lakes Dredge &amp; Dock Environmental, Inc., Great Lakes Environmental &amp; Infrastructure Solutions, LLC and Great Lakes Environmental &amp; Infrastructure, LLC (collectively, the “Credit Parties”) entered into a revolving credit and security agreement, as subsequently amended, (the “Credit Agreement”) with certain financial institutions from time to time party thereto as lenders, PNC Bank, National Association, as Agent, PNC Capital Markets, CIBC Bank USA, Suntrust Robinson Humphrey, Inc., Capital One, National Association and Bank of America, N.A., as Joint Lead Arrangers and Joint Bookrunners, Texas Capital Bank, National Association, as Syndication Agent and Woodforest National Bank, as Documentation Agent. The Credit Agreement, which replaced the Company’s former revolving credit agreement, provides for a senior secured revolving credit facility in an aggregate principal amount of up to $250,000, subfacilities for the issuance of standby letters of credit up to a $250,000 sublimit and swingline loans up to a $25,000</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11" w:name="page12"/>
    <w:bookmarkEnd w:id="11"/>
    <w:p>
      <w:pPr>
        <w:ind w:right="180"/>
        <w:spacing w:after="0" w:line="257" w:lineRule="auto"/>
        <w:rPr>
          <w:sz w:val="20"/>
          <w:szCs w:val="20"/>
          <w:color w:val="auto"/>
        </w:rPr>
      </w:pPr>
      <w:r>
        <w:rPr>
          <w:rFonts w:ascii="Arial" w:cs="Arial" w:eastAsia="Arial" w:hAnsi="Arial"/>
          <w:sz w:val="18"/>
          <w:szCs w:val="18"/>
          <w:color w:val="auto"/>
        </w:rPr>
        <w:t>sublimit. The maximum borrowing capacity under the Credit Agreement is determined by a formula and may fluctuate depending on the value of the collateral included in such formula at the time of determination. The Credit Agreement also includes an increase option that will allow the Company to increase the senior secured revolving credit facility by an aggregate principal amount of up to $100,000. This increase is subject to lenders providing incremental commitments for such increase, the Credit Parties having adequate borrowing capacity and that no default or event of default exists both before and after giving effect to such incremental commitment increase.</w:t>
      </w:r>
    </w:p>
    <w:p>
      <w:pPr>
        <w:spacing w:after="0" w:line="8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Credit Agreement also provides for certain actions contemplated in the plan of restructuring with respect to the Company’s 2017 and 2018 fiscal years including allowing up to an aggregate of $20,000 of expenses related to the buy-out of operating leases and allowing capital expenditures planned but not incurred by all Credit Parties in fiscal year 2017 to be carried forward to fiscal year 2018; provided that, the aggregate amount of all capital expenditures incurred by all Credit Parties in fiscal years 2017 and 2018 does not exceed $135,000. Additionally, the Credit Agreement contains acknowledgments and agreements from the Agent and the required lenders with respect to certain EBITDA add-backs for fiscal years 2017 and 2018 described therein. See Note 8, Restructuring charges.</w:t>
      </w:r>
    </w:p>
    <w:p>
      <w:pPr>
        <w:spacing w:after="0" w:line="8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more than 1.10 to 1.00. The Company is required to maintain this ratio if its availability under the Credit Agreement falls below $31,250 for five consecutive days or $25,000 for one day. The Credit Parties are also restricted in the amount of capital expenditures they may make in each fiscal year. The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Credit Agreement will be unconditionally guaranteed, on a joint and several basis, by each existing and subsequently acquired or formed material direct and indirect domestic subsidiary of the Company. Borrowings under the Credit Agreement were or will be used to refinance existing indebtedness under the Company’s former revolving credit agreement, refinance existing indebtedness under the Company’s former term loan agreement, pay fees and expenses related to the Credit Agreement, finance acquisitions permitted under the Credit Agreement and finance ongoing working capital, and for other general corporate purposes. The Credit Agreement matures on December 30, 2019.</w:t>
      </w:r>
    </w:p>
    <w:p>
      <w:pPr>
        <w:spacing w:after="0" w:line="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obligations under the Credit Agreement are secured by substantially all of the assets of the Credit Parties. The outstanding obligations thereunder shall be secured by a valid first priority perfected lien on substantially all of the vessels of the Credit Parties and a valid perfected lien on all domestic accounts receivable and substantially all other assets of the Credit Parties, subject to the permitted liens and interests of other parties (including the Company’s surety bonding provider).</w:t>
      </w:r>
    </w:p>
    <w:p>
      <w:pPr>
        <w:spacing w:after="0" w:line="7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Interest on the senior secured revolving credit facility of the Credit Agreement is equal to either a base rate option or LIBOR option, at the Company’s election. The base rate option is (1) the base commercial lending rate of PNC Bank, National Association, as publicly announced plus (2)(a) an interest margin of 2.0% or (b) after the date on which a borrowing base certificate is required to be delivered under Section 9.2 of the Credit Agreement (commencing with the fiscal quarter ending December 31, 2017, the “Adjustment Date”), an interest margin ranging between 1.5% and 2.0% depending on the quarterly average undrawn availability on the senior secured revolving credit facility. The LIBOR option is the sum of (1) LIBOR and (2)(a) an interest margin of 3.0% or (b) after the Adjustment Date, an interest rate margin ranging between 2.5% to 3.0% per annum depending on the quarterly average undrawn availability on the senior secured revolving credit facility. The Credit Agreement is subject to an unused fee ranging from 0.25% to 0.375% per annum depending on the amount of average daily outstandings under the senior secured revolving credit facility.</w:t>
      </w:r>
    </w:p>
    <w:p>
      <w:pPr>
        <w:spacing w:after="0" w:line="1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September 30, 2018, the Company had $30,882 of borrowings on the revolver, $31,587 of letters of credit outstanding and $161,333 of availability under the Credit Agreement. The availability under the Credit Agreement is suppressed by $26,198 as of September 30, 2018 as a result of certain additional limitations set forth in the Credit Agreement.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Senior Notes and subsidiary guarantors</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May 2017, the Company issued $325,000 of 8.000% senior notes (“8% Senior Notes”) due May 15, 2022. The 8% Senior Notes were issued at 100% of face value resulting in net proceeds of $321,653, net of underwriting fees. In connection with the issuance of the 8% Senior Notes, the Company retired all of its $275,000 of 7.375% senior notes due February 2019 for $282,638, which included a tender premium and accrued and unpaid interest. The Company used the remaining net proceeds from the debt offering to reduce the Company’s indebtedness under its Credit Agreement.</w:t>
      </w:r>
    </w:p>
    <w:p>
      <w:pPr>
        <w:spacing w:after="0" w:line="154"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Company’s obligations under these Senior Notes are guaranteed by certain of the Company’s 100% owned domestic subsidiaries. Such guarantees are full, unconditional and joint and several. The parent company issuer has no independent assets or operations and all non-guarantor subsidiaries have been determined to be minor.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enters into note arrangements to finance certain vessels and ancillary equipment. The current portion of all equipment notes is $909. The long-term portion is $278 and is included in notes payable or other long-term liabilities. In February 2018, the Company completed a sale-leaseback of a vessel yielding net proceeds of $4,500. Included in this transaction was the retirement of the asset and related equipment note, and the transaction resulted in a deferred gain that will be amortized over the life of the lease.</w:t>
      </w:r>
    </w:p>
    <w:p>
      <w:pPr>
        <w:spacing w:after="0" w:line="169"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2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foreign currency risk or commodity price risk. The Company does not hold or issue derivatives for speculative or trading purposes. The fair values of these financial instruments are summarized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9"/>
          </w:tcPr>
          <w:p>
            <w:pPr>
              <w:jc w:val="right"/>
              <w:ind w:right="228"/>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ind w:right="24"/>
              <w:spacing w:after="0" w:line="133" w:lineRule="exact"/>
              <w:rPr>
                <w:sz w:val="20"/>
                <w:szCs w:val="20"/>
                <w:color w:val="auto"/>
              </w:rPr>
            </w:pPr>
            <w:r>
              <w:rPr>
                <w:rFonts w:ascii="Arial" w:cs="Arial" w:eastAsia="Arial" w:hAnsi="Arial"/>
                <w:sz w:val="14"/>
                <w:szCs w:val="14"/>
                <w:b w:val="1"/>
                <w:bCs w:val="1"/>
                <w:color w:val="auto"/>
                <w:w w:val="93"/>
              </w:rPr>
              <w:t>Quoted Prices in</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3"/>
              </w:rPr>
              <w:t>Significant Other</w:t>
            </w:r>
          </w:p>
        </w:tc>
        <w:tc>
          <w:tcPr>
            <w:tcW w:w="20" w:type="dxa"/>
            <w:vAlign w:val="bottom"/>
          </w:tcPr>
          <w:p>
            <w:pPr>
              <w:spacing w:after="0"/>
              <w:rPr>
                <w:sz w:val="11"/>
                <w:szCs w:val="11"/>
                <w:color w:val="auto"/>
              </w:rPr>
            </w:pPr>
          </w:p>
        </w:tc>
        <w:tc>
          <w:tcPr>
            <w:tcW w:w="10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vMerge w:val="restart"/>
          </w:tcPr>
          <w:p>
            <w:pPr>
              <w:spacing w:after="0"/>
              <w:rPr>
                <w:sz w:val="12"/>
                <w:szCs w:val="12"/>
                <w:color w:val="auto"/>
              </w:rPr>
            </w:pPr>
          </w:p>
        </w:tc>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7"/>
              </w:rPr>
              <w:t>At September 30, 2018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vMerge w:val="continue"/>
          </w:tcPr>
          <w:p>
            <w:pPr>
              <w:spacing w:after="0"/>
              <w:rPr>
                <w:sz w:val="14"/>
                <w:szCs w:val="14"/>
                <w:color w:val="auto"/>
              </w:rPr>
            </w:pPr>
          </w:p>
        </w:tc>
        <w:tc>
          <w:tcPr>
            <w:tcW w:w="4060" w:type="dxa"/>
            <w:vAlign w:val="bottom"/>
            <w:tcBorders>
              <w:bottom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Borders>
              <w:bottom w:val="single" w:sz="8" w:color="auto"/>
            </w:tcBorders>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94"/>
              </w:rPr>
              <w:t>(Level 3)</w:t>
            </w:r>
          </w:p>
        </w:tc>
        <w:tc>
          <w:tcPr>
            <w:tcW w:w="2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640" w:type="dxa"/>
            <w:vAlign w:val="bottom"/>
            <w:gridSpan w:val="3"/>
          </w:tcPr>
          <w:p>
            <w:pPr>
              <w:ind w:left="580"/>
              <w:spacing w:after="0"/>
              <w:rPr>
                <w:sz w:val="20"/>
                <w:szCs w:val="20"/>
                <w:color w:val="auto"/>
              </w:rPr>
            </w:pPr>
            <w:r>
              <w:rPr>
                <w:rFonts w:ascii="Arial" w:cs="Arial" w:eastAsia="Arial" w:hAnsi="Arial"/>
                <w:sz w:val="18"/>
                <w:szCs w:val="18"/>
                <w:color w:val="auto"/>
              </w:rPr>
              <w:t>Fuel hedge contracts</w:t>
            </w:r>
          </w:p>
        </w:tc>
        <w:tc>
          <w:tcPr>
            <w:tcW w:w="600" w:type="dxa"/>
            <w:vAlign w:val="bottom"/>
            <w:gridSpan w:val="3"/>
          </w:tcPr>
          <w:p>
            <w:pPr>
              <w:jc w:val="right"/>
              <w:ind w:right="308"/>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1,064</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888"/>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9"/>
          </w:tcPr>
          <w:p>
            <w:pPr>
              <w:jc w:val="right"/>
              <w:ind w:right="228"/>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6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3"/>
              </w:rPr>
              <w:t>Significant Other</w:t>
            </w:r>
          </w:p>
        </w:tc>
        <w:tc>
          <w:tcPr>
            <w:tcW w:w="20" w:type="dxa"/>
            <w:vAlign w:val="bottom"/>
          </w:tcPr>
          <w:p>
            <w:pPr>
              <w:spacing w:after="0"/>
              <w:rPr>
                <w:sz w:val="11"/>
                <w:szCs w:val="11"/>
                <w:color w:val="auto"/>
              </w:rPr>
            </w:pPr>
          </w:p>
        </w:tc>
        <w:tc>
          <w:tcPr>
            <w:tcW w:w="10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vMerge w:val="restart"/>
          </w:tcPr>
          <w:p>
            <w:pPr>
              <w:spacing w:after="0"/>
              <w:rPr>
                <w:sz w:val="12"/>
                <w:szCs w:val="12"/>
                <w:color w:val="auto"/>
              </w:rPr>
            </w:pPr>
          </w:p>
        </w:tc>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At December 31, 2017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vMerge w:val="continue"/>
          </w:tcPr>
          <w:p>
            <w:pPr>
              <w:spacing w:after="0"/>
              <w:rPr>
                <w:sz w:val="14"/>
                <w:szCs w:val="14"/>
                <w:color w:val="auto"/>
              </w:rPr>
            </w:pPr>
          </w:p>
        </w:tc>
        <w:tc>
          <w:tcPr>
            <w:tcW w:w="404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94"/>
              </w:rPr>
              <w:t>(Level 3)</w:t>
            </w:r>
          </w:p>
        </w:tc>
        <w:tc>
          <w:tcPr>
            <w:tcW w:w="2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640" w:type="dxa"/>
            <w:vAlign w:val="bottom"/>
            <w:gridSpan w:val="3"/>
          </w:tcPr>
          <w:p>
            <w:pPr>
              <w:ind w:left="580"/>
              <w:spacing w:after="0"/>
              <w:rPr>
                <w:sz w:val="20"/>
                <w:szCs w:val="20"/>
                <w:color w:val="auto"/>
              </w:rPr>
            </w:pPr>
            <w:r>
              <w:rPr>
                <w:rFonts w:ascii="Arial" w:cs="Arial" w:eastAsia="Arial" w:hAnsi="Arial"/>
                <w:sz w:val="18"/>
                <w:szCs w:val="18"/>
                <w:color w:val="auto"/>
              </w:rPr>
              <w:t>Fuel hedge contracts</w:t>
            </w:r>
          </w:p>
        </w:tc>
        <w:tc>
          <w:tcPr>
            <w:tcW w:w="600" w:type="dxa"/>
            <w:vAlign w:val="bottom"/>
            <w:gridSpan w:val="3"/>
          </w:tcPr>
          <w:p>
            <w:pPr>
              <w:jc w:val="right"/>
              <w:ind w:right="328"/>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2,501</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44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2,501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888"/>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is exposed to certain market risks, primarily commodity price risk as it relates to diesel fuel purchase requirements, which occur in the normal course of business. The Company enters into heating oil commodity swap contracts to hedge the risk that fluctuations in diesel fuel prices could have an adverse impact on cash flows associated with its domestic dredging contracts. The Company’s goal is to hedge approximately 80% of the fuel requirements for work in domestic backlog.</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September 30, 2018, the Company was party to various swap arrangements to hedge the price of a portion of its diesel fuel purchase requirements for work in its backlog to be performed through September 2019. As of September 30, 2018, there were 5.8 million gallons remaining on these contracts which represent approximately 80% of the Company’s forecasted domestic fuel purchases through September 2019. Under these swap agreements, the Company will pay fixed prices ranging from $1.94 to $2.23 per gallon.</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At September 30, 2018 and December 31, 2017, the fair value assets of the fuel hedge contracts were estimated to be $1,064 and $2,501, respectively, and are recorded in prepaid expenses and other current assets. For fuel hedge contracts considered to be highly effective, the gains reclassified to earnings from changes in fair value of derivatives, net of cash settlements and taxes, for the nine months ended September 30, 2018 were $2,211. The remaining gains and losses included in accumulated other comprehensive income at September 30, 2018 will be reclassified into earnings over the next twelve months, corresponding to the period during which the hedged fuel is expected to be utilized. Changes in the fair value of fuel hedge contracts not considered highly effective are recorded as cost of contract revenues in the Statement of Operations. The fair values of fuel hedges are corroborated using inputs that are readily observable in public markets; therefore, the Company determines fair value of these fuel hedges using Level 2 inputs.</w:t>
      </w:r>
    </w:p>
    <w:p>
      <w:pPr>
        <w:spacing w:after="0" w:line="16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fuel hedge contracts outstanding as of September 30, 2018 and December 31, 2017 is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Fair Value at</w:t>
            </w:r>
          </w:p>
        </w:tc>
        <w:tc>
          <w:tcPr>
            <w:tcW w:w="1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44"/>
              <w:spacing w:after="0" w:line="147" w:lineRule="exact"/>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center"/>
              <w:ind w:right="222"/>
              <w:spacing w:after="0" w:line="147"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520" w:type="dxa"/>
            <w:vAlign w:val="bottom"/>
            <w:gridSpan w:val="2"/>
          </w:tcPr>
          <w:p>
            <w:pPr>
              <w:ind w:left="46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504"/>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 derivatives:</w:t>
            </w:r>
          </w:p>
        </w:tc>
        <w:tc>
          <w:tcPr>
            <w:tcW w:w="480" w:type="dxa"/>
            <w:vAlign w:val="bottom"/>
            <w:tcBorders>
              <w:top w:val="single" w:sz="8" w:color="CFF0FC"/>
            </w:tcBorders>
            <w:shd w:val="clear" w:color="auto" w:fill="CFF0FC"/>
          </w:tcPr>
          <w:p>
            <w:pPr>
              <w:spacing w:after="0"/>
              <w:rPr>
                <w:sz w:val="19"/>
                <w:szCs w:val="19"/>
                <w:color w:val="auto"/>
              </w:rPr>
            </w:pPr>
          </w:p>
        </w:tc>
        <w:tc>
          <w:tcPr>
            <w:tcW w:w="20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Derivatives designated as hedging</w:t>
            </w:r>
          </w:p>
        </w:tc>
        <w:tc>
          <w:tcPr>
            <w:tcW w:w="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instruments</w:t>
            </w:r>
          </w:p>
        </w:tc>
        <w:tc>
          <w:tcPr>
            <w:tcW w:w="4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3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Fuel hedge contracts</w:t>
            </w:r>
          </w:p>
        </w:tc>
        <w:tc>
          <w:tcPr>
            <w:tcW w:w="252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w w:val="90"/>
              </w:rPr>
              <w:t>Prepaid expenses and other</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FF0FC"/>
          </w:tcPr>
          <w:p>
            <w:pPr>
              <w:spacing w:after="0"/>
              <w:rPr>
                <w:sz w:val="20"/>
                <w:szCs w:val="20"/>
                <w:color w:val="auto"/>
              </w:rPr>
            </w:pPr>
          </w:p>
        </w:tc>
        <w:tc>
          <w:tcPr>
            <w:tcW w:w="252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current assets</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2,501</w:t>
            </w:r>
          </w:p>
        </w:tc>
        <w:tc>
          <w:tcPr>
            <w:tcW w:w="80" w:type="dxa"/>
            <w:vAlign w:val="bottom"/>
            <w:shd w:val="clear" w:color="auto" w:fill="CFF0F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20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components of the accumulated balances of other comprehensive income (loss) are as follows:</w:t>
      </w:r>
    </w:p>
    <w:p>
      <w:pPr>
        <w:spacing w:after="0" w:line="298" w:lineRule="exact"/>
        <w:rPr>
          <w:sz w:val="20"/>
          <w:szCs w:val="20"/>
          <w:color w:val="auto"/>
        </w:rPr>
      </w:pPr>
    </w:p>
    <w:tbl>
      <w:tblPr>
        <w:tblLayout w:type="fixed"/>
        <w:tblInd w:w="4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60" w:type="dxa"/>
            <w:vAlign w:val="bottom"/>
            <w:gridSpan w:val="4"/>
          </w:tcPr>
          <w:p>
            <w:pPr>
              <w:jc w:val="right"/>
              <w:ind w:right="285"/>
              <w:spacing w:after="0"/>
              <w:rPr>
                <w:sz w:val="20"/>
                <w:szCs w:val="20"/>
                <w:color w:val="auto"/>
              </w:rPr>
            </w:pPr>
            <w:r>
              <w:rPr>
                <w:rFonts w:ascii="Arial" w:cs="Arial" w:eastAsia="Arial" w:hAnsi="Arial"/>
                <w:sz w:val="14"/>
                <w:szCs w:val="14"/>
                <w:b w:val="1"/>
                <w:bCs w:val="1"/>
                <w:color w:val="auto"/>
                <w:w w:val="92"/>
              </w:rPr>
              <w:t>Three Months Ended</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6"/>
          </w:tcPr>
          <w:p>
            <w:pPr>
              <w:ind w:lef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505"/>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Cumulative translation adjustments—net of tax</w:t>
            </w:r>
          </w:p>
        </w:tc>
        <w:tc>
          <w:tcPr>
            <w:tcW w:w="1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5"/>
              <w:spacing w:after="0" w:line="155" w:lineRule="exact"/>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397"/>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jc w:val="right"/>
              <w:ind w:right="66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uto"/>
            </w:tcBorders>
          </w:tcPr>
          <w:p>
            <w:pPr>
              <w:jc w:val="right"/>
              <w:ind w:right="74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tcPr>
          <w:p>
            <w:pPr>
              <w:ind w:left="240"/>
              <w:spacing w:after="0"/>
              <w:rPr>
                <w:sz w:val="20"/>
                <w:szCs w:val="20"/>
                <w:color w:val="auto"/>
              </w:rPr>
            </w:pPr>
            <w:r>
              <w:rPr>
                <w:rFonts w:ascii="Arial" w:cs="Arial" w:eastAsia="Arial" w:hAnsi="Arial"/>
                <w:sz w:val="18"/>
                <w:szCs w:val="18"/>
                <w:color w:val="auto"/>
                <w:w w:val="92"/>
              </w:rPr>
              <w:t>Reclassification of derivative (gains) losses to earnings—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ind w:left="240"/>
              <w:spacing w:after="0"/>
              <w:rPr>
                <w:sz w:val="20"/>
                <w:szCs w:val="20"/>
                <w:color w:val="auto"/>
              </w:rPr>
            </w:pPr>
            <w:r>
              <w:rPr>
                <w:rFonts w:ascii="Arial" w:cs="Arial" w:eastAsia="Arial" w:hAnsi="Arial"/>
                <w:sz w:val="18"/>
                <w:szCs w:val="18"/>
                <w:color w:val="auto"/>
              </w:rPr>
              <w:t>net of tax</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(2,211)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derivatives—net of tax</w:t>
            </w:r>
          </w:p>
        </w:tc>
        <w:tc>
          <w:tcPr>
            <w:tcW w:w="10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1,719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color w:val="auto"/>
              </w:rPr>
              <w:t>Net unrealized gain on derivatives—net of tax</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1,684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comprehensive income (loss)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6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4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1,682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Adjustments reclassified from accumulated balances of other comprehensive income (loss) to earnings are as follows: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4" w:name="page15"/>
    <w:bookmarkEnd w:id="14"/>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Nine Months Ended</w:t>
            </w:r>
          </w:p>
        </w:tc>
      </w:tr>
      <w:tr>
        <w:trPr>
          <w:trHeight w:val="201"/>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4"/>
          </w:tcPr>
          <w:p>
            <w:pPr>
              <w:ind w:left="40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r>
      <w:tr>
        <w:trPr>
          <w:trHeight w:val="210"/>
        </w:trPr>
        <w:tc>
          <w:tcPr>
            <w:tcW w:w="20" w:type="dxa"/>
            <w:vAlign w:val="bottom"/>
          </w:tcPr>
          <w:p>
            <w:pPr>
              <w:spacing w:after="0"/>
              <w:rPr>
                <w:sz w:val="18"/>
                <w:szCs w:val="18"/>
                <w:color w:val="auto"/>
              </w:rPr>
            </w:pPr>
          </w:p>
        </w:tc>
        <w:tc>
          <w:tcPr>
            <w:tcW w:w="4800" w:type="dxa"/>
            <w:vAlign w:val="bottom"/>
            <w:gridSpan w:val="2"/>
          </w:tcPr>
          <w:p>
            <w:pPr>
              <w:ind w:left="1820"/>
              <w:spacing w:after="0"/>
              <w:rPr>
                <w:sz w:val="20"/>
                <w:szCs w:val="20"/>
                <w:color w:val="auto"/>
              </w:rPr>
            </w:pPr>
            <w:r>
              <w:rPr>
                <w:rFonts w:ascii="Arial" w:cs="Arial" w:eastAsia="Arial" w:hAnsi="Arial"/>
                <w:sz w:val="14"/>
                <w:szCs w:val="14"/>
                <w:b w:val="1"/>
                <w:bCs w:val="1"/>
                <w:color w:val="auto"/>
              </w:rPr>
              <w:t>Statement of Operations Location</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w:t>
            </w:r>
          </w:p>
        </w:tc>
        <w:tc>
          <w:tcPr>
            <w:tcW w:w="2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tcPr>
          <w:p>
            <w:pPr>
              <w:ind w:left="240"/>
              <w:spacing w:after="0"/>
              <w:rPr>
                <w:sz w:val="20"/>
                <w:szCs w:val="20"/>
                <w:color w:val="auto"/>
              </w:rPr>
            </w:pPr>
            <w:r>
              <w:rPr>
                <w:rFonts w:ascii="Arial" w:cs="Arial" w:eastAsia="Arial" w:hAnsi="Arial"/>
                <w:sz w:val="18"/>
                <w:szCs w:val="18"/>
                <w:color w:val="auto"/>
              </w:rPr>
              <w:t>Fuel hedge contracts Costs of contract revenues</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(599)</w:t>
            </w:r>
          </w:p>
        </w:tc>
        <w:tc>
          <w:tcPr>
            <w:tcW w:w="740" w:type="dxa"/>
            <w:vAlign w:val="bottom"/>
            <w:gridSpan w:val="2"/>
          </w:tcPr>
          <w:p>
            <w:pPr>
              <w:jc w:val="right"/>
              <w:ind w:right="525"/>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(59)</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(2,995)</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shd w:val="clear" w:color="auto" w:fill="CFF0FC"/>
          </w:tcPr>
          <w:p>
            <w:pPr>
              <w:ind w:left="1820"/>
              <w:spacing w:after="0"/>
              <w:rPr>
                <w:sz w:val="20"/>
                <w:szCs w:val="20"/>
                <w:color w:val="auto"/>
              </w:rPr>
            </w:pPr>
            <w:r>
              <w:rPr>
                <w:rFonts w:ascii="Arial" w:cs="Arial" w:eastAsia="Arial" w:hAnsi="Arial"/>
                <w:sz w:val="18"/>
                <w:szCs w:val="18"/>
                <w:color w:val="auto"/>
              </w:rPr>
              <w:t>Income tax (provision) benefit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(157)</w:t>
            </w: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80"/>
              </w:rPr>
              <w:t>(442)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4"/>
              </w:rPr>
              <w:t>(35)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(2,211</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substantially completed the closeout of its Brazil operations, during the first quarter of 2018. This liquidation resulted in the reversal of the Company’s cumulative translation adjustment of $2,015, recorded during the first quarter of 2018, related to Brazil which is included in other expense in the Condensed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our revolving credit agreement approximates fair value. In May 2017, the Company issued a total of $325,000 of 8% senior notes due May 15, 2022, which were outstanding at September 30, 2018, refer to Note 4, Long-term debt. The 8% Senior Notes are senior unsecured obligations of the Company and its subsidiaries that guarantee the 8% Senior Notes. The fair value of the senior notes was $333,938 at September 30, 2018, which is a Level 1 fair value measurement as the senior notes’ value was obtained using quoted prices in active markets. It is impracticable to determine the fair value of outstanding letters of credit or performance, bid and payment bonds due to uncertainties as to the amount and timing of future obligations, if any.</w:t>
      </w:r>
    </w:p>
    <w:p>
      <w:pPr>
        <w:spacing w:after="0" w:line="160"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100" w:firstLine="45"/>
        <w:spacing w:after="0" w:line="279" w:lineRule="auto"/>
        <w:rPr>
          <w:sz w:val="20"/>
          <w:szCs w:val="20"/>
          <w:color w:val="auto"/>
        </w:rPr>
      </w:pPr>
      <w:r>
        <w:rPr>
          <w:rFonts w:ascii="Arial" w:cs="Arial" w:eastAsia="Arial" w:hAnsi="Arial"/>
          <w:sz w:val="17"/>
          <w:szCs w:val="17"/>
          <w:color w:val="auto"/>
        </w:rPr>
        <w:t>On May 11, 2017, the Company’s stockholders approved the Great Lakes Dredge &amp; Dock Corporation 2017 Long-Term Incentive Plan (the “Incentive Plan”), which previously had been approved by the Company’s board of directors subject to stockholder approval. The Incentive Plan permits the granting of stock options, stock appreciation rights, restricted stock and restricted stock units to the Company’s employees and directors for up to 3.3 million shares of common stock, plus an additional 1.7 million shares underlying equity awards issued under the 2007 Long-Term Incentive Plan.</w:t>
      </w:r>
    </w:p>
    <w:p>
      <w:pPr>
        <w:spacing w:after="0" w:line="17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During the nine months ended September 30, 2018, the Company granted 2,020 thousand restricted stock units to certain employees. In addition, all non-employee directors on the Company’s board of directors are paid a portion of their board-related compensation in stock grants or restricted stock units. Compensation cost charged to expense related to share-based compensation arrangements was $1,030 and $756 for the three months ended September 30, 2018 and 2017, respectively, and $3,294 and $2,514 for the nine months ended September 30, 2018 and 2017, respectively.</w:t>
      </w:r>
    </w:p>
    <w:p>
      <w:pPr>
        <w:spacing w:after="0" w:line="167"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revenue is derived from contracts for services with federal, state, local and foreign governmental entities and private customers. Dredging revenues are generally derived from the enhancement or preservation of navigability of waterways or the protection of shorelines through the removal or replenishment of soil, sand or rock. Revenues within the environmental &amp; infrastructure segment are generally generated from environmental and geotechnical construction as well as soil, water and sediment environmental remediation.</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Prior to January 1, 2018, the Company measured completion based on engineering estimates of the physical percentage completed for dredging contracts and based upon cost incurred to date compared to total estimated costs, also known as cost-to-cost, for environmental &amp; infrastructure contracts. Under the new accounting principle, the Company measures progress toward completion on all contracts utilizing the cost-to-cost method. Additionally, the Company capitalizes certain pre-contract and pre-construction costs, and defers recognition over the life of the contract. At September 30, 2018, the impact of this change in accounting principle on the Condensed Consolidated Balance Sheets is as follows: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5" w:name="page16"/>
    <w:bookmarkEnd w:id="15"/>
    <w:tbl>
      <w:tblPr>
        <w:tblLayout w:type="fixed"/>
        <w:tblInd w:w="17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Contract revenues in excess of billings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(18,363)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5,012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9"/>
                <w:szCs w:val="19"/>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Billings in excess of contract revenues</w:t>
            </w:r>
          </w:p>
        </w:tc>
        <w:tc>
          <w:tcPr>
            <w:tcW w:w="24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9"/>
                <w:szCs w:val="19"/>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nine months ended September 30, 2018, the impact of this change in accounting principle on the Condensed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is as follows:</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(20,281)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Cost of contract revenues</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(15,074)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upon which the Company’s revenue is calculated. A contract’s transaction price is allocated to each distinct performance obligation and recognized as revenue as the performance obligation is satisfied. Fixed-price contracts, which comprise substantially all of the Company’s revenue, will most often represent a single performance obligation as the promise to transfer the individual services is not separately identifiable from other promises in the contracts and, therefore, not distinct.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capitalizes certain pre-contract and pre-construction costs, and defers recognition over the life of the contract. The Company’s performance obligations are satisfied over time and revenue is recognized using contract fulfillment costs incurred to date compared to total estimated costs at completion, also known as cost-to-cost, to measure progress towards completion. As the Company’s performance creates an asset that customer controls, this method provides a faithful depiction of the transfer of an asset to the customer. Generally, the Company has an enforceable right to payment for performance completed to date.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dredging and environmental &amp; infrastructure segments typically satisfy their performance obligations upon completion of service. The majority of the Company’s contracts are completed in a year or less. At September 30, 2018, the Company had $689,158 of remaining performance obligations, which the Company refers to as total backlog. Approximately 39% of the Company’s backlog will be completed in 2018 with the remaining balance expected to be completed by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transaction price is calculated using the Company’s estimated costs to complete a project. These costs are based on the types of equipment required to perform the specified service, project site conditions, the estimated project duration, seasonality, location and complexity of a project.</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nature of the Company’s contracts gives rise to several types of variable consideration, including pay on quantity dredged for dredging projects and contract modifications for both dredging and environmental &amp; infrastructure projects. For dredging projects, estimated pay quantity is the amount of material the Company expects to dredge for which it will receive payment. Estimated quantity to be dredged is calculated using engineering estimates based on current survey data and the Company’s knowledge based on historical project experience. Contract modifications are changes in the scope or price (or both) of a contract that are approved by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8"/>
          <w:szCs w:val="18"/>
          <w:color w:val="auto"/>
        </w:rPr>
        <w:t>parties to the contract. The Company recognizes a contract modification when the parties to a contract approve a modification that either creates new, or changes existing, enforceable rights and obligations of the parties to the contract. Contract modifications are included in the transaction price only if it is probable that the modification estimate will not result in a significant reversal of revenue. Contract modifications are routine in the performance of the Company’s contracts. In most instances, contract modifications are for services that are not distinct, and, therefore, are accounted for as part of the existing contract.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Revisions in estimated gross profit percentages are recorded in the period during which the change in circumstances is experienced or becomes known. As the duration of most of the Company’s contracts is one year or less, the cumulative net impact of these revisions in estimates, individually and in the aggregate across our projects, does not significantly affect our results across annual reporting periods. Provisions for estimated losses on contracts in progress are made in the period in which such losses are determined.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series of tables presents our revenue disaggregated by several categories.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Domestically, our work generally is performed in coastal waterways and deep water ports. The U.S. dredging market consists of four primary types of work: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capital, coastal protection, maintenance and rivers &amp; lakes. Foreign projects typically involve capital work.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segment and type of work, the Company’s contract revenues for the periods ended:</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5"/>
          </w:tcPr>
          <w:p>
            <w:pPr>
              <w:jc w:val="right"/>
              <w:ind w:right="80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208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40" w:type="dxa"/>
            <w:vAlign w:val="bottom"/>
            <w:gridSpan w:val="5"/>
          </w:tcPr>
          <w:p>
            <w:pPr>
              <w:jc w:val="right"/>
              <w:ind w:right="104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21"/>
                <w:szCs w:val="21"/>
                <w:color w:val="auto"/>
              </w:rPr>
            </w:pPr>
          </w:p>
        </w:tc>
        <w:tc>
          <w:tcPr>
            <w:tcW w:w="208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23"/>
        </w:trPr>
        <w:tc>
          <w:tcPr>
            <w:tcW w:w="3020" w:type="dxa"/>
            <w:vAlign w:val="bottom"/>
          </w:tcPr>
          <w:p>
            <w:pPr>
              <w:spacing w:after="0"/>
              <w:rPr>
                <w:sz w:val="20"/>
                <w:szCs w:val="20"/>
                <w:color w:val="auto"/>
              </w:rPr>
            </w:pPr>
            <w:r>
              <w:rPr>
                <w:rFonts w:ascii="Arial" w:cs="Arial" w:eastAsia="Arial" w:hAnsi="Arial"/>
                <w:sz w:val="16"/>
                <w:szCs w:val="16"/>
                <w:b w:val="1"/>
                <w:bCs w:val="1"/>
                <w:color w:val="auto"/>
              </w:rPr>
              <w:t>Revenues (in thousands)</w:t>
            </w: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4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20" w:type="dxa"/>
            <w:vAlign w:val="bottom"/>
          </w:tcPr>
          <w:p>
            <w:pPr>
              <w:spacing w:after="0"/>
              <w:rPr>
                <w:sz w:val="20"/>
                <w:szCs w:val="20"/>
                <w:color w:val="auto"/>
              </w:rPr>
            </w:pPr>
            <w:r>
              <w:rPr>
                <w:rFonts w:ascii="Arial" w:cs="Arial" w:eastAsia="Arial" w:hAnsi="Arial"/>
                <w:sz w:val="16"/>
                <w:szCs w:val="16"/>
                <w:color w:val="auto"/>
              </w:rPr>
              <w:t>Dredging:</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Capital—U.S.</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105,934</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30,561</w:t>
            </w:r>
          </w:p>
        </w:tc>
        <w:tc>
          <w:tcPr>
            <w:tcW w:w="4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252,537</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128,634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020" w:type="dxa"/>
            <w:vAlign w:val="bottom"/>
          </w:tcPr>
          <w:p>
            <w:pPr>
              <w:ind w:left="240"/>
              <w:spacing w:after="0"/>
              <w:rPr>
                <w:sz w:val="20"/>
                <w:szCs w:val="20"/>
                <w:color w:val="auto"/>
              </w:rPr>
            </w:pPr>
            <w:r>
              <w:rPr>
                <w:rFonts w:ascii="Arial" w:cs="Arial" w:eastAsia="Arial" w:hAnsi="Arial"/>
                <w:sz w:val="16"/>
                <w:szCs w:val="16"/>
                <w:color w:val="auto"/>
              </w:rPr>
              <w:t>Capital—foreign</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5,045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5,849</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13,847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37,423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Coastal protection</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42,691</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40,726</w:t>
            </w:r>
          </w:p>
        </w:tc>
        <w:tc>
          <w:tcPr>
            <w:tcW w:w="4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122,673</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141,365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020" w:type="dxa"/>
            <w:vAlign w:val="bottom"/>
          </w:tcPr>
          <w:p>
            <w:pPr>
              <w:ind w:left="240"/>
              <w:spacing w:after="0"/>
              <w:rPr>
                <w:sz w:val="20"/>
                <w:szCs w:val="20"/>
                <w:color w:val="auto"/>
              </w:rPr>
            </w:pPr>
            <w:r>
              <w:rPr>
                <w:rFonts w:ascii="Arial" w:cs="Arial" w:eastAsia="Arial" w:hAnsi="Arial"/>
                <w:sz w:val="16"/>
                <w:szCs w:val="16"/>
                <w:color w:val="auto"/>
              </w:rPr>
              <w:t>Maintenance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11,581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42,282</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38,461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98,532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Rivers &amp; lakes</w:t>
            </w:r>
          </w:p>
        </w:tc>
        <w:tc>
          <w:tcPr>
            <w:tcW w:w="2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13,420</w:t>
            </w:r>
          </w:p>
        </w:tc>
        <w:tc>
          <w:tcPr>
            <w:tcW w:w="20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14,444</w:t>
            </w:r>
          </w:p>
        </w:tc>
        <w:tc>
          <w:tcPr>
            <w:tcW w:w="40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20,046</w:t>
            </w:r>
          </w:p>
        </w:tc>
        <w:tc>
          <w:tcPr>
            <w:tcW w:w="20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33,469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020" w:type="dxa"/>
            <w:vAlign w:val="bottom"/>
          </w:tcPr>
          <w:p>
            <w:pPr>
              <w:ind w:left="400"/>
              <w:spacing w:after="0"/>
              <w:rPr>
                <w:sz w:val="20"/>
                <w:szCs w:val="20"/>
                <w:color w:val="auto"/>
              </w:rPr>
            </w:pPr>
            <w:r>
              <w:rPr>
                <w:rFonts w:ascii="Arial" w:cs="Arial" w:eastAsia="Arial" w:hAnsi="Arial"/>
                <w:sz w:val="16"/>
                <w:szCs w:val="16"/>
                <w:color w:val="auto"/>
              </w:rPr>
              <w:t>Total dredging revenues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178,671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133,862</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447,564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439,423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Environmental &amp; infrastructure</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25,651</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29,667</w:t>
            </w:r>
          </w:p>
        </w:tc>
        <w:tc>
          <w:tcPr>
            <w:tcW w:w="4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53,941</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73,602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6"/>
                <w:szCs w:val="16"/>
                <w:color w:val="auto"/>
              </w:rPr>
              <w:t>Intersegment revenue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(212)</w:t>
            </w:r>
          </w:p>
        </w:tc>
        <w:tc>
          <w:tcPr>
            <w:tcW w:w="2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(2,263</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revenues</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02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204,322</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163,317</w:t>
            </w: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501,505</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510,762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segment and type of customer, the Company’s contract revenues for the periods ended:</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24"/>
        </w:trPr>
        <w:tc>
          <w:tcPr>
            <w:tcW w:w="3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gridSpan w:val="5"/>
          </w:tcPr>
          <w:p>
            <w:pPr>
              <w:jc w:val="right"/>
              <w:ind w:right="80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9"/>
                <w:szCs w:val="19"/>
                <w:color w:val="auto"/>
              </w:rPr>
            </w:pPr>
          </w:p>
        </w:tc>
        <w:tc>
          <w:tcPr>
            <w:tcW w:w="208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gridSpan w:val="5"/>
          </w:tcPr>
          <w:p>
            <w:pPr>
              <w:jc w:val="right"/>
              <w:ind w:right="104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9"/>
                <w:szCs w:val="19"/>
                <w:color w:val="auto"/>
              </w:rPr>
            </w:pPr>
          </w:p>
        </w:tc>
        <w:tc>
          <w:tcPr>
            <w:tcW w:w="208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23"/>
        </w:trPr>
        <w:tc>
          <w:tcPr>
            <w:tcW w:w="3020" w:type="dxa"/>
            <w:vAlign w:val="bottom"/>
          </w:tcPr>
          <w:p>
            <w:pPr>
              <w:spacing w:after="0"/>
              <w:rPr>
                <w:sz w:val="20"/>
                <w:szCs w:val="20"/>
                <w:color w:val="auto"/>
              </w:rPr>
            </w:pPr>
            <w:r>
              <w:rPr>
                <w:rFonts w:ascii="Arial" w:cs="Arial" w:eastAsia="Arial" w:hAnsi="Arial"/>
                <w:sz w:val="16"/>
                <w:szCs w:val="16"/>
                <w:b w:val="1"/>
                <w:bCs w:val="1"/>
                <w:color w:val="auto"/>
              </w:rPr>
              <w:t>Revenues (in thousands)</w:t>
            </w: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4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20" w:type="dxa"/>
            <w:vAlign w:val="bottom"/>
          </w:tcPr>
          <w:p>
            <w:pPr>
              <w:spacing w:after="0"/>
              <w:rPr>
                <w:sz w:val="20"/>
                <w:szCs w:val="20"/>
                <w:color w:val="auto"/>
              </w:rPr>
            </w:pPr>
            <w:r>
              <w:rPr>
                <w:rFonts w:ascii="Arial" w:cs="Arial" w:eastAsia="Arial" w:hAnsi="Arial"/>
                <w:sz w:val="16"/>
                <w:szCs w:val="16"/>
                <w:color w:val="auto"/>
              </w:rPr>
              <w:t>Dredging:</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Federal government</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144,050</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73,674</w:t>
            </w:r>
          </w:p>
        </w:tc>
        <w:tc>
          <w:tcPr>
            <w:tcW w:w="4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313,657</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271,162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020" w:type="dxa"/>
            <w:vAlign w:val="bottom"/>
          </w:tcPr>
          <w:p>
            <w:pPr>
              <w:ind w:left="240"/>
              <w:spacing w:after="0"/>
              <w:rPr>
                <w:sz w:val="20"/>
                <w:szCs w:val="20"/>
                <w:color w:val="auto"/>
              </w:rPr>
            </w:pPr>
            <w:r>
              <w:rPr>
                <w:rFonts w:ascii="Arial" w:cs="Arial" w:eastAsia="Arial" w:hAnsi="Arial"/>
                <w:sz w:val="16"/>
                <w:szCs w:val="16"/>
                <w:color w:val="auto"/>
              </w:rPr>
              <w:t>State and local government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7,107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52,070</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77,078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110,380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Private</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22,469</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2,269</w:t>
            </w:r>
          </w:p>
        </w:tc>
        <w:tc>
          <w:tcPr>
            <w:tcW w:w="4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42,982</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20,458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02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Foreign</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5,045</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5,849</w:t>
            </w:r>
          </w:p>
        </w:tc>
        <w:tc>
          <w:tcPr>
            <w:tcW w:w="4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13,847</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37,423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0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dredging revenues</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178,671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133,862</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447,564</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439,423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20" w:type="dxa"/>
            <w:vAlign w:val="bottom"/>
          </w:tcPr>
          <w:p>
            <w:pPr>
              <w:spacing w:after="0"/>
              <w:rPr>
                <w:sz w:val="20"/>
                <w:szCs w:val="20"/>
                <w:color w:val="auto"/>
              </w:rPr>
            </w:pPr>
            <w:r>
              <w:rPr>
                <w:rFonts w:ascii="Arial" w:cs="Arial" w:eastAsia="Arial" w:hAnsi="Arial"/>
                <w:sz w:val="16"/>
                <w:szCs w:val="16"/>
                <w:color w:val="auto"/>
              </w:rPr>
              <w:t>Environmental &amp; infrastructure:</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Private</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11,739</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12,786</w:t>
            </w:r>
          </w:p>
        </w:tc>
        <w:tc>
          <w:tcPr>
            <w:tcW w:w="4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29,140</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34,282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020" w:type="dxa"/>
            <w:vAlign w:val="bottom"/>
          </w:tcPr>
          <w:p>
            <w:pPr>
              <w:ind w:left="24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13,912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16,881</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24,801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39,320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Intersegment revenue</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(212)</w:t>
            </w:r>
          </w:p>
        </w:tc>
        <w:tc>
          <w:tcPr>
            <w:tcW w:w="2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(2,263</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6"/>
                <w:szCs w:val="16"/>
                <w:color w:val="auto"/>
              </w:rPr>
              <w:t>Total revenues</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020" w:type="dxa"/>
            <w:vAlign w:val="bottom"/>
            <w:vMerge w:val="continue"/>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204,322</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163,317</w:t>
            </w:r>
          </w:p>
        </w:tc>
        <w:tc>
          <w:tcPr>
            <w:tcW w:w="4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501,505</w:t>
            </w:r>
          </w:p>
        </w:tc>
        <w:tc>
          <w:tcPr>
            <w:tcW w:w="20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510,762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Foreign dredging revenue was $5,045 and $5,849 for the three months ended September 30, 2018 and 2017, respectively, and $13,847 and $37,423 for the nine months ended September 30, 2018 and 2017, respectively, and was mostly attributable to work done in the Middle East.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jc w:val="both"/>
        <w:spacing w:after="0" w:line="257" w:lineRule="auto"/>
        <w:rPr>
          <w:sz w:val="20"/>
          <w:szCs w:val="20"/>
          <w:color w:val="auto"/>
        </w:rPr>
      </w:pPr>
      <w:r>
        <w:rPr>
          <w:rFonts w:ascii="Arial" w:cs="Arial" w:eastAsia="Arial" w:hAnsi="Arial"/>
          <w:sz w:val="18"/>
          <w:szCs w:val="18"/>
          <w:color w:val="auto"/>
        </w:rPr>
        <w:t>Billings on contracts are generally submitted after verification with the customers of physical progress and are recognized as accounts receivable in the balance sheet. For billings that do not match the timing of revenue recognition, the difference between amounts billed and recognized as revenue is reflected in the balance sheet as either contract revenues in excess of billings or billings in excess of contract revenues. Certain pre-contract and pre-construction costs are capitalized and reflected as contract assets in the balance sheet. Customer advances, deposits and commissions are reflected in the balance sheet as contract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at September 30, 2018 and December 31, 2017 are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Completed contracts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29,501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Contracts in progress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43,541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42,759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Retainage</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14,252</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87,294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80,599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358"/>
        </w:trPr>
        <w:tc>
          <w:tcPr>
            <w:tcW w:w="5440" w:type="dxa"/>
            <w:vAlign w:val="bottom"/>
            <w:gridSpan w:val="2"/>
          </w:tcPr>
          <w:p>
            <w:pPr>
              <w:spacing w:after="0"/>
              <w:rPr>
                <w:sz w:val="20"/>
                <w:szCs w:val="20"/>
                <w:color w:val="auto"/>
              </w:rPr>
            </w:pPr>
            <w:r>
              <w:rPr>
                <w:rFonts w:ascii="Arial" w:cs="Arial" w:eastAsia="Arial" w:hAnsi="Arial"/>
                <w:sz w:val="18"/>
                <w:szCs w:val="18"/>
                <w:color w:val="auto"/>
              </w:rPr>
              <w:t>Total accounts receivable—net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86,665</w:t>
            </w:r>
          </w:p>
        </w:tc>
        <w:tc>
          <w:tcPr>
            <w:tcW w:w="2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5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accounts receivable—net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86,665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Long-term accounts receivable and retainage</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accounts receivable—net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86,665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80,008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contracts in progress at September 30, 2018 and December 31, 2017 are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Costs and earnings for contracts in progress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343,847</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558,557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Amounts billed</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(311,955)</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(490,732)</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31,892</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6,370</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Total contract revenues in excess of billings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38,262</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90,788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Current portion of contract revenues in excess of billings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36,151</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90,788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Long-term contract revenues in excess of billings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Total contract revenues in excess of billings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38,262</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Billings in excess of costs and earnings: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Amounts billed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(359,914)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(325,350)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Costs and earnings for contracts in progress</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348,762</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321,735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Total billings in excess of contract revenues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(11,152)</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amounts included in billings in excess of contract revenues balance at the beginning of the year, the Company recognized nearly all of the related revenue during the nine months ended September 30, 2018.</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September 30, 2018 and January 1, 2018, costs to fulfill contracts with customers recognized as an asset were $14,797 and $7,732, respectively, and are recorded in other current assets and other noncurrent assets. These costs relate to pre-contract and pre-construction activities. During the three and nine months ended September 30, 2018, the company amortized $6,249 and $13,045 of pre-construction costs, respectively.</w:t>
      </w:r>
    </w:p>
    <w:p>
      <w:pPr>
        <w:spacing w:after="0" w:line="378"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229" w:lineRule="exact"/>
        <w:rPr>
          <w:sz w:val="20"/>
          <w:szCs w:val="20"/>
          <w:color w:val="auto"/>
        </w:rPr>
      </w:pPr>
    </w:p>
    <w:p>
      <w:pPr>
        <w:ind w:right="200" w:firstLine="761"/>
        <w:spacing w:after="0" w:line="264" w:lineRule="auto"/>
        <w:rPr>
          <w:sz w:val="20"/>
          <w:szCs w:val="20"/>
          <w:color w:val="auto"/>
        </w:rPr>
      </w:pPr>
      <w:r>
        <w:rPr>
          <w:rFonts w:ascii="Arial" w:cs="Arial" w:eastAsia="Arial" w:hAnsi="Arial"/>
          <w:sz w:val="18"/>
          <w:szCs w:val="18"/>
          <w:color w:val="auto"/>
        </w:rPr>
        <w:t>In 2017, a strategic review was begun to improve the Company’s financial results in both domestic and international operations enabling debt reduction, improvements in return on capital and the continued renewal of our extensive fleet with new and efficient dredges to best serve our domestic and international clients. As a result of this review, management began execution of a plan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ind w:right="120"/>
        <w:spacing w:after="0" w:line="279" w:lineRule="auto"/>
        <w:rPr>
          <w:sz w:val="20"/>
          <w:szCs w:val="20"/>
          <w:color w:val="auto"/>
        </w:rPr>
      </w:pPr>
      <w:r>
        <w:rPr>
          <w:rFonts w:ascii="Arial" w:cs="Arial" w:eastAsia="Arial" w:hAnsi="Arial"/>
          <w:sz w:val="17"/>
          <w:szCs w:val="17"/>
          <w:color w:val="auto"/>
        </w:rPr>
        <w:t>to reduce general and administrative and overhead expenses, retire certain underperforming and underutilized assets, write-off pre-contract costs on a project that was never formally awarded and that the Company no longer intends to pursue and closeout the Company’s Brazil operations. These changes will result in total restructuring charges of approximately $42,000-$47,000, including severance of approximately $3,000, asset retirements of approximately $30,000-$34,000, pre-contract costs of approximately $6,500 and closeout costs of approximately $2,500-$3,500.</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Approximately $38,000-$43,000 of this charge consists of non-cash items including depreciation, loss on sale of assets and other items, approximating totals of $12,500-$14,500, $3,000-$5,000 and $21,500-$23,500,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currently recognized for the above actions are summarized as follows:</w:t>
      </w:r>
    </w:p>
    <w:p>
      <w:pPr>
        <w:spacing w:after="0" w:line="298" w:lineRule="exact"/>
        <w:rPr>
          <w:sz w:val="20"/>
          <w:szCs w:val="20"/>
          <w:color w:val="auto"/>
        </w:rPr>
      </w:pPr>
    </w:p>
    <w:tbl>
      <w:tblPr>
        <w:tblLayout w:type="fixed"/>
        <w:tblInd w:w="4100" w:type="dxa"/>
        <w:tblCellMar>
          <w:top w:w="0" w:type="dxa"/>
          <w:left w:w="0" w:type="dxa"/>
          <w:bottom w:w="0" w:type="dxa"/>
          <w:right w:w="0" w:type="dxa"/>
        </w:tblCellMar>
      </w:tblPr>
      <w:tr>
        <w:trPr>
          <w:trHeight w:val="186"/>
        </w:trPr>
        <w:tc>
          <w:tcPr>
            <w:tcW w:w="2280" w:type="dxa"/>
            <w:vAlign w:val="bottom"/>
            <w:gridSpan w:val="3"/>
          </w:tcPr>
          <w:p>
            <w:pPr>
              <w:jc w:val="center"/>
              <w:ind w:left="808"/>
              <w:spacing w:after="0"/>
              <w:rPr>
                <w:sz w:val="20"/>
                <w:szCs w:val="20"/>
                <w:color w:val="auto"/>
              </w:rPr>
            </w:pPr>
            <w:r>
              <w:rPr>
                <w:rFonts w:ascii="Arial" w:cs="Arial" w:eastAsia="Arial" w:hAnsi="Arial"/>
                <w:sz w:val="14"/>
                <w:szCs w:val="14"/>
                <w:b w:val="1"/>
                <w:bCs w:val="1"/>
                <w:color w:val="auto"/>
                <w:w w:val="95"/>
              </w:rPr>
              <w:t>Three Months Ended</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40" w:type="dxa"/>
            <w:vAlign w:val="bottom"/>
            <w:gridSpan w:val="3"/>
          </w:tcPr>
          <w:p>
            <w:pPr>
              <w:jc w:val="center"/>
              <w:ind w:right="848"/>
              <w:spacing w:after="0"/>
              <w:rPr>
                <w:sz w:val="20"/>
                <w:szCs w:val="20"/>
                <w:color w:val="auto"/>
              </w:rPr>
            </w:pPr>
            <w:r>
              <w:rPr>
                <w:rFonts w:ascii="Arial" w:cs="Arial" w:eastAsia="Arial" w:hAnsi="Arial"/>
                <w:sz w:val="14"/>
                <w:szCs w:val="14"/>
                <w:b w:val="1"/>
                <w:bCs w:val="1"/>
                <w:color w:val="auto"/>
                <w:w w:val="94"/>
              </w:rPr>
              <w:t>Nine Months Ended</w:t>
            </w:r>
          </w:p>
        </w:tc>
      </w:tr>
      <w:tr>
        <w:trPr>
          <w:trHeight w:val="215"/>
        </w:trPr>
        <w:tc>
          <w:tcPr>
            <w:tcW w:w="2280" w:type="dxa"/>
            <w:vAlign w:val="bottom"/>
            <w:tcBorders>
              <w:bottom w:val="single" w:sz="8" w:color="auto"/>
            </w:tcBorders>
            <w:gridSpan w:val="3"/>
          </w:tcPr>
          <w:p>
            <w:pPr>
              <w:jc w:val="center"/>
              <w:ind w:left="808"/>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center"/>
              <w:ind w:right="848"/>
              <w:spacing w:after="0"/>
              <w:rPr>
                <w:sz w:val="20"/>
                <w:szCs w:val="20"/>
                <w:color w:val="auto"/>
              </w:rPr>
            </w:pPr>
            <w:r>
              <w:rPr>
                <w:rFonts w:ascii="Arial" w:cs="Arial" w:eastAsia="Arial" w:hAnsi="Arial"/>
                <w:sz w:val="14"/>
                <w:szCs w:val="14"/>
                <w:b w:val="1"/>
                <w:bCs w:val="1"/>
                <w:color w:val="auto"/>
                <w:w w:val="91"/>
              </w:rPr>
              <w:t>September 30,</w:t>
            </w:r>
          </w:p>
        </w:tc>
      </w:tr>
      <w:tr>
        <w:trPr>
          <w:trHeight w:val="223"/>
        </w:trPr>
        <w:tc>
          <w:tcPr>
            <w:tcW w:w="14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w w:val="96"/>
              </w:rPr>
              <w:t>2017</w:t>
            </w:r>
          </w:p>
        </w:tc>
        <w:tc>
          <w:tcPr>
            <w:tcW w:w="3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13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Costs of contract revenues—depreciation</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Costs of contract revenues—other</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General and administrative expenses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Loss on sale of assets—net</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w:t>
      </w:r>
    </w:p>
    <w:p>
      <w:pPr>
        <w:spacing w:after="0" w:line="3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Total Dredging</w:t>
      </w:r>
    </w:p>
    <w:p>
      <w:pPr>
        <w:spacing w:after="0" w:line="256" w:lineRule="exact"/>
        <w:rPr>
          <w:sz w:val="20"/>
          <w:szCs w:val="20"/>
          <w:color w:val="auto"/>
        </w:rPr>
      </w:pPr>
    </w:p>
    <w:p>
      <w:pPr>
        <w:ind w:left="580" w:right="40"/>
        <w:spacing w:after="0" w:line="377" w:lineRule="auto"/>
        <w:rPr>
          <w:sz w:val="20"/>
          <w:szCs w:val="20"/>
          <w:color w:val="auto"/>
        </w:rPr>
      </w:pPr>
      <w:r>
        <w:rPr>
          <w:rFonts w:ascii="Arial" w:cs="Arial" w:eastAsia="Arial" w:hAnsi="Arial"/>
          <w:sz w:val="16"/>
          <w:szCs w:val="16"/>
          <w:color w:val="auto"/>
        </w:rPr>
        <w:t xml:space="preserve">General and administrative expenses </w:t>
      </w:r>
      <w:r>
        <w:rPr>
          <w:rFonts w:ascii="Arial" w:cs="Arial" w:eastAsia="Arial" w:hAnsi="Arial"/>
          <w:sz w:val="16"/>
          <w:szCs w:val="16"/>
          <w:b w:val="1"/>
          <w:bCs w:val="1"/>
          <w:color w:val="auto"/>
        </w:rPr>
        <w:t>Total Environmental &amp; Infrastructure</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Costs of contract revenues—depreciation</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Costs of contract revenues—other</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General and administrative expenses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Loss on sale of assets—net</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w:t>
      </w:r>
    </w:p>
    <w:p>
      <w:pPr>
        <w:spacing w:after="0" w:line="3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Total Consolidated</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gridSpan w:val="2"/>
          </w:tcPr>
          <w:p>
            <w:pPr>
              <w:jc w:val="right"/>
              <w:ind w:right="41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1,341</w:t>
            </w:r>
          </w:p>
        </w:tc>
        <w:tc>
          <w:tcPr>
            <w:tcW w:w="86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6,009</w:t>
            </w:r>
          </w:p>
        </w:tc>
        <w:tc>
          <w:tcPr>
            <w:tcW w:w="320" w:type="dxa"/>
            <w:vAlign w:val="bottom"/>
          </w:tcPr>
          <w:p>
            <w:pPr>
              <w:spacing w:after="0"/>
              <w:rPr>
                <w:sz w:val="19"/>
                <w:szCs w:val="19"/>
                <w:color w:val="auto"/>
              </w:rPr>
            </w:pPr>
          </w:p>
        </w:tc>
        <w:tc>
          <w:tcPr>
            <w:tcW w:w="520" w:type="dxa"/>
            <w:vAlign w:val="bottom"/>
            <w:gridSpan w:val="2"/>
          </w:tcPr>
          <w:p>
            <w:pPr>
              <w:jc w:val="right"/>
              <w:ind w:right="34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765</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3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1,306</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1,306</w:t>
            </w:r>
          </w:p>
        </w:tc>
      </w:tr>
      <w:tr>
        <w:trPr>
          <w:trHeight w:val="23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1,737</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3,996</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1,622</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10,804</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1,622</w:t>
            </w:r>
          </w:p>
        </w:tc>
      </w:tr>
      <w:tr>
        <w:trPr>
          <w:trHeight w:val="454"/>
        </w:trPr>
        <w:tc>
          <w:tcPr>
            <w:tcW w:w="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3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3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535</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415</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694</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415</w:t>
            </w:r>
          </w:p>
        </w:tc>
      </w:tr>
      <w:tr>
        <w:trPr>
          <w:trHeight w:val="45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1,341</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6,009</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765</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3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688</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1,721</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1,721</w:t>
            </w:r>
          </w:p>
        </w:tc>
      </w:tr>
      <w:tr>
        <w:trPr>
          <w:trHeight w:val="23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1,737</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20" w:type="dxa"/>
            <w:vAlign w:val="bottom"/>
            <w:tcBorders>
              <w:bottom w:val="single" w:sz="8" w:color="auto"/>
            </w:tcBorders>
          </w:tcPr>
          <w:p>
            <w:pPr>
              <w:jc w:val="right"/>
              <w:ind w:right="410"/>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4,531</w:t>
            </w:r>
          </w:p>
        </w:tc>
        <w:tc>
          <w:tcPr>
            <w:tcW w:w="320" w:type="dxa"/>
            <w:vAlign w:val="bottom"/>
          </w:tcPr>
          <w:p>
            <w:pPr>
              <w:spacing w:after="0"/>
              <w:rPr>
                <w:sz w:val="19"/>
                <w:szCs w:val="19"/>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2,037</w:t>
            </w:r>
          </w:p>
        </w:tc>
        <w:tc>
          <w:tcPr>
            <w:tcW w:w="340" w:type="dxa"/>
            <w:vAlign w:val="bottom"/>
          </w:tcPr>
          <w:p>
            <w:pPr>
              <w:spacing w:after="0"/>
              <w:rPr>
                <w:sz w:val="19"/>
                <w:szCs w:val="19"/>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11,498</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2,037</w:t>
            </w: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-2228850</wp:posOffset>
            </wp:positionH>
            <wp:positionV relativeFrom="paragraph">
              <wp:posOffset>-2237740</wp:posOffset>
            </wp:positionV>
            <wp:extent cx="651764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-2228850</wp:posOffset>
            </wp:positionH>
            <wp:positionV relativeFrom="paragraph">
              <wp:posOffset>-1946275</wp:posOffset>
            </wp:positionV>
            <wp:extent cx="651764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-2228850</wp:posOffset>
            </wp:positionH>
            <wp:positionV relativeFrom="paragraph">
              <wp:posOffset>-1654810</wp:posOffset>
            </wp:positionV>
            <wp:extent cx="651764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17640" cy="154305"/>
                    </a:xfrm>
                    <a:prstGeom prst="rect">
                      <a:avLst/>
                    </a:prstGeom>
                    <a:noFill/>
                  </pic:spPr>
                </pic:pic>
              </a:graphicData>
            </a:graphic>
          </wp:anchor>
        </w:drawing>
        <w:drawing>
          <wp:anchor simplePos="0" relativeHeight="251657728" behindDoc="1" locked="0" layoutInCell="0" allowOverlap="1">
            <wp:simplePos x="0" y="0"/>
            <wp:positionH relativeFrom="column">
              <wp:posOffset>-2228850</wp:posOffset>
            </wp:positionH>
            <wp:positionV relativeFrom="paragraph">
              <wp:posOffset>-1354455</wp:posOffset>
            </wp:positionV>
            <wp:extent cx="651764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-2228850</wp:posOffset>
            </wp:positionH>
            <wp:positionV relativeFrom="paragraph">
              <wp:posOffset>-1054100</wp:posOffset>
            </wp:positionV>
            <wp:extent cx="651764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-2228850</wp:posOffset>
            </wp:positionH>
            <wp:positionV relativeFrom="paragraph">
              <wp:posOffset>-762635</wp:posOffset>
            </wp:positionV>
            <wp:extent cx="651764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-2228850</wp:posOffset>
            </wp:positionH>
            <wp:positionV relativeFrom="paragraph">
              <wp:posOffset>-471170</wp:posOffset>
            </wp:positionV>
            <wp:extent cx="651764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-2228850</wp:posOffset>
            </wp:positionH>
            <wp:positionV relativeFrom="paragraph">
              <wp:posOffset>-179705</wp:posOffset>
            </wp:positionV>
            <wp:extent cx="651764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540"/>
            <w:col w:w="7320"/>
          </w:cols>
          <w:pgMar w:left="240" w:top="341" w:right="2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ind w:right="40" w:firstLine="761"/>
        <w:spacing w:after="0" w:line="259" w:lineRule="auto"/>
        <w:rPr>
          <w:sz w:val="20"/>
          <w:szCs w:val="20"/>
          <w:color w:val="auto"/>
        </w:rPr>
      </w:pPr>
      <w:r>
        <w:rPr>
          <w:rFonts w:ascii="Arial" w:cs="Arial" w:eastAsia="Arial" w:hAnsi="Arial"/>
          <w:sz w:val="18"/>
          <w:szCs w:val="18"/>
          <w:color w:val="auto"/>
        </w:rPr>
        <w:t>The Company accrued rent expense related to restructuring costs of $0 at September 30, 2018, compared to $5,930 at December 31, 2017. The reduction in accrued rent expense relating to restructuring costs is the result of the buyout of two vessel leases during the 2018 third quarter. The Company accrued severance expense of $929 and $1,567 at September 30, 2018 and December 31, 2017, respectively, which are expected to be settled in 2018. Both of these items are included in accrued expenses.</w:t>
      </w:r>
    </w:p>
    <w:p>
      <w:pPr>
        <w:spacing w:after="0" w:line="169"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1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Performance and bid bonds are customarily required for dredging and marine construction projects, as well as some environmental &amp; infrastructure projects. The Company has bonding agreements with Argonaut Insurance Company, Berkley Insurance Company, Chubb Surety and Liberty Mutual Insurance Company, under which the Company can obtain performance, bid and payment bonds. The Company also has outstanding bonds with Travelers Casualty, Surety Company of America and Zurich American Insurance Company (“Zurich”). Bid bonds are generally obtained for a percentage of bid value and amounts outstanding typically range from $1,000 to $10,000. At September 30, 2018, the Company had outstanding performance bonds with a notional amount of approximately $1,294,631 of which $41,085 relates to projects from the Company’s historical environmental &amp; infrastructure businesses. The revenue value remaining in backlog related to these projects totaled approximately $661,050.</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sale of our historical demolition business, the Company was obligated to keep in place the surety bonds on pending demolition projects for the period required under the respective contract for a project and issued Zurich a letter of credit related to this exposure. In February 2017, the Company was notified by Zurich of an alleged default triggered on a historical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9" w:name="page20"/>
    <w:bookmarkEnd w:id="19"/>
    <w:p>
      <w:pPr>
        <w:ind w:right="320"/>
        <w:spacing w:after="0" w:line="259" w:lineRule="auto"/>
        <w:rPr>
          <w:sz w:val="20"/>
          <w:szCs w:val="20"/>
          <w:color w:val="auto"/>
        </w:rPr>
      </w:pPr>
      <w:r>
        <w:rPr>
          <w:rFonts w:ascii="Arial" w:cs="Arial" w:eastAsia="Arial" w:hAnsi="Arial"/>
          <w:sz w:val="18"/>
          <w:szCs w:val="18"/>
          <w:color w:val="auto"/>
        </w:rPr>
        <w:t>demolition surety performance bond in the aggregate of approximately $20,000 for failure of the contractor to perform in accordance with the terms of a project. In May 2017, Zurich drew upon the letter of credit in the amount of $20,881. In order to fund the draw on the letter of credit, the Company had to increase the borrowings on its revolving credit facility. As the outstanding letters of credit previously reduced our availability under the revolving credit facility, this draw down on our letter of credit does not impact our liquidity or capital availability.</w:t>
      </w:r>
    </w:p>
    <w:p>
      <w:pPr>
        <w:spacing w:after="0" w:line="18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Pursuant to the terms of sale of our historical demolition business, the Company received an indemnification from the buyer for losses resulting from the bonding arrangement. The Company intends to aggressively pursue enforcement of the indemnification provisions if the buyer of the historical demolition business is found to be in default of its obligations. The Company cannot estimate the amount or range of recoveries related to the indemnification or resolution of the Company’s responsibilities under the surety bond. The surety bond claim impact has been included in discontinued operations and is discussed in Note 11, Business dispositions.</w:t>
      </w:r>
    </w:p>
    <w:p>
      <w:pPr>
        <w:spacing w:after="0" w:line="18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11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As is customary with negotiated contracts and modifications or claims to competitively bid contracts with the U.S. federal government, the U.S. federal government has the right to audit the books and records of the Company to ensure compliance with such contracts, modifications, or claims, and the applicable federal laws. The U.S. federal government has the ability to seek a price adjustment based on the results of such audit. Any such audits have not had, and are not expected to have, a material impact on the financial position, operations, or cash flows of the Company.</w:t>
      </w:r>
    </w:p>
    <w:p>
      <w:pPr>
        <w:spacing w:after="0" w:line="17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September 2018, Environmental Protection Agency (“EPA”) Region 4 informed the Company of the EPA’s intent to file an administrative complaint against the Company relating to a project the Company performed at PortMiami from 2013-2015. The EPA is alleging violations of Section 103 of the Marine Protection, Research, and Sanctuaries Act (“MPRSA”) and failure to report violations of the MPRSA. The Company disagrees with EPA on whether a violation occurred and, if a violation did occur, the appropriate penalty calculation, and will defend ourselves vigorously.</w:t>
      </w:r>
    </w:p>
    <w:p>
      <w:pPr>
        <w:spacing w:after="0" w:line="17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On April 23, 2014, the Company completed the sale of NASDI, LLC (“NASDI”) and Yankee Environmental Services, LLC (“Yankee”), which together comprised the Company’s historical demolition business, to a privately owned demolition company. Legal actions brought by the Company to enforce the buyer’s obligations under the sale agreement are described below.</w:t>
      </w:r>
    </w:p>
    <w:p>
      <w:pPr>
        <w:spacing w:after="0" w:line="181" w:lineRule="exact"/>
        <w:rPr>
          <w:sz w:val="20"/>
          <w:szCs w:val="20"/>
          <w:color w:val="auto"/>
        </w:rPr>
      </w:pPr>
    </w:p>
    <w:p>
      <w:pPr>
        <w:ind w:right="60" w:firstLine="45"/>
        <w:spacing w:after="0" w:line="255" w:lineRule="auto"/>
        <w:rPr>
          <w:sz w:val="20"/>
          <w:szCs w:val="20"/>
          <w:color w:val="auto"/>
        </w:rPr>
      </w:pPr>
      <w:r>
        <w:rPr>
          <w:rFonts w:ascii="Arial" w:cs="Arial" w:eastAsia="Arial" w:hAnsi="Arial"/>
          <w:sz w:val="18"/>
          <w:szCs w:val="18"/>
          <w:color w:val="auto"/>
        </w:rPr>
        <w:t>On January 14, 2015, the Company and our subsidiary, NASDI Holdings, LLC, brought an action in the Delaware Court of Chancery to enforce the terms of the Company’s agreement to sell NASDI and Yankee. Under the terms of the agreement, the Company received cash of $5,309 and retained the right to receive additional proceeds based upon future collections of outstanding accounts receivable and work in process existing at the date of close. The Company seeks specific performance of the buyer’s obligation to collect and to remit the additional proceeds, and other related relief. Defendants have filed counterclaims alleging that the Company misrepresented the quality of its contracts and receivables prior to the sale. The Company denies defendants’ allegations and intends to vigorously defend against the counterclaims.</w:t>
      </w:r>
    </w:p>
    <w:p>
      <w:pPr>
        <w:spacing w:after="0" w:line="19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Also pursuant to the terms of the agreement to sell NASDI and Yankee and as described above, the Company agreed to keep in place surety bonds for certain pending demolition projects, and the buyer agreed to indemnify the Company for all losses relating to those bonds. As described above, in May 2017, Zurich drew upon the Company’s letter of credit in the amount of $20,881. On May 26, 2017, the Company and NASDI Holdings, LLC brought a second action in the Delaware Court of Chancery seeking indemnification for all losses relating to the bonds for that project.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0" w:name="page21"/>
    <w:bookmarkEnd w:id="20"/>
    <w:p>
      <w:pPr>
        <w:jc w:val="both"/>
        <w:ind w:right="20"/>
        <w:spacing w:after="0" w:line="264" w:lineRule="auto"/>
        <w:rPr>
          <w:sz w:val="20"/>
          <w:szCs w:val="20"/>
          <w:color w:val="auto"/>
        </w:rPr>
      </w:pPr>
      <w:r>
        <w:rPr>
          <w:rFonts w:ascii="Arial" w:cs="Arial" w:eastAsia="Arial" w:hAnsi="Arial"/>
          <w:sz w:val="18"/>
          <w:szCs w:val="18"/>
          <w:color w:val="auto"/>
        </w:rPr>
        <w:t>Except as noted above, the Company has not accrued any amounts with respect to the above matters, as the Company does not believe, based on information currently known to it, that a loss relating to these matters is probable, and an estimate of a range of potential losses relating to these matters cannot reasonably be made.</w:t>
      </w:r>
    </w:p>
    <w:p>
      <w:pPr>
        <w:spacing w:after="0" w:line="164"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owned 50% of TerraSea Environmental Solutions (“TerraSea”) as a joint venture. TerraSea was engaged in the environmental services business through its ability to remediate contaminated soil and dredged sediment treatment. During the second quarter of 2017, the Company and the joint venture partner agreed to a final resolution of the net advances through additional funding of the joint venture. The Company recorded additional losses of $1,458 related to this agreement during the quarter ended June 30, 2017. TerraSea was dissolved in the third quarter of 2017.</w:t>
      </w:r>
    </w:p>
    <w:p>
      <w:pPr>
        <w:spacing w:after="0" w:line="262"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and dispositions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Discontinued operations</w:t>
      </w:r>
    </w:p>
    <w:p>
      <w:pPr>
        <w:spacing w:after="0" w:line="11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On April 23, 2014, the Company entered into an agreement and completed the sale of NASDI and Yankee, its two former subsidiaries that comprised our historical demolition business. Under the terms of the agreement, the Company received cash of $5,309 and retained the right to receive additional proceeds based upon future collections of outstanding accounts receivable and work in process existing at the date of close, including recovery of outstanding claims for additional compensation from customers, net of future payments of accounts payable existing at the date of close, including any future payments of obligations associated with outstanding claims. The amount and timing of any realization of additional net proceeds has been impacted by the litigation with the buyer of the historical demolition business. However, management believes that the ultimate resolution of these matters will not be material to the Company’s consolidated financial position or results of operations.</w:t>
      </w:r>
    </w:p>
    <w:p>
      <w:pPr>
        <w:spacing w:after="0" w:line="17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discussed in Note 9, Commitments and contingencies, the Company was notified by Zurich of an alleged default triggered on a historical demolition surety performance bond in the aggregate of approximately $20,000 for failure of the contractor to perform in accordance with the terms of a project. Zurich could be obligated to reimburse the loss, damage and expense that may arise from the alleged default. The Company estimated its exposure to a surety bond claim, including associated expenses, to be $20,900 and has recorded this amount in discontinued operations during the nine months ended September 30, 2017 as follows:</w:t>
      </w:r>
    </w:p>
    <w:p>
      <w:pPr>
        <w:spacing w:after="0" w:line="36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800" w:type="dxa"/>
            <w:vAlign w:val="bottom"/>
            <w:tcBorders>
              <w:top w:val="single" w:sz="8" w:color="auto"/>
              <w:bottom w:val="single" w:sz="8" w:color="auto"/>
            </w:tcBorders>
          </w:tcPr>
          <w:p>
            <w:pPr>
              <w:jc w:val="center"/>
              <w:ind w:right="178"/>
              <w:spacing w:after="0" w:line="155"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4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7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 from discontinued operations</w:t>
            </w:r>
          </w:p>
        </w:tc>
        <w:tc>
          <w:tcPr>
            <w:tcW w:w="17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benefit</w:t>
            </w:r>
          </w:p>
        </w:tc>
        <w:tc>
          <w:tcPr>
            <w:tcW w:w="15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5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Magnus Pacific acquisition</w:t>
      </w:r>
    </w:p>
    <w:p>
      <w:pPr>
        <w:spacing w:after="0" w:line="200" w:lineRule="exact"/>
        <w:rPr>
          <w:sz w:val="20"/>
          <w:szCs w:val="20"/>
          <w:color w:val="auto"/>
        </w:rPr>
      </w:pPr>
    </w:p>
    <w:p>
      <w:pPr>
        <w:spacing w:after="0" w:line="241"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On November 4, 2014, the Company acquired Magnus Pacific Corporation (“Magnus”), a California corporation, for an aggregate purchase price of approximately $40 million. Under the terms of the acquisition, the aggregate purchase price is satisfied by payment of $25 million paid at closing, the issuance of a promissory note and an earnout payment.</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Magnus did not reach the minimum EBITDA threshold for 2015 designated in the secured promissory note; therefore, during 2015, the Company reduced the remaining fair value to zero. Under the terms of the acquisition, as amended, the maximum potential aggregate earnout (the “Earnout Payment”) is $11,400 and will be determined based on the attainment of an average Adjusted EBITDA target of Magnus, now referred to as Great Lakes E&amp;I, for the years ending December 31, 2017, December 31, 2018 and December 31, 2019. The Earnout Payment may be paid in cash or shares of the Company’s common stock, at the Company’s option. The Company remeasures the fair value of the contingent Earnout Payment based on projections of the earnings target for the business. Based on the Company’s current projections, Great Lakes E&amp;I is not expected to reach the minimum Adjusted EBITDA threshold designated in the amended share purchase agreement.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1" w:name="page22"/>
    <w:bookmarkEnd w:id="21"/>
    <w:p>
      <w:pPr>
        <w:ind w:left="1040" w:hanging="519"/>
        <w:spacing w:after="0"/>
        <w:tabs>
          <w:tab w:leader="none" w:pos="10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and its subsidiaries currently operate in two reportable segments: dredging and environmental &amp; infrastructure. The Company’s financial reporting systems present various data for management to run the business, including profit and loss statements prepared according to the segments presented. Management uses operating income to evaluate performance between the two segments. Segment information for the periods presented is provided as follows: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tcBorders>
              <w:bottom w:val="single" w:sz="8" w:color="CFF0FC"/>
            </w:tcBorders>
          </w:tcPr>
          <w:p>
            <w:pPr>
              <w:spacing w:after="0"/>
              <w:rPr>
                <w:sz w:val="13"/>
                <w:szCs w:val="13"/>
                <w:color w:val="auto"/>
              </w:rPr>
            </w:pPr>
          </w:p>
        </w:tc>
        <w:tc>
          <w:tcPr>
            <w:tcW w:w="14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Dredging</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Contract revenues</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178,671</w:t>
            </w:r>
          </w:p>
        </w:tc>
        <w:tc>
          <w:tcPr>
            <w:tcW w:w="140" w:type="dxa"/>
            <w:vAlign w:val="bottom"/>
          </w:tcPr>
          <w:p>
            <w:pPr>
              <w:spacing w:after="0"/>
              <w:rPr>
                <w:sz w:val="19"/>
                <w:szCs w:val="19"/>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133,862</w:t>
            </w:r>
          </w:p>
        </w:tc>
        <w:tc>
          <w:tcPr>
            <w:tcW w:w="14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447,564</w:t>
            </w:r>
          </w:p>
        </w:tc>
        <w:tc>
          <w:tcPr>
            <w:tcW w:w="140" w:type="dxa"/>
            <w:vAlign w:val="bottom"/>
          </w:tcPr>
          <w:p>
            <w:pPr>
              <w:spacing w:after="0"/>
              <w:rPr>
                <w:sz w:val="19"/>
                <w:szCs w:val="19"/>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439,423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Operating income</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38,826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Environmental &amp; infrastructure</w:t>
            </w: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Contract revenues</w:t>
            </w: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25,651</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29,667</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53,941</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Operating loss</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(1,692)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(3,727)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(8,343)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(6,600)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9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Intersegment revenues</w:t>
            </w: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(212)</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Contract revenues</w:t>
            </w: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204,322</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163,317</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501,505</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510,762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23,389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30,483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In addition, these statements include, but are not limited to, our statements regarding the likelihood of realizing, and amount of, expected restructuring charges to be realized in connection with the restructuring activities.</w:t>
      </w:r>
    </w:p>
    <w:p>
      <w:pPr>
        <w:spacing w:after="0" w:line="183"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 10-K for the year ended December 31, 2017, and in other securities filings by Great Lakes with the SEC.</w:t>
      </w:r>
    </w:p>
    <w:p>
      <w:pPr>
        <w:spacing w:after="0" w:line="15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Company is the largest provider of dredging services in the United States and a major provider of environmental and infrastructure services. In addition, the Company is the only U.S. dredging service provider with significant international operations. The mobility of the Company’s fleet enables the Company to move equipment in response to changes in demand for dredging services.</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Dredging generally involves the enhancement or preservation of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(“bid market”). The Company experienced an average combined bid market share in the U.S. of 46% over the prior three years, including 77%, 40%, 28% and 14% of the domestic capital, coastal protection, maintenance and rivers &amp; lakes sectors, respectively.</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largest domestic dredging customer is the U.S. Army Corps of Engineers (the “Corps”), which has responsibility for federally funded projects related to navigation and flood control of U.S. waterways. In the first nine months of 2018, the Company’s dredging revenues earned from contracts with federal government agencies, including the Corps as well as other federal entities were approximately 70% of dredging revenues, above the Company’s prior three year average of 64%.</w:t>
      </w:r>
    </w:p>
    <w:p>
      <w:pPr>
        <w:spacing w:after="0" w:line="18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Company’s environmental &amp; infrastructure segment provides environmental and geotechnical construction as well as soil, water and sediment environmental remediation for the state, local and private party markets. Environmental and geotechnical construction includes the creation, repair or stabilization of environmental barriers including slurry walls, in-situ stabilization, coal combustion residuals pond cap and close, dam and levee rehabilitation and other specialty civil construction. Remediation involves the containment, immobilization or removal of contamination from an environment through the use of any combination of isolation, treatment or exhumation techniques, including off-site disposal, based on the quantity and severity of the contamination. The environmental &amp; infrastructure segment accounted for 11% of total revenues in the first nine months of 2018.</w:t>
      </w:r>
    </w:p>
    <w:p>
      <w:pPr>
        <w:spacing w:after="0" w:line="17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Company has two operating segments: dredging and environmental &amp; infrastructure, which are also the Company’s two reportable segments and reporting units.</w:t>
      </w:r>
    </w:p>
    <w:p>
      <w:pPr>
        <w:spacing w:after="0" w:line="36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tables set forth the components of net income (loss) and Adjusted EBITDA from continuing operations, as defined below, as a percentage of contract revenues for the three and nine months ended September 30, 2018 and 2017:</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5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Nine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Borders>
              <w:bottom w:val="single" w:sz="8" w:color="auto"/>
            </w:tcBorders>
            <w:gridSpan w:val="3"/>
          </w:tcPr>
          <w:p>
            <w:pPr>
              <w:jc w:val="center"/>
              <w:ind w:left="594"/>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Borders>
              <w:bottom w:val="single" w:sz="8" w:color="auto"/>
            </w:tcBorders>
            <w:gridSpan w:val="3"/>
          </w:tcPr>
          <w:p>
            <w:pPr>
              <w:jc w:val="center"/>
              <w:ind w:left="573"/>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60" w:type="dxa"/>
            <w:vAlign w:val="bottom"/>
            <w:gridSpan w:val="2"/>
            <w:vMerge w:val="restart"/>
          </w:tcPr>
          <w:p>
            <w:pPr>
              <w:ind w:left="580"/>
              <w:spacing w:after="0"/>
              <w:rPr>
                <w:sz w:val="20"/>
                <w:szCs w:val="20"/>
                <w:color w:val="auto"/>
              </w:rPr>
            </w:pPr>
            <w:r>
              <w:rPr>
                <w:rFonts w:ascii="Arial" w:cs="Arial" w:eastAsia="Arial" w:hAnsi="Arial"/>
                <w:sz w:val="18"/>
                <w:szCs w:val="18"/>
                <w:color w:val="auto"/>
              </w:rPr>
              <w:t>Contract revenues</w:t>
            </w:r>
          </w:p>
        </w:tc>
        <w:tc>
          <w:tcPr>
            <w:tcW w:w="260" w:type="dxa"/>
            <w:vAlign w:val="bottom"/>
          </w:tcPr>
          <w:p>
            <w:pPr>
              <w:spacing w:after="0"/>
              <w:rPr>
                <w:sz w:val="13"/>
                <w:szCs w:val="13"/>
                <w:color w:val="auto"/>
              </w:rPr>
            </w:pPr>
          </w:p>
        </w:tc>
        <w:tc>
          <w:tcPr>
            <w:tcW w:w="10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w w:val="96"/>
              </w:rPr>
              <w:t>2017</w:t>
            </w:r>
          </w:p>
        </w:tc>
        <w:tc>
          <w:tcPr>
            <w:tcW w:w="300" w:type="dxa"/>
            <w:vAlign w:val="bottom"/>
          </w:tcPr>
          <w:p>
            <w:pPr>
              <w:spacing w:after="0"/>
              <w:rPr>
                <w:sz w:val="13"/>
                <w:szCs w:val="13"/>
                <w:color w:val="auto"/>
              </w:rPr>
            </w:pPr>
          </w:p>
        </w:tc>
        <w:tc>
          <w:tcPr>
            <w:tcW w:w="100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158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(79.4)</w:t>
            </w: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(87.9)</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(84.2)</w:t>
            </w: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(89.2)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Loss on sale of assets—net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16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Interest expense—net</w:t>
            </w:r>
          </w:p>
        </w:tc>
        <w:tc>
          <w:tcPr>
            <w:tcW w:w="1580" w:type="dxa"/>
            <w:vAlign w:val="bottom"/>
            <w:gridSpan w:val="3"/>
          </w:tcPr>
          <w:p>
            <w:pPr>
              <w:jc w:val="right"/>
              <w:ind w:right="260"/>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(3.9)</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(loss) of joint ventures</w:t>
            </w:r>
          </w:p>
        </w:tc>
        <w:tc>
          <w:tcPr>
            <w:tcW w:w="260" w:type="dxa"/>
            <w:vAlign w:val="bottom"/>
            <w:shd w:val="clear" w:color="auto" w:fill="CFF0FC"/>
          </w:tcPr>
          <w:p>
            <w:pPr>
              <w:spacing w:after="0"/>
              <w:rPr>
                <w:sz w:val="19"/>
                <w:szCs w:val="19"/>
                <w:color w:val="auto"/>
              </w:rPr>
            </w:pPr>
          </w:p>
        </w:tc>
        <w:tc>
          <w:tcPr>
            <w:tcW w:w="1640" w:type="dxa"/>
            <w:vAlign w:val="bottom"/>
            <w:gridSpan w:val="3"/>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19"/>
                <w:szCs w:val="19"/>
                <w:color w:val="auto"/>
              </w:rPr>
            </w:pPr>
          </w:p>
        </w:tc>
        <w:tc>
          <w:tcPr>
            <w:tcW w:w="16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(0.2)</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w w:val="93"/>
              </w:rPr>
              <w:t>Income (loss) from continuing operations before income taxes</w:t>
            </w:r>
          </w:p>
        </w:tc>
        <w:tc>
          <w:tcPr>
            <w:tcW w:w="2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 benefit</w:t>
            </w:r>
          </w:p>
        </w:tc>
        <w:tc>
          <w:tcPr>
            <w:tcW w:w="158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from discontinued operations, net of income taxes</w:t>
            </w:r>
          </w:p>
        </w:tc>
        <w:tc>
          <w:tcPr>
            <w:tcW w:w="260" w:type="dxa"/>
            <w:vAlign w:val="bottom"/>
            <w:shd w:val="clear" w:color="auto" w:fill="CFF0FC"/>
          </w:tcPr>
          <w:p>
            <w:pPr>
              <w:spacing w:after="0"/>
              <w:rPr>
                <w:sz w:val="19"/>
                <w:szCs w:val="19"/>
                <w:color w:val="auto"/>
              </w:rPr>
            </w:pPr>
          </w:p>
        </w:tc>
        <w:tc>
          <w:tcPr>
            <w:tcW w:w="1640" w:type="dxa"/>
            <w:vAlign w:val="bottom"/>
            <w:gridSpan w:val="3"/>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0" w:type="dxa"/>
            <w:vAlign w:val="bottom"/>
            <w:vMerge w:val="restart"/>
          </w:tcPr>
          <w:p>
            <w:pPr>
              <w:spacing w:after="0"/>
              <w:rPr>
                <w:sz w:val="10"/>
                <w:szCs w:val="10"/>
                <w:color w:val="auto"/>
              </w:rPr>
            </w:pPr>
          </w:p>
        </w:tc>
        <w:tc>
          <w:tcPr>
            <w:tcW w:w="4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from continuing operations</w:t>
            </w:r>
          </w:p>
        </w:tc>
        <w:tc>
          <w:tcPr>
            <w:tcW w:w="15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17.6%</w:t>
            </w: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8.0%</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13.8%</w:t>
            </w: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280" w:type="dxa"/>
            <w:vAlign w:val="bottom"/>
            <w:gridSpan w:val="2"/>
          </w:tcPr>
          <w:p>
            <w:pPr>
              <w:jc w:val="right"/>
              <w:ind w:right="854"/>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3" w:name="page24"/>
    <w:bookmarkEnd w:id="23"/>
    <w:p>
      <w:pPr>
        <w:ind w:right="20"/>
        <w:spacing w:after="0" w:line="285" w:lineRule="auto"/>
        <w:rPr>
          <w:sz w:val="20"/>
          <w:szCs w:val="20"/>
          <w:color w:val="auto"/>
        </w:rPr>
      </w:pPr>
      <w:r>
        <w:rPr>
          <w:rFonts w:ascii="Arial" w:cs="Arial" w:eastAsia="Arial" w:hAnsi="Arial"/>
          <w:sz w:val="16"/>
          <w:szCs w:val="16"/>
          <w:color w:val="auto"/>
        </w:rPr>
        <w:t>Adjusted EBITDA from continuing operations, as provided herein, represents net income (loss), adjusted for net interest expense, income taxes, depreciation and amortization expense, debt extinguishment, accelerated maintenance expense for new international deployments, goodwill or asset impairments and gains on bargain purchase acquisitions. Adjusted EBITDA from continuing operations is not a measure derived in accordance with accounting principles generally accepted in the United States of America (“GAAP”). The Company presents Adjusted EBITDA from continuing operations as an additional measure by which to evaluate the Company’s operating trends. The Company believes that Adjusted EBITDA from continuing operations is a measure frequently used to evaluate performance of companies with substantial leverage and that the Company’s primary stakeholders (i.e., its stockholders, bondholders and banks) use Adjusted EBITDA from continuing operations to evaluate the Company’s period to period performance. Additionally, management believes that Adjusted EBITDA from continuing operations provides a transparent measure of the Company’s recurring operating performance and allows management and investors to readily view operating trends, perform analytical comparisons and identify strategies to improve operating performance. For this reason, the Company uses a measure based upon Adjusted EBITDA from continuing operations to assess performance for purposes of determining compensation under the Company’s incentive plan. Adjusted EBITDA from continuing operations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from continuing operations,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from continuing operations only as a supplement. The following is a reconciliation of Adjusted EBITDA from continuing operations to net income (loss):</w:t>
      </w:r>
    </w:p>
    <w:p>
      <w:pPr>
        <w:spacing w:after="0" w:line="200" w:lineRule="exact"/>
        <w:rPr>
          <w:sz w:val="20"/>
          <w:szCs w:val="20"/>
          <w:color w:val="auto"/>
        </w:rPr>
      </w:pP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1"/>
        </w:trPr>
        <w:tc>
          <w:tcPr>
            <w:tcW w:w="4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6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66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9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11,702</w:t>
            </w:r>
          </w:p>
        </w:tc>
        <w:tc>
          <w:tcPr>
            <w:tcW w:w="5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(3,228)</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w:t>
            </w:r>
          </w:p>
        </w:tc>
        <w:tc>
          <w:tcPr>
            <w:tcW w:w="5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(24,723)</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(12,697)</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6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11,702</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1,407</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(12,026)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Adjusted for:</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expense—net</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8,062</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25,719</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40"/>
              <w:spacing w:after="0"/>
              <w:rPr>
                <w:sz w:val="20"/>
                <w:szCs w:val="20"/>
                <w:color w:val="auto"/>
              </w:rPr>
            </w:pPr>
            <w:r>
              <w:rPr>
                <w:rFonts w:ascii="Arial" w:cs="Arial" w:eastAsia="Arial" w:hAnsi="Arial"/>
                <w:sz w:val="18"/>
                <w:szCs w:val="18"/>
                <w:color w:val="auto"/>
              </w:rPr>
              <w:t>Income tax provision (benefit)</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3,790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(7,555)</w:t>
            </w: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12,309</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41,290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40"/>
              <w:spacing w:after="0"/>
              <w:rPr>
                <w:sz w:val="20"/>
                <w:szCs w:val="20"/>
                <w:color w:val="auto"/>
              </w:rPr>
            </w:pPr>
            <w:r>
              <w:rPr>
                <w:rFonts w:ascii="Arial" w:cs="Arial" w:eastAsia="Arial" w:hAnsi="Arial"/>
                <w:sz w:val="18"/>
                <w:szCs w:val="18"/>
                <w:color w:val="auto"/>
              </w:rPr>
              <w:t>Loss on extinguishment of debt</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 from continuing operations</w:t>
            </w: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35,863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13,087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68,965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39,896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segment and type of work, the Company’s contract revenues for each of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2"/>
              </w:rPr>
              <w:t>Three Months Ended</w:t>
            </w: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Nine Months Ended</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40" w:type="dxa"/>
            <w:vAlign w:val="bottom"/>
            <w:vMerge w:val="restart"/>
          </w:tcPr>
          <w:p>
            <w:pPr>
              <w:spacing w:after="0"/>
              <w:rPr>
                <w:sz w:val="20"/>
                <w:szCs w:val="20"/>
                <w:color w:val="auto"/>
              </w:rPr>
            </w:pPr>
            <w:r>
              <w:rPr>
                <w:rFonts w:ascii="Arial" w:cs="Arial" w:eastAsia="Arial" w:hAnsi="Arial"/>
                <w:sz w:val="14"/>
                <w:szCs w:val="14"/>
                <w:b w:val="1"/>
                <w:bCs w:val="1"/>
                <w:color w:val="auto"/>
              </w:rPr>
              <w:t>Revenues (in thousands)</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tcBorders>
              <w:bottom w:val="single" w:sz="8" w:color="CFF0FC"/>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12"/>
              <w:spacing w:after="0" w:line="155"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Dredging:</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Capital—U.S.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105,934</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30,561</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246.6%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252,537</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128,634</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Capital—foreign</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5,849</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37,423</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Coastal protection</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42,691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40,726</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122,673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141,365</w:t>
            </w: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Maintenance</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42,282</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(72.6)%</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38,461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98,532</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Rivers &amp; lakes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13,420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14,444</w:t>
            </w: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20,046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33,469</w:t>
            </w: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
        </w:trPr>
        <w:tc>
          <w:tcPr>
            <w:tcW w:w="464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Total dredging revenues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178,671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133,862</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33.5%</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447,564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439,423</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Environmental &amp; infrastructure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25,651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29,667</w:t>
            </w: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53,941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73,602</w:t>
            </w: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Intersegment revenue</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(212)</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(2,263)</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204,322</w:t>
            </w:r>
          </w:p>
        </w:tc>
        <w:tc>
          <w:tcPr>
            <w:tcW w:w="20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163,317</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25.1%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501,505</w:t>
            </w:r>
          </w:p>
        </w:tc>
        <w:tc>
          <w:tcPr>
            <w:tcW w:w="220" w:type="dxa"/>
            <w:vAlign w:val="bottom"/>
            <w:vMerge w:val="continue"/>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510,762</w:t>
            </w: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Total revenue was $204.3 million for the three months ended September 30, 2018, up $41.0 million, or 25%, from $163.3 million for the same period in the prior year. For the nine months ended September 30, 2018, total revenue was $501.5 million, down slightly from revenue of $510.8 million for the same period in the prior year, representing a decrease of $9.3 million or 2%. For the three months ended September 30, 2018, the Company experienced an increase in domestic capital and coastal protection revenues which were partially offset by decreases in maintenance, foreign, rivers &amp; lakes and environmental &amp; remediation revenues when compared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4" w:name="page25"/>
    <w:bookmarkEnd w:id="24"/>
    <w:p>
      <w:pPr>
        <w:ind w:right="640"/>
        <w:spacing w:after="0" w:line="277" w:lineRule="auto"/>
        <w:rPr>
          <w:sz w:val="20"/>
          <w:szCs w:val="20"/>
          <w:color w:val="auto"/>
        </w:rPr>
      </w:pPr>
      <w:r>
        <w:rPr>
          <w:rFonts w:ascii="Arial" w:cs="Arial" w:eastAsia="Arial" w:hAnsi="Arial"/>
          <w:sz w:val="18"/>
          <w:szCs w:val="18"/>
          <w:color w:val="auto"/>
        </w:rPr>
        <w:t>to the prior year period. For the nine months ended September 30, 2018, the Company experienced an increase in domestic capital revenues offset by decreases in all other types of work within both segments when compared to the prior year periods.</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For the quarter ended September 30, 2018, domestic capital dredging was $105.9 million, up $75.3 million, or 246%, compared to $30.6 million for the same quarter in 2017. The increase in domestic capital dredging revenues for the quarter ended September 30, 2018 was driven by increased revenue related to the Charleston entrance channel deepening project, a channel widening project in Texas and deepening work on the Delaware River as compared to the same period in the prior year. These increases in revenue were partially offset by a greater amount of revenue earned on coastal restoration projects during the same period in the prior year. Domestic capital dredging for the nine months ended September 30, 2018 was $252.5 million compared to $128.6 million for the same period in 2017, representing an increase of $123.9 million, or 96%. For the nine months ended September 30, 2018, the higher domestic capital dredging revenues were primarily related to a greater amount of revenue earned on the Charleston entrance channel deepening project, coastal restoration projects and a channel widening project in Texas during the first nine months of 2018 as compared to the same period in the prior year. This increase was partially offset by a greater amount of revenue earned on a deepening project on the Delaware River and an LNG project in Texas for the nine months ended September 30, 2017. The Savannah Harbor deepening project also contributed to revenue for the nine months ended September 30, 2018.</w:t>
      </w:r>
    </w:p>
    <w:p>
      <w:pPr>
        <w:spacing w:after="0" w:line="17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Foreign capital projects typically involve land reclamations, channel deepening and port infrastructure development. In the third quarter of 2018, foreign capital revenue was $5.0 million, a decrease of $0.8 million, or 14%, as compared to $5.8 million in the same quarter in the prior year. Foreign capital revenue for the nine months ended September 30, 2018 was $13.8 million, a decrease of $23.6 million, or 63%, as compared to $37.4 million for the same period in the prior year. For the three and nine months ended September 30, 2018, revenue earned on two projects in Bahrain was offset by revenue earned on a project in Saudi Arabia during 2017 that was not replaced during the current year. Delays in the commencement of a large land reclamation project in Bahrain further contributed to the change in revenue for the three and nine months ended September 30, 2018 compared to the same periods of the prior year. During the first quarter of 2018, the Company substantially completed the closeout of its Brazil operations. The absence of projects in Brazil during the current year contributed to the change in revenue for the nine months ended September 30, 2018.</w:t>
      </w:r>
    </w:p>
    <w:p>
      <w:pPr>
        <w:spacing w:after="0" w:line="17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Coastal protection projects generally involve moving sand from the ocean floor to shoreline locations where erosion threatens shoreline assets. Coastal protection revenue for the quarter ended September 30, 2018 was $42.7 million, an increase of $2.0 million, or 5%, compared to $40.7 million in the prior year period. The increase in coastal protection revenue for the three months ended September 30, 2018 is mostly attributable to an increase in revenue earned from projects in New York, New Jersey and Delaware. This increase was partially offset by a decrease in revenue from projects in North Carolina, South Carolina and Virginia. Coastal protection revenue for the nine months ended September 30, 2018 was $122.7 million, down $18.7 million or 13%, from $141.4 million for the first nine months of 2017. The change in coastal protection revenue for the nine months ended September 30, 2018 was mostly attributable to prior year revenue earned on projects in New York, New Jersey, Virginia and North Carolina. This decrease was partially offset by revenue earned during the current year on large projects in Florida, Delaware and South Carolina as compared to the same period in 2017.</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 Maintenance revenue for the third quarter of 2018 was $11.6 million, down $30.7 million, or 73%, from $42.3 million in the third quarter of 2017. The decrease in maintenance revenues for the three months ended September 30, 2018 was mostly attributable to revenue earned on projects in Maryland, Delaware, Florida, Louisiana and on the West Coast in 2017 that did not repeat in 2018. Maintenance projects in Virginia, Texas and Pennsylvania contributed to revenue during the three months ended September 30, 2018. Maintenance revenue for the first nine months of 2018 was $38.5 million, a decrease of $60.0 million, or 61%, compared to $98.5 million for the comparable period in the prior year. The decrease in maintenance dredging revenues for the nine months ended September 30, 2018 was mostly attributable to a greater volume of projects worked during the same period in the prior year. Maintenance projects in Texas, Virginia, and Maryland contributed to revenue during the nine months ended September 30, 2018.</w:t>
      </w:r>
    </w:p>
    <w:p>
      <w:pPr>
        <w:spacing w:after="0" w:line="1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Rivers &amp; lakes dredging and related operations typically consist of lake and river dredging, inland levee and construction dredging, environmental restoration and habitat improvement and other marine construction projects. During the third quarter of 2018, rivers &amp; lakes revenue was $13.4 million, a decrease of $1.0 million, or 7% from $14.4 million during the same period of 2017. Rivers &amp; lakes revenue for the nine months ended September 30, 2018 was $20.0 million, down $13.5 million, or 40%, from $33.5 million in the first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25" w:name="page26"/>
    <w:bookmarkEnd w:id="25"/>
    <w:p>
      <w:pPr>
        <w:ind w:right="140"/>
        <w:spacing w:after="0" w:line="259" w:lineRule="auto"/>
        <w:rPr>
          <w:sz w:val="20"/>
          <w:szCs w:val="20"/>
          <w:color w:val="auto"/>
        </w:rPr>
      </w:pPr>
      <w:r>
        <w:rPr>
          <w:rFonts w:ascii="Arial" w:cs="Arial" w:eastAsia="Arial" w:hAnsi="Arial"/>
          <w:sz w:val="18"/>
          <w:szCs w:val="18"/>
          <w:color w:val="auto"/>
        </w:rPr>
        <w:t>nine months of 2017. The decrease in rivers &amp; lakes revenue for the three and nine months ended September 30, 2018 was driven by a greater amount of revenue earned on a lake project in Illinois in the prior year periods, decreased revenue from projects in Mississippi and New Jersey and a project in Florida that did not reoccur in the current year. A river dredging project in Texas and a project in Louisiana contributed to revenue for the three and nine months ended September 30, 2018.</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environmental &amp; infrastructure segment provides environmental and geotechnical construction as well as soil, water and sediment environmental remediation. Environmental and geotechnical construction includes the creation, repair or stabilization of environmental barriers including slurry walls, in-situ stabilization, coal combustion residuals pond cap and close, dam and levee rehabilitation, deep soil mixing and other specialty civil construction. Remediation involves the containment, immobilization or removal of contamination from an environment through the use of any combination of isolation, treatment or exhumation techniques, including off-site disposal, based on the quantity and severity of the contamination. Environmental &amp; infrastructure segment revenues during the third quarter of 2018 were $25.7 million, a $4.0 million, or 13%, decrease from $29.7 million for the same prior year period. For the nine months ended September 30, 2018, the environmental &amp; infrastructure segment recorded revenues of $53.9 million, a $19.7 million, or 27%, decrease from $73.6 million for the same prior year period. Environmental &amp; infrastructure revenue for the first nine months of 2018 included work on remediation projects in New Jersey, California, Colorado and Texas and geotechnical projects in Colorado and California. Revenue on these projects was offset by greater revenue earned in the prior year on a remediation project in Florida and a geotechnical project in California in addition to emergency geotechnical work that did not repeat during the current year period. The three and nine months ended September 30, 2017 include revenue related to service lines of the environmental &amp; infrastructure segment’s business which did not operate during the current year periods.</w:t>
      </w:r>
    </w:p>
    <w:p>
      <w:pPr>
        <w:spacing w:after="0" w:line="16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Consolidated gross profit for the quarter ended September 30, 2018 was $42.1 million, up $22.3 million, or 113%, compared to $19.8 million in the same quarter of 2017. Gross profit margin for the three months ended September 30, 2018 was 20.6% compared to 12.1% in the third quarter of 2017. Gross profit for the three months ended September 30, 2018 includes $2.1 million of restructuring charges related to asset retirements. For the third quarter of 2018, the increase in gross profit was due to strong performance on domestic capital projects and improved performance on environmental &amp; infrastructure projects. Further, greater fixed cost coverage and lower overhead within the dredging segment contributed to the increase in gross profit compared to the same period in the prior year. Consolidated gross profit for the nine months ended September 30, 2018 was $79.1 million, up $24.2 million, or 44%, compared to $54.9 million in the same period of the prior year. Gross profit margin for the nine months ended September 30, 2018 was 15.8% up from 10.7% in the first nine months of 2017. Gross profit for the nine months ended September 30, 2018 includes $6.0 million of restructuring charges related to asset retirements and the closeout of the Company’s Brazil operations. During the nine months ended September 30, 2018, the increase in gross profit was attributable to strong performance on domestic capital projects and lower plant costs, resulting from the retirement of certain underperforming and underutilized assets, when compared to the same period of the prior year. This change was partially offset by lower margins experienced in all other types of work within both segments. Further, the prior year period includes an approved change order on a project in the environmental &amp; infrastructure segment which positively impacted gross profit for the nine months ended September 30, 2017.</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the three months ended September 30, 2018, general and administrative expenses were $17.3 million, which was in line with the same period in the prior year. During the nine months ended September 30, 2018 and 2017, general and administrative expenses were $48.4 million and $51.6 million, respectively. General and administrative expenses decreased by $3.2 million, or 6%, for the nine months ended September 30, 2018, compared to the same period in the prior year. During the quarter ended September 30, 2018, the Company experienced decreases in technical and consulting fees of $1.9 million and labor expenses of $1.5 million, resulting from restructuring savings initiatives. These decreases were partially offset by a $3.2 million increase in incentive pay as a result of improved operations as compared to the prior year period. Similar to the third quarter of 2018, the company experienced decreases in technical and consulting fees of $3.0 million and labor expenses of $3.1 million, resulting from restructuring savings initiatives, for the nine months ended September 30, 2018. These decreases during the first nine months of 2018 were partially offset by a $3.0 million increase in incentive pay when compared to the same prior year period. The nine months ended September 30, 2018 and 2017 include $0.8 million and $1.7 million, respectively, of general and administrative charges associated with restructuring.</w:t>
      </w:r>
    </w:p>
    <w:p>
      <w:pPr>
        <w:spacing w:after="0" w:line="17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Operating income for the third quarter of 2018 was $23.4 million, up $21.3 million compared to operating income of $2.1 million for the same quarter in 2017. The increase in operating income for the third quarter of 2018 was a result of higher gross profit compared to the same period in the prior year, as described above. This increase in operating income was partially offset by a $1.3 million change in loss on sale of assets. For the nine months ended September 30, 2018, the Company experienced operating income of $30.5 million, a change of $27.5 million, from operating income of $3.0 million in the same prior year period. The change in operating income for the third quarter of 2018 was a result of higher gross profit and lower general and administrative expenses compared to the same period in the prior year, as described above. Further, for the nine months ended September 30, 2018 and 2017, the Company incurred a loss on sale of assets of $0.2 million and $0.4 million, respectively.</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three months ended September 30, 2018 and 2017, net interest expense was $8.1 million and $6.4 million, respectively. Net interest expense for the nine months ended September 30, 2018 was $25.7 million, up $7.3 million, or 40%, from interest expense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6" w:name="page27"/>
    <w:bookmarkEnd w:id="26"/>
    <w:p>
      <w:pPr>
        <w:ind w:right="80"/>
        <w:spacing w:after="0" w:line="259" w:lineRule="auto"/>
        <w:rPr>
          <w:sz w:val="20"/>
          <w:szCs w:val="20"/>
          <w:color w:val="auto"/>
        </w:rPr>
      </w:pPr>
      <w:r>
        <w:rPr>
          <w:rFonts w:ascii="Arial" w:cs="Arial" w:eastAsia="Arial" w:hAnsi="Arial"/>
          <w:sz w:val="18"/>
          <w:szCs w:val="18"/>
          <w:color w:val="auto"/>
        </w:rPr>
        <w:t xml:space="preserve">$18.4 million for the same period in the prior year. The increase in interest expense for the nine months ended September 30, 2018 was primarily attributable to a decrease in the amount of interest expense that was being capitalized during the construction of the Company’s dual mode articulated tug/barge trailing suction hopper dredge, the </w:t>
      </w:r>
      <w:r>
        <w:rPr>
          <w:rFonts w:ascii="Arial" w:cs="Arial" w:eastAsia="Arial" w:hAnsi="Arial"/>
          <w:sz w:val="18"/>
          <w:szCs w:val="18"/>
          <w:i w:val="1"/>
          <w:iCs w:val="1"/>
          <w:color w:val="auto"/>
        </w:rPr>
        <w:t>Ellis Island</w:t>
      </w:r>
      <w:r>
        <w:rPr>
          <w:rFonts w:ascii="Arial" w:cs="Arial" w:eastAsia="Arial" w:hAnsi="Arial"/>
          <w:sz w:val="18"/>
          <w:szCs w:val="18"/>
          <w:color w:val="auto"/>
        </w:rPr>
        <w:t>, and an increase in interest expense related to the higher principal on the Company’s new senior notes as compared to the same periods in the prior year.</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Income tax provision for the three months ended September 30, 2018 was $3.8 million compared to an income tax benefit of $1.3 million, for the same period in the prior year. For the nine months ended September 30, 2018 and 2017, the income tax provision was $0.5 million and a benefit of $7.6 million, respectively. The effective tax rate for the nine months ended September 30, 2018 was 28.1%, lower than the effective tax rate of 38.6% for the same period of 2017. The change in effective tax rate is attributable to the recent Tax Cuts and Jobs Act enacted in the fourth quarter of 2017.</w:t>
      </w:r>
    </w:p>
    <w:p>
      <w:pPr>
        <w:spacing w:after="0" w:line="17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Company experienced net income from continuing operations of $11.7 million and a diluted income per share attributable to continuing operations of $0.18 for the three months ended September 30, 2018, compared to a net loss from continuing operations of $3.2 million and diluted loss per share attributable to continuing operations of $0.05 for the three months ended September 30, 2017. The Company experienced net income from continuing operations of $1.4 million and diluted income per share attributable to continuing operations of $0.02 for the nine months ended September 30, 2018, compared to a net loss from continuing operations of $12.0 million and a diluted loss per share attributable to continuing operations of $0.19 for the same period of 2017. The change in net income from continuing operations for the three and nine months ended September 30, 2018 was driven by an increase in operating income, as described above. Further contributing to the change for the nine months ended September 30, 2018 were a $2.3 million loss on extinguishment of debt resulting from the Company’s senior notes and a $1.5 million loss associated with the Company’s TerraSea joint venture that were incurred in the same period in the prior year, which negatively impacted net income from continuing operations. The increase in net income from continuing operations for the nine months ended September 30, 2018 was partially offset by an increase in interest expense, as described above, and a $2.0 million charge to other expense for the reversal of a currency translation adjustment related to the closeout of the Company’s Brazil operations during the current year.</w:t>
      </w:r>
    </w:p>
    <w:p>
      <w:pPr>
        <w:spacing w:after="0" w:line="18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Adjusted EBITDA from continuing operations (as defined on page 24) for the quarter ended September 30, 2018 was $35.9 million, up $22.8 million, or 174%, from $13.1 million in the same quarter in the prior year. The change in Adjusted EBITDA from continuing operations during the third quarter of 2018 was driven by higher gross profit, excluding depreciation. For the nine months ended September 30, 2018, Adjusted EBITDA from continuing operations was $69.0 million, up $29.1 million, or 73% compared to $39.9 million for the same prior year period. The change in Adjusted EBITDA from continuing operations during the first nine months of 2018 was attributable to higher gross profit, excluding depreciation, slightly offset by the $2.0 million charge to other expense, as described above. Further, the nine months ended September 30, 2017 included a $1.5 million loss associated with the Company’s TerraSea joint venture which negatively impacted Adjusted EBITDA from continuing operations.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Dredging</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Dredging segment revenues for the third quarter of 2018 were $178.7 million, an increase of $44.8 million, or 33%, as compared to revenues of $133.9 million for the third quarter of 2017. Dredging revenues for the nine months ended September 30, 2018 were $447.6 million, up $8.2 million, or 2%, compared to revenues of $439.4 million for the same prior year period. For the three and nine months ended September 30, 2018, the dredging segment experienced an increase in domestic capital revenues, which was slightly offset by decreases in revenue from all other types of work. This increase in current year revenue was driven by revenue earned on the Charleston entrance channel deepening project, coastal restoration projects and a channel widening project in Texas during the three and nine months ended September 30, 2018. These positive impacts to revenue were partially offset by a greater volume of maintenance projects worked during the three and nine months ended September 30, 2017 as compared to the current year periods as well as revenue earned on a project in Saudi Arabia during the nine months ended of September 30, 2017 that did not repeat in 2018. Further, the Company earned a greater amount of revenue on a lake project in Illinois and on coastal protection projects in New York, New Jersey, Virginia and North Carolina during the first nine months of 2017 as compared to the current year period.</w:t>
      </w:r>
    </w:p>
    <w:p>
      <w:pPr>
        <w:spacing w:after="0" w:line="17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Dredging segment gross profit for the third quarter of 2018 was $39.6 million, an increase of $20.0 million, or 102%, from a gross profit of $19.6 million in the same period of the prior year. For the nine months ended September 30, 2018, the dredging segment gross profit was $75.8 million, up $27.2 million, or 56%, from a gross profit of $48.6 million in the same period of 2017. Dredging segment gross profit margin for the third quarter of 2018 was 22.2% compared to 14.6% for the third quarter of 2017. Further, dredging segment gross profit margin for the nine months ended September 30, 2018 increased to 16.9% from gross profit margin of 11.1% for the nine months of 2017. Gross profit for the three and nine months ended September 30, 2018 includes $2.1 million and $6.0 million, respectively, of restructuring charges related to asset retirements and the closeout of the Company’s Brazil operations. The increase in dredging segment gross profit for the three months ended September 30, 2018 was attributable to strong performance on domestic capital projects, greater fixed cost coverage and lower overhead compared to the same period in the prior year. The increase in dredging segment gross profit for the nine months ended September 30, 2018 was attributable to strong performance 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7" w:name="page28"/>
    <w:bookmarkEnd w:id="27"/>
    <w:p>
      <w:pPr>
        <w:ind w:right="40"/>
        <w:spacing w:after="0" w:line="342" w:lineRule="auto"/>
        <w:rPr>
          <w:sz w:val="20"/>
          <w:szCs w:val="20"/>
          <w:color w:val="auto"/>
        </w:rPr>
      </w:pPr>
      <w:r>
        <w:rPr>
          <w:rFonts w:ascii="Arial" w:cs="Arial" w:eastAsia="Arial" w:hAnsi="Arial"/>
          <w:sz w:val="16"/>
          <w:szCs w:val="16"/>
          <w:color w:val="auto"/>
        </w:rPr>
        <w:t>domestic capital projects and lower plant costs, resulting from the retirement of certain underperforming and underutilized assets, when compared to the same period of the prior year. This increase was partially offset by lower margins experienced in all other types of work within the dredging segment.</w:t>
      </w:r>
    </w:p>
    <w:p>
      <w:pPr>
        <w:spacing w:after="0" w:line="12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For the quarter ended September 30, 2018, the dredging segment recorded operating income of $25.1 million, up $19.3 million, or 333%, from $5.8 million for the same period of the prior year. Dredging segment operating income for the nine months ended September 30, 2018 was $38.8 million, a $29.2 million, or 304%, increase from $9.6 million in the first nine months of 2017. The change in operating income for the three and nine months ended September 30, 2018 is primarily attributable to higher gross profit, as described above. General and administrative expenses within the dredging segment declined by $0.8 million and $2.1 million, respectively, during the three and nine months ended September 30, 2018, mostly related to decreases in payroll and benefits expense, resulting from restructuring savings initiatives, slightly offset by increases in legal and professional fees compared to the same periods in 2017. The Company recorded a loss on sale of assets of $1.5 million and $0.3 million for the three and nine months ended September 30, 2018,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&amp; infrastructure</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the quarter ended September 30, 2018, environmental &amp; infrastructure revenues were $25.7 million, down $4.0 million, or 13%, from revenues of $29.7 million in the same quarter of the previous year. Environmental &amp; infrastructure segment revenues for the nine months ended September 30, 2018 were $53.9 million, down $19.7 million, or 27%, from revenue of $73.6 million for the first nine months of 2017. Environmental &amp; infrastructure revenues for the first nine months of 2018 included work on remediation projects in New Jersey, California, Colorado and Texas and geotechnical projects in Texas and California. Revenue on these projects was offset by greater revenue earned in the prior year on a remediation project in Florida and a geotechnical project in California in addition to emergency geotechnical work that did not repeat during the current year. Additionally, the three and nine months ended September 30, 2017 includes revenue related to service lines of the environmental &amp; infrastructure segment’s business which did not operate during the current year.</w:t>
      </w:r>
    </w:p>
    <w:p>
      <w:pPr>
        <w:spacing w:after="0" w:line="16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Environmental &amp; infrastructure segment gross profit for the third quarter of 2018 was $2.5 million, up $2.2 million, from gross profit of $0.3 million in the third quarter of 2017. The environmental &amp; infrastructure segment experienced a gross profit of $3.2 million and $6.3 million for the nine months ended September 30, 2018 and 2017, respectively. Environmental &amp; infrastructure gross profit margin was 9.9% and 1.0% for the three months ended September 30, 2018 and 2017, respectively. For the first nine months of 2018, the environmental &amp; infrastructure segment experienced a gross profit margin of 5.9% compared to 8.5% for the same period of the prior year. The change in gross profit was driven by higher margins on projects in the third quarter of 2018 when compared to the same period in the prior year. The change in gross profit during the nine months ended September 30, 2018 was attributable to an approved change order on a project which positively impacted the environmental &amp; infrastructure segment’s gross profit during the prior year period and lower fixed cost coverage on plant due to lower volume of work during the first nine months of 2018.</w:t>
      </w:r>
    </w:p>
    <w:p>
      <w:pPr>
        <w:spacing w:after="0" w:line="1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environmental &amp; infrastructure segment experienced an operating loss of $1.7 million for the quarter ended September 30, 2018, a $2.0 million change from an operating loss of $3.7 million for the same quarter in 2017. For the nine months ended September 30, 2018, the environmental &amp; infrastructure segment experienced an operating loss of $8.3 million, a change of $1.7 million compared to an operating loss of $6.6 million for the same period of the prior year. The positive change in operating loss for the three months ended September 30, 2018 is mostly attributable to higher gross profit, as described above. This positive change was partially offset by an increase to general and administrative and overhead costs when compared to the same period in 2017. The change in operating loss for the nine months ended September 30, 2018 is mostly attributable to the decrease in gross profit, as described above, partially offset by a decrease in general and administrative expenses. For the nine months ended September 30, 2018, the environmental &amp; infrastructure segment experienced decreases in payroll and benefits expenses resulting from restructuring savings initiatives and a slight decline in technical and consulting fees and legal and professional fees when compared to the same period in 2017.</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Bidding activity and backlog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reporting segment and type of dredging work, the Company’s backlog as of the dates indicated: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Backlog (in thousands)</w:t>
            </w: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Dredging:</w:t>
            </w:r>
          </w:p>
        </w:tc>
        <w:tc>
          <w:tcPr>
            <w:tcW w:w="15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Capital - U.S.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415,291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383,577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256,940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 foreign</w:t>
            </w:r>
          </w:p>
        </w:tc>
        <w:tc>
          <w:tcPr>
            <w:tcW w:w="1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Coastal protection</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121,672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76,460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78,670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Maintenance</w:t>
            </w:r>
          </w:p>
        </w:tc>
        <w:tc>
          <w:tcPr>
            <w:tcW w:w="1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41,313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23,662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54,068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Rivers &amp; lakes</w:t>
            </w:r>
          </w:p>
        </w:tc>
        <w:tc>
          <w:tcPr>
            <w:tcW w:w="15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75,886</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19,046</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Dredging Backlog</w:t>
            </w:r>
          </w:p>
        </w:tc>
        <w:tc>
          <w:tcPr>
            <w:tcW w:w="1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654,162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511,320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427,843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Environmental &amp; infrastructure</w:t>
            </w:r>
          </w:p>
        </w:tc>
        <w:tc>
          <w:tcPr>
            <w:tcW w:w="15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34,996</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35,357</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58,191</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Backlog</w:t>
            </w:r>
          </w:p>
        </w:tc>
        <w:tc>
          <w:tcPr>
            <w:tcW w:w="15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689,158</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546,677</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486,034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Company’s contract backlog represents its estimate of the revenues that will be realized under the portion of the contracts remaining to be performed. For dredging and environmental &amp; infrastructure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always indicative of future revenues or profitability. Also, 91% of the Company’s September 30, 2018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7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domestic dredging bid market for the quarter ended September 30, 2018 was $889.3 million, a $500.8 million increase compared to the same period in the prior year. For the nine months ended September 30, 2018, the domestic dredging bid market was $1,581.5 million, an increase of $765.7 million, compared to the first nine months of 2017. Domestic capital projects awarded during the current year period include harbor deepening projects in Tampa, Jacksonville and Boston, a coastal restoration project in Mississippi, a terminal deepening project in Massachusetts, the option on the Charleston entrance channel deepening project and a channel widening project in Texas. Additional domestic projects awarded during the current period include maintenance work in Louisiana and on the West Coast, an LNG project in Texas, coastal protection projects in New York, Florida, South Carolina and North Carolina and rivers &amp; lakes projects in Texas, Louisiana and on the Mississippi River. The bid market for the nine months ended September 30, 2018 increased significantly from the prior year due to the award of several large harbor deepening projects during the current year, as noted above. Further, a greater volume of coastal protection and rivers &amp; lakes projects and higher dollar value maintenance projects were awarded during the nine months ending September 30, 2018 as compared to the same prior year period. For the contracts awarded during the first nine months of the current year, the Company won 65%, or $162.0 million, of the coastal protection projects, 57%, or $383.6 million, of the domestic capital projects, 10%, or $51.4 million, of the maintenance projects and 66%, or $82.2 million, of rivers &amp; lakes projects. The Company won 43% of the overall domestic bid market for the first nine months of 2018, which is below the Company’s prior three year average of 46%. Variability in contract wins from quarter to quarter is not unusual and one quarter’s win rate is generally not indicative of the win rate the Company is likely to achieve for a full year.</w:t>
      </w:r>
    </w:p>
    <w:p>
      <w:pPr>
        <w:spacing w:after="0" w:line="18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Company’s contracted dredging backlog was $654.2 million at September 30, 2018 compared to $511.3 million of backlog at December 31, 2017. These amounts do not reflect approximately $132.0 million of domestic low bids pending formal award and additional phases (“options”) pending on projects currently in backlog at September 30, 2018. At December 31, 2017 the amount of domestic low bids and options pending award was $69.9 million.</w:t>
      </w:r>
    </w:p>
    <w:p>
      <w:pPr>
        <w:spacing w:after="0" w:line="14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Domestic capital dredging backlog at September 30, 2018 was $31.7 million higher than at December 31, 2017. During the first nine months of 2018, the Company was awarded harbor deepening projects in Jacksonville and Tampa totaling over $280 million, including options not yet formally awarded. Further, the Company was awarded the option on the Charleston entrance channel deepening project, a channel widening project in Texas and a variation order for deepening work on the Delaware River during the nine months ended September 30, 2018. During the first nine months of 2018, the Company completed work on multi-year projects including the Savannah Harbor deepening project and a coastal restoration project in Louisiana and continued to earn revenue on the Charleston entrance channel deepening projects, a coastal restoration project in Mississippi and an LNG project in Texas which were in backlog at December 31, 2017. Successful expansion of the Panama Canal in recent years continues to put pressure on ports on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9" w:name="page30"/>
    <w:bookmarkEnd w:id="29"/>
    <w:p>
      <w:pPr>
        <w:ind w:right="20"/>
        <w:spacing w:after="0" w:line="297" w:lineRule="auto"/>
        <w:rPr>
          <w:sz w:val="20"/>
          <w:szCs w:val="20"/>
          <w:color w:val="auto"/>
        </w:rPr>
      </w:pPr>
      <w:r>
        <w:rPr>
          <w:rFonts w:ascii="Arial" w:cs="Arial" w:eastAsia="Arial" w:hAnsi="Arial"/>
          <w:sz w:val="16"/>
          <w:szCs w:val="16"/>
          <w:color w:val="auto"/>
        </w:rPr>
        <w:t>East and Gulf Coasts to deepen and widen in anticipation of the neo-Panamax vessels. With several port expansions underway, several other port expansions are entering new phases and several additional projects are being expedited. Deepening projects in Jacksonville and Tampa were recently awarded and the request for proposals for the Corpus Christi project has been issued. Further, projects to deepen the Mississippi River and Port of Virginia are being expedited. The nation’s governors continue to show commitment to their respective ports through engagement and funding. Finally, Congress has also shown a commitment to ports and waterways, providing record annual budgets for the Corps for port deepening and channel maintenance.</w:t>
      </w:r>
    </w:p>
    <w:p>
      <w:pPr>
        <w:spacing w:after="0" w:line="15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Foreign capital dredging backlog at September 30, 2018 was $8.6 million lower than at December 31, 2017. During the second quarter of 2017, the Company was the low bidder on a $68 million project in Bahrain which the Company expects to be awarded by the end of the year. During the first nine months of 2018, the Company completed work on projects in the Middle East which were in backlog at December 31, 2017. Upcoming projects expected to be awarded are not being completed under the tight time constraints that were required on prior years’ large infrastructure projects. As a result, anticipated margins in the current year are expected to be lower than margins experienced internationally over the past several years. The world’s need for reclaimed land continues to expand to support global energy consumption, seaborne trade, population growth and tourism, all of which are expected to add nearly 400 viable dredging projects over the next several years. The Company expects the additional global opportunities to provide a continued source of future international dredging revenue.</w:t>
      </w:r>
    </w:p>
    <w:p>
      <w:pPr>
        <w:spacing w:after="0" w:line="19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Coastal protection dredging backlog at September 30, 2018 was $45.2 million higher than at December 31, 2017. In the first nine months of 2018, the Company was awarded coastal protection projects in Georgia, New York, Virginia, North Carolina and South Carolina totaling approximately $160 million. During the first nine months of 2018, the Company completed coastal protection projects in New Jersey, Delaware, South Carolina and Florida which were in backlog at December 31, 2017. Coastal protection and storm impacts continue to provide the major impetus for coastal project investment at federal and state levels. With continued funding available for projects in the Northeast from the Sandy supplemental appropriations, the Company expects to continue to see an increase in projects let for bid in the coastal protection market. As a result of the extreme storm systems last year involving Hurricanes Harvey, Irma, and Maria, the U.S. Senate Committee on Appropriations passed supplemental appropriations for disaster relief and recovery which includes $17.4 billion for the Corps to fund projects that will reduce the risk of future damage from flood and storm events. The Corps is beginning to provide visibility on its plans for this money, and it is currently believed that over $1 billion is expected to be added to its dredging related budget over the next few years. Most of this work is anticipated to be coastal protection related, but some funding may be provided for channel maintenance. Subsequent to the end of the quarter, Congress passed an additional $1.7 billion of supplemental appropriations for disaster relief funding as a result of Hurricane Florence.</w:t>
      </w:r>
    </w:p>
    <w:p>
      <w:pPr>
        <w:spacing w:after="0" w:line="1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Maintenance dredging backlog was up $17.7 million from December 31, 2017. During the first nine months of 2018, the Company was awarded maintenance projects in the South Atlantic, Florida, Maryland, New York and Texas. During the first nine months of 2018, the Company completed work on projects in Virginia, Maryland, Mississippi and Delaware which were in backlog at December 31, 2017. In March 2018, Congress approved and the President signed an omnibus spending bill through fiscal year 2018. The spending bill continues the increases in the budget for the Corps and exceeds the increase in Harbor Maintenance Trust Fund (“HMTF”) spending for maintenance dredging as required by the 2014 Water Resources and Development Act. Subsequent to the end of the third quarter of 2018, the President signed America’s Water Infrastructure Act of 2018/Water Resources Development Act (“WRDA 2018”) into law. Similar to past versions of the bill, WRDA 2018 language calls for full use of the HMTF for its intended purpose of maintaining future access to the waterways and ports that support our nation’s economy. Further, WRDA 2018 ensures that Harbor Maintenance Tax (“HMT”) funding targets will increase by three percent over the prior year, even if the HMT revenue estimates decrease, to continue annual progress towards full use of the HMT by 2025. Through the increased appropriation of HMTF monies, the Company anticipates an increase in harbor projects to be let for bid throughout 2018 and beyond. In line with their commitment, Congress has improved spending from the HMTF by providing the Corps with record annual budgets including 91% utilization of the HMTF in FY 2018 and 95% proposed in the FY 2019 budget.</w:t>
      </w:r>
    </w:p>
    <w:p>
      <w:pPr>
        <w:spacing w:after="0" w:line="1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Rivers &amp; lakes backlog at September 30, 2018 increased by $56.8 million from backlog at December 31, 2017. During the first nine months of 2018, the Company was awarded a $12 million project in Louisiana as well as a $70 million project in Texas which is the first major Houston-area flood-control project after Hurricane Harvey. For the nine months ended September 30, 2018, the Company continued to earn revenue on projects in New Jersey and Mississippi and on a lake project in Illinois which were in backlog at December 31, 2017.</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Environmental &amp; infrastructure services backlog of $35.0 million was mostly in line with backlog of $35.4 million at December 31, 2017. For the first nine months of 2018, the Company’s awards included eleven remediation projects and four geotechnical projects. During the nine months ended September 30, 2018, the Company worked and completed several of the projects awarded during the current year period. Further, the Company completed work on remediation projects in California and New Jersey which were in backlog at December 31, 2017. Environmental &amp; infrastructure continues to hold focus on geographical expansion of geotechnical service offerings. Additionally, the Company is pursuing remediation opportunities arising from the transformation of the U.S. infrastructure, specifically related to the remediation requirements as mandated by the Environmental Protection Agency’s rule to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ind w:right="240"/>
        <w:spacing w:after="0" w:line="286" w:lineRule="auto"/>
        <w:rPr>
          <w:sz w:val="20"/>
          <w:szCs w:val="20"/>
          <w:color w:val="auto"/>
        </w:rPr>
      </w:pPr>
      <w:r>
        <w:rPr>
          <w:rFonts w:ascii="Arial" w:cs="Arial" w:eastAsia="Arial" w:hAnsi="Arial"/>
          <w:sz w:val="17"/>
          <w:szCs w:val="17"/>
          <w:color w:val="auto"/>
        </w:rPr>
        <w:t>regulate the disposal of coal combustion residuals from electric utilities promulgated in June 2015. The Company has implemented an aggressive initiative targeting project work in the water management and infrastructure sector, including embankment (dam and levee) rehabilitation, channel maintenance, wetlands and habitat restoration, reservoir construction and maintenance, and shoreline stabilization and reinforcement.</w:t>
      </w:r>
    </w:p>
    <w:p>
      <w:pPr>
        <w:spacing w:after="0" w:line="36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Company’s principal sources of liquidity are net cash flows provided by operating activities, borrowings under the Company’s revolving credit facility and proceeds from previous issuances of long term debt. The Company’s principal uses of cash are to meet debt service requirements, finance capital expenditures, provide working capital and other general corporate purposes.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cash provided by operating activities of continuing operations for the nine months ended September 30, 2018 and 2017 totaled $88.9 million and $23.5 million, respectively. Normal increases or decreases in the level of working capital relative to the level of operational activity impact cash flow from operating activities. The increase in cash provided by operating activities of continuing operations in the first nine months of 2018 compared to the same period in the prior year was driven by a higher cash generation from improved operations. Further, the Company had a greater investment in working capital during the same period in the prior year which also contributed to the change in cash provided by operating activities for the nine months ended September 30, 2018.</w:t>
      </w:r>
    </w:p>
    <w:p>
      <w:pPr>
        <w:spacing w:after="0" w:line="19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The Company’s cash flows used in investing activities for the first nine months of 2018 and 2017 totaled $17.4 million and $40.2 million, respectively. Investing activities primarily relate to normal course upgrades and capital maintenance of the Company’s dredging fleet. During the first quarter of 2018, the Company received $4.5 million in cash proceeds from a sale-leaseback of a dredge. Additionally, during the first nine months of 2018, the Company received $7.7 million in proceeds from the sale of underperforming and underutilized assets identified through the Company’s strategic review. During the nine months ended September 30, 2018, the Company spent $2.3 million on the Company’s dual mode articulated tug/barge trailing suction hopper dredge, the </w:t>
      </w:r>
      <w:r>
        <w:rPr>
          <w:rFonts w:ascii="Arial" w:cs="Arial" w:eastAsia="Arial" w:hAnsi="Arial"/>
          <w:sz w:val="17"/>
          <w:szCs w:val="17"/>
          <w:i w:val="1"/>
          <w:iCs w:val="1"/>
          <w:color w:val="auto"/>
        </w:rPr>
        <w:t>Ellis</w:t>
      </w:r>
      <w:r>
        <w:rPr>
          <w:rFonts w:ascii="Arial" w:cs="Arial" w:eastAsia="Arial" w:hAnsi="Arial"/>
          <w:sz w:val="17"/>
          <w:szCs w:val="17"/>
          <w:color w:val="auto"/>
        </w:rPr>
        <w:t xml:space="preserve"> </w:t>
      </w:r>
      <w:r>
        <w:rPr>
          <w:rFonts w:ascii="Arial" w:cs="Arial" w:eastAsia="Arial" w:hAnsi="Arial"/>
          <w:sz w:val="17"/>
          <w:szCs w:val="17"/>
          <w:i w:val="1"/>
          <w:iCs w:val="1"/>
          <w:color w:val="auto"/>
        </w:rPr>
        <w:t>Island</w:t>
      </w:r>
      <w:r>
        <w:rPr>
          <w:rFonts w:ascii="Arial" w:cs="Arial" w:eastAsia="Arial" w:hAnsi="Arial"/>
          <w:sz w:val="17"/>
          <w:szCs w:val="17"/>
          <w:color w:val="auto"/>
        </w:rPr>
        <w:t>, compared to $26.9 million in the same period in the prior year. During the third quarter of 2018, the Company bought out two leases for $14.3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relation to the restructuring initiative of disposing underperforming assets.</w:t>
      </w:r>
    </w:p>
    <w:p>
      <w:pPr>
        <w:spacing w:after="0" w:line="17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Company’s cash flows provided by (used in) financing activities for the nine months ended September 30, 2018 and 2017 totaled $(65.8) million and $30.4 million, respectively. The decrease in cash provided by financing activities primarily relates to the Company’s net repayments on its revolving credit facility of $64.1 million during the first nine months of 2018 compared to net repayments of $14.1 million during the same period of the prior year. Further, the Company issued $325 million of 8% senior notes during the second quarter of 2017. The Company used a portion of the net proceeds to redeem its $275 million of 7.375% senior notes and repay a portion of the Company’s revolver during the nine months ended September 30, 2017. The Company also paid $4.5 million in financing fees on the issuance of the senior notes during the prior year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On December 30, 2016, the Company, Great Lakes Dredge &amp; Dock Company, LLC, NASDI Holdings, LLC, Great Lakes Dredge &amp; Dock Environmental, Inc., Great Lakes Environmental &amp; Infrastructure Solutions, LLC and Great Lakes Environmental &amp; Infrastructure, LLC (collectively, the “Credit Parties”) entered into a revolving credit and security agreement, as subsequently amended, (the “Credit Agreement”) with certain financial institutions from time to time party thereto as lenders, PNC Bank, National Association, as Agent, PNC Capital Markets, CIBC Bank USA, Suntrust Robinson Humphrey, Inc., Capital One, National Association and Bank of America, N.A., as Joint Lead Arrangers and Joint Bookrunners, Texas Capital Bank, National Association, as Syndication Agent and Woodforest National Bank, as Documentation Agent. The Credit Agreement, which replaced the Company’s former revolving credit agreement, provides for a senior secured revolving credit facility in an aggregate principal amount of up to $250 million, subfacilities for the issuance of standby letters of credit up to a $250 million sublimit and swingline loans up to a $25 million sublimit. The maximum borrowing capacity under the Credit Agreement is determined by a formula and may fluctuate depending on the value of the collateral included in such formula at the time of determination. The Credit Agreement also includes an increase option that will allow the Company to increase the senior secured revolving credit facility by an aggregate principal amount of up to $100 million. This increase is subject to lenders providing incremental commitments for such increase, the Credit Parties having adequate borrowing capacity and that no default or event of default exists both before and after giving effect to such incremental commitment increase.</w:t>
      </w:r>
    </w:p>
    <w:p>
      <w:pPr>
        <w:spacing w:after="0" w:line="16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Credit Agreement also provides for certain actions contemplated in the plan of restructuring with respect to the Company’s 2017 and 2018 fiscal years including allowing up to an aggregate of $20 million of expenses related to the buy-out of operating leases and allowing capital expenditures planned but not incurred by all Credit Parties in fiscal year 2017 to be carried forward to fiscal year 2018; provided that, the aggregate amount of all capital expenditures incurred by all Credit Parties in fiscal years 2017 and 2018 does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1" w:name="page32"/>
    <w:bookmarkEnd w:id="31"/>
    <w:p>
      <w:pPr>
        <w:jc w:val="both"/>
        <w:ind w:right="20"/>
        <w:spacing w:after="0" w:line="342" w:lineRule="auto"/>
        <w:rPr>
          <w:sz w:val="20"/>
          <w:szCs w:val="20"/>
          <w:color w:val="auto"/>
        </w:rPr>
      </w:pPr>
      <w:r>
        <w:rPr>
          <w:rFonts w:ascii="Arial" w:cs="Arial" w:eastAsia="Arial" w:hAnsi="Arial"/>
          <w:sz w:val="16"/>
          <w:szCs w:val="16"/>
          <w:color w:val="auto"/>
        </w:rPr>
        <w:t>not exceed $135 million. Additionally, the Credit Agreement contains acknowledgments and agreements from the Agent and the required lenders with respect to certain EBITDA add-backs for fiscal years 2017 and 2018 described therein. Refer to Note 8, Restructuring charges, in the company’s financial statements.</w:t>
      </w:r>
    </w:p>
    <w:p>
      <w:pPr>
        <w:spacing w:after="0" w:line="124"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more than 1.10 to 1.00. The Company is required to maintain this ratio if its availability under the Credit Agreement falls below $31.3 million for five consecutive days or $25.0 million for one day. The Credit Parties are also restricted in the amount of capital expenditures they may make in each fiscal year. The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Credit Agreement will be unconditionally guaranteed, on a joint and several basis, by each existing and subsequently acquired or formed material direct and indirect domestic subsidiary of the Company. Borrowings under the Credit Agreement were or will be used to refinance existing indebtedness under the Company’s former revolving credit agreement, refinance existing indebtedness under the Company’s former term loan agreement, pay fees and expenses related to the Credit Agreement, finance acquisitions permitted under the Credit Agreement and finance ongoing working capital, and for other general corporate purposes. The Credit Agreement matures on December 30, 2019.</w:t>
      </w:r>
    </w:p>
    <w:p>
      <w:pPr>
        <w:spacing w:after="0" w:line="16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obligations under the Credit Agreement are secured by substantially all of the assets of the Credit Parties. The outstanding obligations thereunder shall be secured by a valid first priority perfected lien on substantially all of the vessels of the Credit Parties and a valid perfected lien on all domestic accounts receivable and substantially all other assets of the Credit Parties, subject to the permitted liens and interests of other parties (including the Company’s surety bonding providers).</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Interest on the senior secured revolving credit facility of the Credit Agreement is equal to either a base rate option or LIBOR option, at the Company’s election. The base rate option is (1) the base commercial lending rate of PNC Bank, National Association, as publically announced plus (2)(a) an interest margin of 2.0% or (b) after the date on which a borrowing base certificate is required to be delivered under Section 9.2 of the Credit Agreement (commencing with the fiscal quarter ending December 31, 2017, the “Adjustment Date”), an interest margin ranging between 1.5% and 2.0% depending on the quarterly average undrawn availability on the senior secured revolving credit facility. The LIBOR option is the sum of (1) LIBOR and (2)(a) an interest margin of 3.0% or (b) after the Adjustment Date, an interest rate margin ranging between 2.5% to 3.0% per annum depending on the quarterly average undrawn availability on the senior secured revolving credit facility. The Credit Agreement is subject to an unused fee ranging from 0.25% to 0.375% per annum depending on the amount of average daily outstanding under the senior secured revolving credit facility.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2018, the Company had $30.9 million of borrowings on the revolver and $31.6 million of letters of credit outstanding, resulting in</w:t>
      </w:r>
    </w:p>
    <w:p>
      <w:pPr>
        <w:spacing w:after="0" w:line="3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$161.3 million of availability under the Credit Agreement. The availability under the Credit Agreement is suppressed by $26.2 million as of September 30, 2018 as a result of certain additional limitations set forth in the Credit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Surety agreements</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Performance and bid bonds are customarily required for dredging and marine construction projects, as well as some environmental &amp; infrastructure projects. The Company has bonding agreements with Argonaut Insurance Company, Berkley Insurance Company, Chubb Surety and Liberty Mutual Insurance Company, under which the Company can obtain performance, bid and payment bonds. The Company also has outstanding bonds with Travelers Casualty, Surety Company of America and Zurich American Insurance Company (“Zurich”). Bid bonds are generally obtained for a percentage of bid value and amounts outstanding typically range from $1 million to $10 million. At September 30, 2018, the Company had outstanding performance bonds totaling approximately $1,294.6 million, of which $41.1 million relates to projects from the Company’s historical environmental &amp; infrastructure businesses. The revenue value remaining in backlog related to these projects totaled approximately $661.0 million.</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sale of our historical demolition business, the Company was obligated to keep in place the surety bonds on pending demolition projects for the period required under the respective contract for a project and issued Zurich a letter of credit related to this exposure. In February 2017, the Company was notified by Zurich of an alleged default triggered on a historical demolition surety performance bond in the aggregate of approximately $20 million for failure of the contractor to perform in accordance with the terms of a project. In May 2017, Zurich drew upon the letter of credit in the amount of $20.9 million. In order to fund the draw on the letter of credit, the Company had to increase the borrowings on its revolving credit facility. As the outstanding letters of credit previously reduced our availability under the revolving credit facility, this draw down on our letter of credit does not impact our liquidity or capital availability.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 w:name="page33"/>
    <w:bookmarkEnd w:id="32"/>
    <w:p>
      <w:pPr>
        <w:ind w:right="280"/>
        <w:spacing w:after="0" w:line="276" w:lineRule="auto"/>
        <w:rPr>
          <w:sz w:val="20"/>
          <w:szCs w:val="20"/>
          <w:color w:val="auto"/>
        </w:rPr>
      </w:pPr>
      <w:r>
        <w:rPr>
          <w:rFonts w:ascii="Arial" w:cs="Arial" w:eastAsia="Arial" w:hAnsi="Arial"/>
          <w:sz w:val="17"/>
          <w:szCs w:val="17"/>
          <w:color w:val="auto"/>
        </w:rPr>
        <w:t>Pursuant to the terms of sale of our historical demolition business, the Company received an indemnification from the buyer for losses resulting from the bonding arrangement. The Company intends to aggressively pursue enforcement of the indemnification provisions if the buyer of the historical demolition business is found to be in default of its obligations. The Company cannot estimate the amount or range of recoveries related to the indemnification or resolution of the Company’s responsibilities under the surety bond. The surety bond claim impact has been included in discontinued operations and is discussed in Note 11, Business dispositions, to the Company’s condensed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225"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In May 2017, the Company issued $325 million in aggregate principal amount of its 8% senior notes (“8% Senior Notes”) due May 15, 2022. Approximately $283 million of the net proceeds from the issuance of the 8% Senior Notes were used to prepay all of the Company’s 7.375% senior notes due February 2019, including a tender premium and accrued and unpaid interest. Interest on the 8% Senior Notes is payable semi-annually in arrears on May 15 and November</w:t>
      </w:r>
    </w:p>
    <w:p>
      <w:pPr>
        <w:ind w:right="40"/>
        <w:spacing w:after="0" w:line="269" w:lineRule="auto"/>
        <w:rPr>
          <w:sz w:val="20"/>
          <w:szCs w:val="20"/>
          <w:color w:val="auto"/>
        </w:rPr>
      </w:pPr>
      <w:r>
        <w:rPr>
          <w:rFonts w:ascii="Arial" w:cs="Arial" w:eastAsia="Arial" w:hAnsi="Arial"/>
          <w:sz w:val="17"/>
          <w:szCs w:val="17"/>
          <w:color w:val="auto"/>
        </w:rPr>
        <w:t>15 of each year, beginning on November 15, 2017. The 8% Senior Notes are senior unsecured obligations of the Company and will be guaranteed on a senior unsecured basis by the guarantors and any other subsidiary guarantors that from time to time become parties to the indenture. The terms of the indenture, among other things, limit the ability of the Company and its restricted subsidiaries to (i) pay dividends, or make certain other restricted payments or investments; (ii) incur additional indebtedness and issue disqualified stock; (iii) create liens on their assets; (iv) transfer and sell assets; (v) enter into certain business combinations with third parties or into certain other transactions with affiliates; (vi) create restrictions on dividends or other payments by the Company’s restricted subsidiaries; and (vii) create guarantees of indebtedness by restricted subsidiaries. These covenants are subject to a number of important limitations and exceptions that are described in the indenture.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The impact of changes in functional currency exchange rates against the U.S. dollar on non-U.S. dollar cash balances, primarily the Australian Dollar, is reflected in the cumulative translation adjustment—net within accumulated other comprehensive loss. Cash held in non-U.S. dollar currencies primarily is used for project-related and other operating costs in those currencies reducing the Company’s exposure to future realized exchange gains and losses.</w:t>
      </w:r>
    </w:p>
    <w:p>
      <w:pPr>
        <w:spacing w:after="0" w:line="14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Credit Agreement and bonding agreement, depends on its future operating performance and cash flows, which in turn, are subject to prevailing economic conditions and to financial, business and other factors, some of which are beyond the Company’s control.</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preparing its consolidated financial statements, the Company follows GAAP, which is described in Note 1, Basis of presentation, to the Company’s December 31, 2017 Consolidated Financial Statements included on Form 10-K.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Except as noted in Note 1, Basis of presentation, of the company’s financial statements, there have been no material changes in the Company’s critical accounting policies or estimates since December 31, 2017.</w:t>
      </w:r>
    </w:p>
    <w:p>
      <w:pPr>
        <w:spacing w:after="0" w:line="3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The market risk of the Company’s financial instruments as of September 30, 2018 has not materially changed since December 31, 2017. The market risk profile of the Company on December 31, 2017 is disclosed in Item 7A. “Quantitative and Qualitative Disclosures about Market Risk” of the Company’s Annual Report on Form 10-K for the year ended December 31, 2017.</w:t>
      </w:r>
    </w:p>
    <w:p>
      <w:pPr>
        <w:spacing w:after="0" w:line="3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September 30, 2018. Our disclosure controls and procedures are designed to ensure that information required to be disclosed in the reports that we file or submit under the Exchange Act a) is accumulated and communicated to our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ind w:right="260"/>
        <w:spacing w:after="0" w:line="277" w:lineRule="auto"/>
        <w:rPr>
          <w:sz w:val="20"/>
          <w:szCs w:val="20"/>
          <w:color w:val="auto"/>
        </w:rPr>
      </w:pPr>
      <w:r>
        <w:rPr>
          <w:rFonts w:ascii="Arial" w:cs="Arial" w:eastAsia="Arial" w:hAnsi="Arial"/>
          <w:sz w:val="18"/>
          <w:szCs w:val="18"/>
          <w:color w:val="auto"/>
        </w:rPr>
        <w:t>management, including our Chief Executive Officer and Chief Financial Officer, as appropriate to allow timely decisions regarding disclosure and b) is recorded, processed, summarized and reported within the time periods specified in the SEC’s rules and forms.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Chief Executive Officer and Chief Financial Officer concluded that our disclosure controls and procedures were effective as of September 30, 2018 in providing such a reasonable assurance.</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have been no changes in our internal control over financial reporting (as defined in Rule 13a-15(f) under the Exchange Act) during the fiscal quarter ended September 30, 2018 that have materially affected, or are reasonably likely to materially affect, our internal control over financial reporting.</w:t>
      </w:r>
    </w:p>
    <w:p>
      <w:pPr>
        <w:spacing w:after="0" w:line="200" w:lineRule="exact"/>
        <w:rPr>
          <w:sz w:val="20"/>
          <w:szCs w:val="20"/>
          <w:color w:val="auto"/>
        </w:rPr>
      </w:pPr>
    </w:p>
    <w:p>
      <w:pPr>
        <w:spacing w:after="0" w:line="35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60"/>
          </w:cols>
          <w:pgMar w:left="240" w:top="449" w:right="49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9, Commitments and contingencies, in the Notes to Condensed Consolidated Financial Statements.</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material changes during the nine months ended September 30, 2018 to the risk factors previously disclosed in Item 1A. “Risk Factors” in the Company’s Annual Report on Form 10-K for the year ended December 31, 2017 and the Company’s Quarterly Report on Form 10-Q for the quarter ended June 30, 2018.</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440" w:type="dxa"/>
            <w:vAlign w:val="bottom"/>
          </w:tcPr>
          <w:p>
            <w:pPr>
              <w:ind w:left="240"/>
              <w:spacing w:after="0"/>
              <w:rPr>
                <w:sz w:val="20"/>
                <w:szCs w:val="20"/>
                <w:color w:val="auto"/>
              </w:rPr>
            </w:pPr>
            <w:r>
              <w:rPr>
                <w:rFonts w:ascii="Arial" w:cs="Arial" w:eastAsia="Arial" w:hAnsi="Arial"/>
                <w:sz w:val="18"/>
                <w:szCs w:val="18"/>
                <w:b w:val="1"/>
                <w:bCs w:val="1"/>
                <w:color w:val="auto"/>
              </w:rPr>
              <w:t>Exhibits</w:t>
            </w:r>
          </w:p>
        </w:tc>
      </w:tr>
      <w:tr>
        <w:trPr>
          <w:trHeight w:val="837"/>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3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600" w:type="dxa"/>
            <w:vAlign w:val="bottom"/>
          </w:tcPr>
          <w:p>
            <w:pPr>
              <w:spacing w:after="0"/>
              <w:rPr>
                <w:sz w:val="24"/>
                <w:szCs w:val="24"/>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0"/>
              </w:rPr>
              <w:t>First Amendment to Employment Agreement between Great Lakes Dredge &amp; Dock Corporation and Christopher P. Shea, dated as of July 31,</w:t>
            </w:r>
          </w:p>
        </w:tc>
      </w:tr>
      <w:tr>
        <w:trPr>
          <w:trHeight w:val="237"/>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2018 .*†</w:t>
            </w:r>
          </w:p>
        </w:tc>
      </w:tr>
      <w:tr>
        <w:trPr>
          <w:trHeight w:val="419"/>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40">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600" w:type="dxa"/>
            <w:vAlign w:val="bottom"/>
          </w:tcPr>
          <w:p>
            <w:pPr>
              <w:spacing w:after="0"/>
              <w:rPr>
                <w:sz w:val="24"/>
                <w:szCs w:val="24"/>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2"/>
              </w:rPr>
              <w:t>Certification Pursuant to Rules 13a-14 and 15d-14 under the Securities Exchange Act of 1934, as Adopted Pursuant to Section 302 of the</w:t>
            </w:r>
          </w:p>
        </w:tc>
      </w:tr>
      <w:tr>
        <w:trPr>
          <w:trHeight w:val="237"/>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Sarbanes-Oxley Act of 2002. *</w:t>
            </w:r>
          </w:p>
        </w:tc>
      </w:tr>
      <w:tr>
        <w:trPr>
          <w:trHeight w:val="419"/>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41">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600" w:type="dxa"/>
            <w:vAlign w:val="bottom"/>
          </w:tcPr>
          <w:p>
            <w:pPr>
              <w:spacing w:after="0"/>
              <w:rPr>
                <w:sz w:val="24"/>
                <w:szCs w:val="24"/>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2"/>
              </w:rPr>
              <w:t>Certification Pursuant to Rules 13a-14 and 15d-14 under the Securities Exchange Act of 1934, as Adopted Pursuant to Section 302 of the</w:t>
            </w:r>
          </w:p>
        </w:tc>
      </w:tr>
      <w:tr>
        <w:trPr>
          <w:trHeight w:val="237"/>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Sarbanes-Oxley Act of 2002. *</w:t>
            </w:r>
          </w:p>
        </w:tc>
      </w:tr>
      <w:tr>
        <w:trPr>
          <w:trHeight w:val="419"/>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42">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600" w:type="dxa"/>
            <w:vAlign w:val="bottom"/>
          </w:tcPr>
          <w:p>
            <w:pPr>
              <w:spacing w:after="0"/>
              <w:rPr>
                <w:sz w:val="24"/>
                <w:szCs w:val="24"/>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439"/>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43">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hyperlink>
          </w:p>
        </w:tc>
        <w:tc>
          <w:tcPr>
            <w:tcW w:w="600" w:type="dxa"/>
            <w:vAlign w:val="bottom"/>
          </w:tcPr>
          <w:p>
            <w:pPr>
              <w:spacing w:after="0"/>
              <w:rPr>
                <w:sz w:val="24"/>
                <w:szCs w:val="24"/>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480"/>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Instance Document. *</w:t>
            </w:r>
          </w:p>
        </w:tc>
      </w:tr>
      <w:tr>
        <w:trPr>
          <w:trHeight w:val="459"/>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Taxonomy Extension Schema. *</w:t>
            </w:r>
          </w:p>
        </w:tc>
      </w:tr>
      <w:tr>
        <w:trPr>
          <w:trHeight w:val="459"/>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w:t>
            </w:r>
          </w:p>
        </w:tc>
      </w:tr>
      <w:tr>
        <w:trPr>
          <w:trHeight w:val="459"/>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w:t>
            </w:r>
          </w:p>
        </w:tc>
      </w:tr>
      <w:tr>
        <w:trPr>
          <w:trHeight w:val="459"/>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w:t>
            </w:r>
          </w:p>
        </w:tc>
      </w:tr>
      <w:tr>
        <w:trPr>
          <w:trHeight w:val="459"/>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ind w:left="684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14605</wp:posOffset>
            </wp:positionV>
            <wp:extent cx="27101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4" w:lineRule="exact"/>
        <w:rPr>
          <w:sz w:val="20"/>
          <w:szCs w:val="20"/>
          <w:color w:val="auto"/>
        </w:rPr>
      </w:pPr>
    </w:p>
    <w:p>
      <w:pPr>
        <w:jc w:val="center"/>
        <w:ind w:left="7160"/>
        <w:spacing w:after="0"/>
        <w:rPr>
          <w:sz w:val="20"/>
          <w:szCs w:val="20"/>
          <w:color w:val="auto"/>
        </w:rPr>
      </w:pPr>
      <w:r>
        <w:rPr>
          <w:rFonts w:ascii="Arial" w:cs="Arial" w:eastAsia="Arial" w:hAnsi="Arial"/>
          <w:sz w:val="14"/>
          <w:szCs w:val="14"/>
          <w:b w:val="1"/>
          <w:bCs w:val="1"/>
          <w:color w:val="auto"/>
        </w:rPr>
        <w:t>Mark W. Marinko</w:t>
      </w:r>
    </w:p>
    <w:p>
      <w:pPr>
        <w:jc w:val="center"/>
        <w:ind w:left="716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spacing w:after="0" w:line="1" w:lineRule="exact"/>
        <w:rPr>
          <w:sz w:val="20"/>
          <w:szCs w:val="20"/>
          <w:color w:val="auto"/>
        </w:rPr>
      </w:pPr>
    </w:p>
    <w:p>
      <w:pPr>
        <w:jc w:val="center"/>
        <w:ind w:left="7160"/>
        <w:spacing w:after="0"/>
        <w:rPr>
          <w:sz w:val="20"/>
          <w:szCs w:val="20"/>
          <w:color w:val="auto"/>
        </w:rPr>
      </w:pPr>
      <w:r>
        <w:rPr>
          <w:rFonts w:ascii="Arial" w:cs="Arial" w:eastAsia="Arial" w:hAnsi="Arial"/>
          <w:sz w:val="12"/>
          <w:szCs w:val="12"/>
          <w:b w:val="1"/>
          <w:bCs w:val="1"/>
          <w:color w:val="auto"/>
        </w:rPr>
        <w:t>(Principal Financial and Accounting Officer and Duly Authorized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37"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b w:val="1"/>
          <w:bCs w:val="1"/>
          <w:color w:val="auto"/>
        </w:rPr>
        <w:t>Exhibit 10.1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FIRST AMENDMENT TO EMPLOYMENT AGREEMENT</w:t>
      </w:r>
    </w:p>
    <w:p>
      <w:pPr>
        <w:spacing w:after="0" w:line="206"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FIRST AMENDMENT TO EMPLOYMENT AGREEMENT</w:t>
      </w:r>
      <w:r>
        <w:rPr>
          <w:rFonts w:ascii="Arial" w:cs="Arial" w:eastAsia="Arial" w:hAnsi="Arial"/>
          <w:sz w:val="22"/>
          <w:szCs w:val="22"/>
          <w:color w:val="auto"/>
        </w:rPr>
        <w:t xml:space="preserve"> (the “</w:t>
      </w:r>
      <w:r>
        <w:rPr>
          <w:rFonts w:ascii="Arial" w:cs="Arial" w:eastAsia="Arial" w:hAnsi="Arial"/>
          <w:sz w:val="22"/>
          <w:szCs w:val="22"/>
          <w:b w:val="1"/>
          <w:bCs w:val="1"/>
          <w:color w:val="auto"/>
        </w:rPr>
        <w:t>Amendment</w:t>
      </w:r>
      <w:r>
        <w:rPr>
          <w:rFonts w:ascii="Arial" w:cs="Arial" w:eastAsia="Arial" w:hAnsi="Arial"/>
          <w:sz w:val="22"/>
          <w:szCs w:val="22"/>
          <w:color w:val="auto"/>
        </w:rPr>
        <w:t>”) is made as of the 31st day of July, 2018 (the “</w:t>
      </w:r>
      <w:r>
        <w:rPr>
          <w:rFonts w:ascii="Arial" w:cs="Arial" w:eastAsia="Arial" w:hAnsi="Arial"/>
          <w:sz w:val="22"/>
          <w:szCs w:val="22"/>
          <w:b w:val="1"/>
          <w:bCs w:val="1"/>
          <w:color w:val="auto"/>
        </w:rPr>
        <w:t>Agreement Date</w:t>
      </w:r>
      <w:r>
        <w:rPr>
          <w:rFonts w:ascii="Arial" w:cs="Arial" w:eastAsia="Arial" w:hAnsi="Arial"/>
          <w:sz w:val="22"/>
          <w:szCs w:val="22"/>
          <w:color w:val="auto"/>
        </w:rPr>
        <w:t>”), by and between Great Lakes Dredge &amp; Dock Corporation (the “</w:t>
      </w:r>
      <w:r>
        <w:rPr>
          <w:rFonts w:ascii="Arial" w:cs="Arial" w:eastAsia="Arial" w:hAnsi="Arial"/>
          <w:sz w:val="22"/>
          <w:szCs w:val="22"/>
          <w:b w:val="1"/>
          <w:bCs w:val="1"/>
          <w:color w:val="auto"/>
        </w:rPr>
        <w:t>Corporation</w:t>
      </w:r>
      <w:r>
        <w:rPr>
          <w:rFonts w:ascii="Arial" w:cs="Arial" w:eastAsia="Arial" w:hAnsi="Arial"/>
          <w:sz w:val="22"/>
          <w:szCs w:val="22"/>
          <w:color w:val="auto"/>
        </w:rPr>
        <w:t>”), with and on behalf of its wholly-owned subsidiary, Great Lakes Dredge &amp; Dock Environmental &amp; Infrastructure Solutions, LLC (the “</w:t>
      </w:r>
      <w:r>
        <w:rPr>
          <w:rFonts w:ascii="Arial" w:cs="Arial" w:eastAsia="Arial" w:hAnsi="Arial"/>
          <w:sz w:val="22"/>
          <w:szCs w:val="22"/>
          <w:b w:val="1"/>
          <w:bCs w:val="1"/>
          <w:color w:val="auto"/>
        </w:rPr>
        <w:t>Company</w:t>
      </w:r>
      <w:r>
        <w:rPr>
          <w:rFonts w:ascii="Arial" w:cs="Arial" w:eastAsia="Arial" w:hAnsi="Arial"/>
          <w:sz w:val="22"/>
          <w:szCs w:val="22"/>
          <w:color w:val="auto"/>
        </w:rPr>
        <w:t>”), and Christopher P. Shea (“</w:t>
      </w:r>
      <w:r>
        <w:rPr>
          <w:rFonts w:ascii="Arial" w:cs="Arial" w:eastAsia="Arial" w:hAnsi="Arial"/>
          <w:sz w:val="22"/>
          <w:szCs w:val="22"/>
          <w:b w:val="1"/>
          <w:bCs w:val="1"/>
          <w:color w:val="auto"/>
        </w:rPr>
        <w:t>Executive</w:t>
      </w:r>
      <w:r>
        <w:rPr>
          <w:rFonts w:ascii="Arial" w:cs="Arial" w:eastAsia="Arial" w:hAnsi="Arial"/>
          <w:sz w:val="22"/>
          <w:szCs w:val="22"/>
          <w:color w:val="auto"/>
        </w:rPr>
        <w:t>”)</w:t>
      </w:r>
      <w:r>
        <w:rPr>
          <w:rFonts w:ascii="Arial" w:cs="Arial" w:eastAsia="Arial" w:hAnsi="Arial"/>
          <w:sz w:val="22"/>
          <w:szCs w:val="22"/>
          <w:color w:val="1A1A1A"/>
        </w:rPr>
        <w:t>.</w:t>
      </w:r>
    </w:p>
    <w:p>
      <w:pPr>
        <w:spacing w:after="0" w:line="181" w:lineRule="exact"/>
        <w:rPr>
          <w:sz w:val="20"/>
          <w:szCs w:val="20"/>
          <w:color w:val="auto"/>
        </w:rPr>
      </w:pPr>
    </w:p>
    <w:p>
      <w:pPr>
        <w:ind w:left="5160"/>
        <w:spacing w:after="0"/>
        <w:rPr>
          <w:sz w:val="20"/>
          <w:szCs w:val="20"/>
          <w:color w:val="auto"/>
        </w:rPr>
      </w:pPr>
      <w:r>
        <w:rPr>
          <w:rFonts w:ascii="Arial" w:cs="Arial" w:eastAsia="Arial" w:hAnsi="Arial"/>
          <w:sz w:val="22"/>
          <w:szCs w:val="22"/>
          <w:b w:val="1"/>
          <w:bCs w:val="1"/>
          <w:u w:val="single" w:color="auto"/>
          <w:color w:val="auto"/>
        </w:rPr>
        <w:t>RECITALS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Executive is currently employed by the Company as the President of the Environmental &amp; Infrastructure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Division;</w:t>
      </w:r>
    </w:p>
    <w:p>
      <w:pPr>
        <w:spacing w:after="0" w:line="182"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Executive and the Company have previously agreed to and operated under the terms of an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dated November 2, 2015 (the “</w:t>
      </w:r>
      <w:r>
        <w:rPr>
          <w:rFonts w:ascii="Arial" w:cs="Arial" w:eastAsia="Arial" w:hAnsi="Arial"/>
          <w:sz w:val="22"/>
          <w:szCs w:val="22"/>
          <w:b w:val="1"/>
          <w:bCs w:val="1"/>
          <w:color w:val="auto"/>
        </w:rPr>
        <w:t>Original Agreement</w:t>
      </w:r>
      <w:r>
        <w:rPr>
          <w:rFonts w:ascii="Arial" w:cs="Arial" w:eastAsia="Arial" w:hAnsi="Arial"/>
          <w:sz w:val="22"/>
          <w:szCs w:val="22"/>
          <w:color w:val="auto"/>
        </w:rPr>
        <w:t>”); and</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Executive and the Company desire to amend the Original Agreement by entering into this Amendment.</w:t>
      </w:r>
    </w:p>
    <w:p>
      <w:pPr>
        <w:spacing w:after="0" w:line="241"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auto"/>
        </w:rPr>
        <w:t>NOW</w:t>
      </w:r>
      <w:r>
        <w:rPr>
          <w:rFonts w:ascii="Arial" w:cs="Arial" w:eastAsia="Arial" w:hAnsi="Arial"/>
          <w:sz w:val="22"/>
          <w:szCs w:val="22"/>
          <w:color w:val="auto"/>
        </w:rPr>
        <w:t>,</w:t>
      </w:r>
      <w:r>
        <w:rPr>
          <w:rFonts w:ascii="Arial" w:cs="Arial" w:eastAsia="Arial" w:hAnsi="Arial"/>
          <w:sz w:val="22"/>
          <w:szCs w:val="22"/>
          <w:b w:val="1"/>
          <w:bCs w:val="1"/>
          <w:color w:val="auto"/>
        </w:rPr>
        <w:t xml:space="preserve"> THEREFORE</w:t>
      </w:r>
      <w:r>
        <w:rPr>
          <w:rFonts w:ascii="Arial" w:cs="Arial" w:eastAsia="Arial" w:hAnsi="Arial"/>
          <w:sz w:val="22"/>
          <w:szCs w:val="22"/>
          <w:color w:val="auto"/>
        </w:rPr>
        <w:t>, in consideration of foregoing and of other good and valuable consideration, including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compensation to be received by the Executive from the Company from time to time, and specifically the compensation to be received by the Executive described herein, the receipt and sufficiency of which the parties acknowledge, Executive and the Company, intending to be legally bound, agree as follows:</w:t>
      </w:r>
    </w:p>
    <w:p>
      <w:pPr>
        <w:spacing w:after="0" w:line="181" w:lineRule="exact"/>
        <w:rPr>
          <w:sz w:val="20"/>
          <w:szCs w:val="20"/>
          <w:color w:val="auto"/>
        </w:rPr>
      </w:pPr>
    </w:p>
    <w:p>
      <w:pPr>
        <w:ind w:right="20" w:firstLine="885"/>
        <w:spacing w:after="0" w:line="256" w:lineRule="auto"/>
        <w:tabs>
          <w:tab w:leader="none" w:pos="1688" w:val="left"/>
        </w:tabs>
        <w:numPr>
          <w:ilvl w:val="0"/>
          <w:numId w:val="15"/>
        </w:numPr>
        <w:rPr>
          <w:rFonts w:ascii="Arial" w:cs="Arial" w:eastAsia="Arial" w:hAnsi="Arial"/>
          <w:sz w:val="22"/>
          <w:szCs w:val="22"/>
          <w:color w:val="auto"/>
        </w:rPr>
      </w:pPr>
      <w:r>
        <w:rPr>
          <w:rFonts w:ascii="Arial" w:cs="Arial" w:eastAsia="Arial" w:hAnsi="Arial"/>
          <w:sz w:val="22"/>
          <w:szCs w:val="22"/>
          <w:b w:val="1"/>
          <w:bCs w:val="1"/>
          <w:u w:val="single" w:color="auto"/>
          <w:color w:val="auto"/>
        </w:rPr>
        <w:t>Incorporation of Preamble and Recitals</w:t>
      </w:r>
      <w:r>
        <w:rPr>
          <w:rFonts w:ascii="Arial" w:cs="Arial" w:eastAsia="Arial" w:hAnsi="Arial"/>
          <w:sz w:val="22"/>
          <w:szCs w:val="22"/>
          <w:color w:val="auto"/>
        </w:rPr>
        <w:t>. The preamble and recitals to this Amendment are incorporated</w:t>
      </w:r>
      <w:r>
        <w:rPr>
          <w:rFonts w:ascii="Arial" w:cs="Arial" w:eastAsia="Arial" w:hAnsi="Arial"/>
          <w:sz w:val="22"/>
          <w:szCs w:val="22"/>
          <w:b w:val="1"/>
          <w:bCs w:val="1"/>
          <w:color w:val="auto"/>
        </w:rPr>
        <w:t xml:space="preserve"> </w:t>
      </w:r>
      <w:r>
        <w:rPr>
          <w:rFonts w:ascii="Arial" w:cs="Arial" w:eastAsia="Arial" w:hAnsi="Arial"/>
          <w:sz w:val="22"/>
          <w:szCs w:val="22"/>
          <w:color w:val="auto"/>
        </w:rPr>
        <w:t>herein by reference and made a part of the agreement.</w:t>
      </w:r>
    </w:p>
    <w:p>
      <w:pPr>
        <w:spacing w:after="0" w:line="189" w:lineRule="exact"/>
        <w:rPr>
          <w:rFonts w:ascii="Arial" w:cs="Arial" w:eastAsia="Arial" w:hAnsi="Arial"/>
          <w:sz w:val="22"/>
          <w:szCs w:val="22"/>
          <w:color w:val="auto"/>
        </w:rPr>
      </w:pPr>
    </w:p>
    <w:p>
      <w:pPr>
        <w:ind w:firstLine="885"/>
        <w:spacing w:after="0" w:line="256" w:lineRule="auto"/>
        <w:tabs>
          <w:tab w:leader="none" w:pos="1688" w:val="left"/>
        </w:tabs>
        <w:numPr>
          <w:ilvl w:val="0"/>
          <w:numId w:val="15"/>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Capitalized terms used and not otherwise defined in this Amendment have the respective meanings</w:t>
      </w:r>
      <w:r>
        <w:rPr>
          <w:rFonts w:ascii="Arial" w:cs="Arial" w:eastAsia="Arial" w:hAnsi="Arial"/>
          <w:sz w:val="22"/>
          <w:szCs w:val="22"/>
          <w:b w:val="1"/>
          <w:bCs w:val="1"/>
          <w:color w:val="auto"/>
        </w:rPr>
        <w:t xml:space="preserve"> </w:t>
      </w:r>
      <w:r>
        <w:rPr>
          <w:rFonts w:ascii="Arial" w:cs="Arial" w:eastAsia="Arial" w:hAnsi="Arial"/>
          <w:sz w:val="22"/>
          <w:szCs w:val="22"/>
          <w:color w:val="auto"/>
        </w:rPr>
        <w:t>ascribed to such terms in the Original Agreement.</w:t>
      </w:r>
    </w:p>
    <w:p>
      <w:pPr>
        <w:spacing w:after="0" w:line="189" w:lineRule="exact"/>
        <w:rPr>
          <w:rFonts w:ascii="Arial" w:cs="Arial" w:eastAsia="Arial" w:hAnsi="Arial"/>
          <w:sz w:val="22"/>
          <w:szCs w:val="22"/>
          <w:color w:val="auto"/>
        </w:rPr>
      </w:pPr>
    </w:p>
    <w:p>
      <w:pPr>
        <w:ind w:right="20" w:firstLine="885"/>
        <w:spacing w:after="0" w:line="256" w:lineRule="auto"/>
        <w:tabs>
          <w:tab w:leader="none" w:pos="1688" w:val="left"/>
        </w:tabs>
        <w:numPr>
          <w:ilvl w:val="0"/>
          <w:numId w:val="15"/>
        </w:numPr>
        <w:rPr>
          <w:rFonts w:ascii="Arial" w:cs="Arial" w:eastAsia="Arial" w:hAnsi="Arial"/>
          <w:sz w:val="22"/>
          <w:szCs w:val="22"/>
          <w:color w:val="auto"/>
        </w:rPr>
      </w:pPr>
      <w:r>
        <w:rPr>
          <w:rFonts w:ascii="Arial" w:cs="Arial" w:eastAsia="Arial" w:hAnsi="Arial"/>
          <w:sz w:val="22"/>
          <w:szCs w:val="22"/>
          <w:b w:val="1"/>
          <w:bCs w:val="1"/>
          <w:u w:val="single" w:color="auto"/>
          <w:color w:val="auto"/>
        </w:rPr>
        <w:t>Term of Employment</w:t>
      </w:r>
      <w:r>
        <w:rPr>
          <w:rFonts w:ascii="Arial" w:cs="Arial" w:eastAsia="Arial" w:hAnsi="Arial"/>
          <w:sz w:val="22"/>
          <w:szCs w:val="22"/>
          <w:color w:val="auto"/>
        </w:rPr>
        <w:t>. The first sentence of Section 1.1 of the Original Agreement is hereby deleted in its</w:t>
      </w:r>
      <w:r>
        <w:rPr>
          <w:rFonts w:ascii="Arial" w:cs="Arial" w:eastAsia="Arial" w:hAnsi="Arial"/>
          <w:sz w:val="22"/>
          <w:szCs w:val="22"/>
          <w:b w:val="1"/>
          <w:bCs w:val="1"/>
          <w:color w:val="auto"/>
        </w:rPr>
        <w:t xml:space="preserve"> </w:t>
      </w:r>
      <w:r>
        <w:rPr>
          <w:rFonts w:ascii="Arial" w:cs="Arial" w:eastAsia="Arial" w:hAnsi="Arial"/>
          <w:sz w:val="22"/>
          <w:szCs w:val="22"/>
          <w:color w:val="auto"/>
        </w:rPr>
        <w:t>entirety and the following is inserted in lieu thereof:</w:t>
      </w:r>
    </w:p>
    <w:p>
      <w:pPr>
        <w:spacing w:after="0" w:line="190" w:lineRule="exact"/>
        <w:rPr>
          <w:sz w:val="20"/>
          <w:szCs w:val="20"/>
          <w:color w:val="auto"/>
        </w:rPr>
      </w:pPr>
    </w:p>
    <w:p>
      <w:pPr>
        <w:jc w:val="both"/>
        <w:ind w:left="880"/>
        <w:spacing w:after="0" w:line="243" w:lineRule="auto"/>
        <w:rPr>
          <w:sz w:val="20"/>
          <w:szCs w:val="20"/>
          <w:color w:val="auto"/>
        </w:rPr>
      </w:pPr>
      <w:r>
        <w:rPr>
          <w:rFonts w:ascii="Arial" w:cs="Arial" w:eastAsia="Arial" w:hAnsi="Arial"/>
          <w:sz w:val="22"/>
          <w:szCs w:val="22"/>
          <w:color w:val="auto"/>
        </w:rPr>
        <w:t>“Executive’s employment under this Agreement shall commence on November 2, 2015 (“</w:t>
      </w:r>
      <w:r>
        <w:rPr>
          <w:rFonts w:ascii="Arial" w:cs="Arial" w:eastAsia="Arial" w:hAnsi="Arial"/>
          <w:sz w:val="22"/>
          <w:szCs w:val="22"/>
          <w:b w:val="1"/>
          <w:bCs w:val="1"/>
          <w:color w:val="auto"/>
        </w:rPr>
        <w:t>Start Date</w:t>
      </w:r>
      <w:r>
        <w:rPr>
          <w:rFonts w:ascii="Arial" w:cs="Arial" w:eastAsia="Arial" w:hAnsi="Arial"/>
          <w:sz w:val="22"/>
          <w:szCs w:val="22"/>
          <w:color w:val="auto"/>
        </w:rPr>
        <w:t xml:space="preserve">”) and continue until the fourth annual anniversary of such date, unless terminated earlier pursuant to </w:t>
      </w:r>
      <w:r>
        <w:rPr>
          <w:rFonts w:ascii="Arial" w:cs="Arial" w:eastAsia="Arial" w:hAnsi="Arial"/>
          <w:sz w:val="22"/>
          <w:szCs w:val="22"/>
          <w:b w:val="1"/>
          <w:bCs w:val="1"/>
          <w:color w:val="auto"/>
        </w:rPr>
        <w:t>Article III</w:t>
      </w:r>
      <w:r>
        <w:rPr>
          <w:rFonts w:ascii="Arial" w:cs="Arial" w:eastAsia="Arial" w:hAnsi="Arial"/>
          <w:sz w:val="22"/>
          <w:szCs w:val="22"/>
          <w:color w:val="auto"/>
        </w:rPr>
        <w:t xml:space="preserve"> herein (the “</w:t>
      </w:r>
      <w:r>
        <w:rPr>
          <w:rFonts w:ascii="Arial" w:cs="Arial" w:eastAsia="Arial" w:hAnsi="Arial"/>
          <w:sz w:val="22"/>
          <w:szCs w:val="22"/>
          <w:b w:val="1"/>
          <w:bCs w:val="1"/>
          <w:color w:val="auto"/>
        </w:rPr>
        <w:t>Initial</w:t>
      </w:r>
      <w:r>
        <w:rPr>
          <w:rFonts w:ascii="Arial" w:cs="Arial" w:eastAsia="Arial" w:hAnsi="Arial"/>
          <w:sz w:val="22"/>
          <w:szCs w:val="22"/>
          <w:color w:val="auto"/>
        </w:rPr>
        <w:t xml:space="preserve"> </w:t>
      </w:r>
      <w:r>
        <w:rPr>
          <w:rFonts w:ascii="Arial" w:cs="Arial" w:eastAsia="Arial" w:hAnsi="Arial"/>
          <w:sz w:val="22"/>
          <w:szCs w:val="22"/>
          <w:b w:val="1"/>
          <w:bCs w:val="1"/>
          <w:color w:val="auto"/>
        </w:rPr>
        <w:t>Employment Term</w:t>
      </w:r>
      <w:r>
        <w:rPr>
          <w:rFonts w:ascii="Arial" w:cs="Arial" w:eastAsia="Arial" w:hAnsi="Arial"/>
          <w:sz w:val="22"/>
          <w:szCs w:val="22"/>
          <w:color w:val="auto"/>
        </w:rPr>
        <w:t>”).”</w:t>
      </w:r>
    </w:p>
    <w:p>
      <w:pPr>
        <w:spacing w:after="0" w:line="177" w:lineRule="exact"/>
        <w:rPr>
          <w:sz w:val="20"/>
          <w:szCs w:val="20"/>
          <w:color w:val="auto"/>
        </w:rPr>
      </w:pPr>
    </w:p>
    <w:p>
      <w:pPr>
        <w:ind w:firstLine="885"/>
        <w:spacing w:after="0" w:line="256" w:lineRule="auto"/>
        <w:tabs>
          <w:tab w:leader="none" w:pos="1688" w:val="left"/>
        </w:tabs>
        <w:numPr>
          <w:ilvl w:val="0"/>
          <w:numId w:val="16"/>
        </w:numPr>
        <w:rPr>
          <w:rFonts w:ascii="Arial" w:cs="Arial" w:eastAsia="Arial" w:hAnsi="Arial"/>
          <w:sz w:val="22"/>
          <w:szCs w:val="22"/>
          <w:color w:val="auto"/>
        </w:rPr>
      </w:pPr>
      <w:r>
        <w:rPr>
          <w:rFonts w:ascii="Arial" w:cs="Arial" w:eastAsia="Arial" w:hAnsi="Arial"/>
          <w:sz w:val="22"/>
          <w:szCs w:val="22"/>
          <w:b w:val="1"/>
          <w:bCs w:val="1"/>
          <w:u w:val="single" w:color="auto"/>
          <w:color w:val="auto"/>
        </w:rPr>
        <w:t>No Other Amendments</w:t>
      </w:r>
      <w:r>
        <w:rPr>
          <w:rFonts w:ascii="Arial" w:cs="Arial" w:eastAsia="Arial" w:hAnsi="Arial"/>
          <w:sz w:val="22"/>
          <w:szCs w:val="22"/>
          <w:color w:val="auto"/>
        </w:rPr>
        <w:t>. Any terms of the Original Agreement that are not specifically amended or affected by</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terms of this Amendment shall continue in full force and effect without modification.</w:t>
      </w:r>
    </w:p>
    <w:p>
      <w:pPr>
        <w:spacing w:after="0" w:line="189" w:lineRule="exact"/>
        <w:rPr>
          <w:rFonts w:ascii="Arial" w:cs="Arial" w:eastAsia="Arial" w:hAnsi="Arial"/>
          <w:sz w:val="22"/>
          <w:szCs w:val="22"/>
          <w:color w:val="auto"/>
        </w:rPr>
      </w:pPr>
    </w:p>
    <w:p>
      <w:pPr>
        <w:jc w:val="both"/>
        <w:ind w:firstLine="885"/>
        <w:spacing w:after="0" w:line="254" w:lineRule="auto"/>
        <w:tabs>
          <w:tab w:leader="none" w:pos="1688" w:val="left"/>
        </w:tabs>
        <w:numPr>
          <w:ilvl w:val="0"/>
          <w:numId w:val="16"/>
        </w:numPr>
        <w:rPr>
          <w:rFonts w:ascii="Arial" w:cs="Arial" w:eastAsia="Arial" w:hAnsi="Arial"/>
          <w:sz w:val="21"/>
          <w:szCs w:val="2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color w:val="auto"/>
        </w:rPr>
        <w:t>. This Amendment constitutes the legally binding agreement of the Parties; may only be</w:t>
      </w:r>
      <w:r>
        <w:rPr>
          <w:rFonts w:ascii="Arial" w:cs="Arial" w:eastAsia="Arial" w:hAnsi="Arial"/>
          <w:sz w:val="21"/>
          <w:szCs w:val="21"/>
          <w:b w:val="1"/>
          <w:bCs w:val="1"/>
          <w:color w:val="auto"/>
        </w:rPr>
        <w:t xml:space="preserve"> </w:t>
      </w:r>
      <w:r>
        <w:rPr>
          <w:rFonts w:ascii="Arial" w:cs="Arial" w:eastAsia="Arial" w:hAnsi="Arial"/>
          <w:sz w:val="21"/>
          <w:szCs w:val="21"/>
          <w:color w:val="auto"/>
        </w:rPr>
        <w:t>amended by further written agreement of equal dignity specifically referring to this Amendment and signed by all Parties; may be executed in one or more counterparts, each of which shall be enforceable as an original; may be executed and delivered by email attachment of a signed copy of the signature page with instructions to attach same to the agreed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8" w:name="page39"/>
    <w:bookmarkEnd w:id="38"/>
    <w:p>
      <w:pPr>
        <w:spacing w:after="0"/>
        <w:rPr>
          <w:sz w:val="20"/>
          <w:szCs w:val="20"/>
          <w:color w:val="auto"/>
        </w:rPr>
      </w:pPr>
      <w:r>
        <w:rPr>
          <w:rFonts w:ascii="Arial" w:cs="Arial" w:eastAsia="Arial" w:hAnsi="Arial"/>
          <w:sz w:val="19"/>
          <w:szCs w:val="19"/>
          <w:color w:val="auto"/>
        </w:rPr>
        <w:t>document; and, along with the Original Agreement, constitutes the entire agreement of the Parties with respect to its subject matter.</w:t>
      </w:r>
    </w:p>
    <w:p>
      <w:pPr>
        <w:spacing w:after="0" w:line="268" w:lineRule="exact"/>
        <w:rPr>
          <w:sz w:val="20"/>
          <w:szCs w:val="20"/>
          <w:color w:val="auto"/>
        </w:rPr>
      </w:pPr>
    </w:p>
    <w:p>
      <w:pPr>
        <w:ind w:left="5980" w:hanging="752"/>
        <w:spacing w:after="0"/>
        <w:tabs>
          <w:tab w:leader="none" w:pos="59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w:t>
      </w:r>
    </w:p>
    <w:p>
      <w:pPr>
        <w:spacing w:after="0" w:line="227" w:lineRule="exact"/>
        <w:rPr>
          <w:sz w:val="20"/>
          <w:szCs w:val="20"/>
          <w:color w:val="auto"/>
        </w:rPr>
      </w:pPr>
    </w:p>
    <w:p>
      <w:pPr>
        <w:ind w:firstLine="877"/>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each of the parties hereto has duly executed this First Amendment to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as of the date first set forth above.</w:t>
      </w:r>
    </w:p>
    <w:p>
      <w:pPr>
        <w:spacing w:after="0" w:line="163"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Great Lakes Dredge &amp; Dock Corporation</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/s/Lasse Petterson</w:t>
      </w:r>
    </w:p>
    <w:p>
      <w:pPr>
        <w:spacing w:after="0" w:line="233" w:lineRule="exact"/>
        <w:rPr>
          <w:sz w:val="20"/>
          <w:szCs w:val="20"/>
          <w:color w:val="auto"/>
        </w:rPr>
      </w:pPr>
    </w:p>
    <w:p>
      <w:pPr>
        <w:ind w:left="834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Lasse Petterson</w:t>
      </w:r>
    </w:p>
    <w:p>
      <w:pPr>
        <w:spacing w:after="0" w:line="233" w:lineRule="exact"/>
        <w:rPr>
          <w:sz w:val="20"/>
          <w:szCs w:val="20"/>
          <w:color w:val="auto"/>
        </w:rPr>
      </w:pPr>
    </w:p>
    <w:p>
      <w:pPr>
        <w:ind w:left="834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CEO</w:t>
      </w:r>
    </w:p>
    <w:p>
      <w:pPr>
        <w:spacing w:after="0" w:line="227"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Christopher P. Shea</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22"/>
          <w:szCs w:val="22"/>
          <w:u w:val="single" w:color="auto"/>
          <w:color w:val="auto"/>
        </w:rPr>
        <w:t>/s/Christopher P. Shea</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Phone:</w:t>
      </w:r>
    </w:p>
    <w:p>
      <w:pPr>
        <w:spacing w:after="0" w:line="233" w:lineRule="exact"/>
        <w:rPr>
          <w:sz w:val="20"/>
          <w:szCs w:val="20"/>
          <w:color w:val="auto"/>
        </w:rPr>
      </w:pPr>
    </w:p>
    <w:p>
      <w:pPr>
        <w:jc w:val="center"/>
        <w:ind w:right="500"/>
        <w:spacing w:after="0"/>
        <w:rPr>
          <w:sz w:val="20"/>
          <w:szCs w:val="20"/>
          <w:color w:val="auto"/>
        </w:rPr>
      </w:pPr>
      <w:r>
        <w:rPr>
          <w:rFonts w:ascii="Arial" w:cs="Arial" w:eastAsia="Arial" w:hAnsi="Arial"/>
          <w:sz w:val="22"/>
          <w:szCs w:val="22"/>
          <w:color w:val="auto"/>
        </w:rPr>
        <w:t>Fax:</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Lasse J. Petterson, certify that:</w:t>
      </w:r>
    </w:p>
    <w:p>
      <w:pPr>
        <w:spacing w:after="0" w:line="117"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w:t>
      </w:r>
      <w:r>
        <w:rPr>
          <w:rFonts w:ascii="Arial" w:cs="Arial" w:eastAsia="Arial" w:hAnsi="Arial"/>
          <w:sz w:val="12"/>
          <w:szCs w:val="12"/>
          <w:color w:val="auto"/>
        </w:rPr>
        <w:t>ASSE</w:t>
      </w:r>
      <w:r>
        <w:rPr>
          <w:rFonts w:ascii="Arial" w:cs="Arial" w:eastAsia="Arial" w:hAnsi="Arial"/>
          <w:sz w:val="18"/>
          <w:szCs w:val="18"/>
          <w:color w:val="auto"/>
        </w:rPr>
        <w:t xml:space="preserve"> J. P</w:t>
      </w:r>
      <w:r>
        <w:rPr>
          <w:rFonts w:ascii="Arial" w:cs="Arial" w:eastAsia="Arial" w:hAnsi="Arial"/>
          <w:sz w:val="12"/>
          <w:szCs w:val="12"/>
          <w:color w:val="auto"/>
        </w:rPr>
        <w:t>ETTERSON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3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Mark W. Marinko, certify that:</w:t>
      </w:r>
    </w:p>
    <w:p>
      <w:pPr>
        <w:spacing w:after="0" w:line="117"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13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Quarterly Report of Great Lakes Dredge &amp; Dock Corporation (the “Company”) on Form 10-Q for the period ended September 30, 2018, as filed with the Securities and Exchange Commission on the date hereof (the “Report”), I, Lasse J. Petterson, Chief Executive Officer of the Company, certify pursuant to 18 U.S.C. Section 1350, as adopted pursuant to Section 906 of the Sarbanes-Oxley Act of 2002, that to my knowledge:</w:t>
      </w:r>
    </w:p>
    <w:p>
      <w:pPr>
        <w:spacing w:after="0" w:line="57"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L</w:t>
      </w:r>
      <w:r>
        <w:rPr>
          <w:rFonts w:ascii="Arial" w:cs="Arial" w:eastAsia="Arial" w:hAnsi="Arial"/>
          <w:sz w:val="12"/>
          <w:szCs w:val="12"/>
          <w:color w:val="auto"/>
        </w:rPr>
        <w:t>ASSE</w:t>
      </w:r>
      <w:r>
        <w:rPr>
          <w:rFonts w:ascii="Arial" w:cs="Arial" w:eastAsia="Arial" w:hAnsi="Arial"/>
          <w:sz w:val="18"/>
          <w:szCs w:val="18"/>
          <w:color w:val="auto"/>
        </w:rPr>
        <w:t xml:space="preserve"> J. P</w:t>
      </w:r>
      <w:r>
        <w:rPr>
          <w:rFonts w:ascii="Arial" w:cs="Arial" w:eastAsia="Arial" w:hAnsi="Arial"/>
          <w:sz w:val="12"/>
          <w:szCs w:val="12"/>
          <w:color w:val="auto"/>
        </w:rPr>
        <w:t>ETTERSON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3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of Great Lakes Dredge &amp; Dock Corporation (the “Company”) on Form 10-Q for the period ended September 30, 2018, as filed with the Securities and Exchange Commission on the date hereof (the “Report”), I, Mark W. Marinko, Senior Vice President and Chief Financial Officer of the Company, certify pursuant to 18 U.S.C. Section 1350, as adopted pursuant to Section 906 of the Sarbanes-Oxley Act of 2002, that to my knowledge:</w:t>
      </w:r>
    </w:p>
    <w:p>
      <w:pPr>
        <w:spacing w:after="0" w:line="79"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2"/>
    </w:lvl>
  </w:abstractNum>
  <w:abstractNum w:abstractNumId="5">
    <w:nsid w:val="109CF92E"/>
    <w:multiLevelType w:val="hybridMultilevel"/>
    <w:lvl w:ilvl="0">
      <w:lvlJc w:val="left"/>
      <w:lvlText w:val="%1."/>
      <w:numFmt w:val="decimal"/>
      <w:start w:val="4"/>
    </w:lvl>
  </w:abstractNum>
  <w:abstractNum w:abstractNumId="6">
    <w:nsid w:val="DED7263"/>
    <w:multiLevelType w:val="hybridMultilevel"/>
    <w:lvl w:ilvl="0">
      <w:lvlJc w:val="left"/>
      <w:lvlText w:val="%1."/>
      <w:numFmt w:val="decimal"/>
      <w:start w:val="5"/>
    </w:lvl>
  </w:abstractNum>
  <w:abstractNum w:abstractNumId="7">
    <w:nsid w:val="7FDCC233"/>
    <w:multiLevelType w:val="hybridMultilevel"/>
    <w:lvl w:ilvl="0">
      <w:lvlJc w:val="left"/>
      <w:lvlText w:val="%1."/>
      <w:numFmt w:val="decimal"/>
      <w:start w:val="6"/>
    </w:lvl>
  </w:abstractNum>
  <w:abstractNum w:abstractNumId="8">
    <w:nsid w:val="1BEFD79F"/>
    <w:multiLevelType w:val="hybridMultilevel"/>
    <w:lvl w:ilvl="0">
      <w:lvlJc w:val="left"/>
      <w:lvlText w:val="%1."/>
      <w:numFmt w:val="decimal"/>
      <w:start w:val="7"/>
    </w:lvl>
  </w:abstractNum>
  <w:abstractNum w:abstractNumId="9">
    <w:nsid w:val="41A7C4C9"/>
    <w:multiLevelType w:val="hybridMultilevel"/>
    <w:lvl w:ilvl="0">
      <w:lvlJc w:val="left"/>
      <w:lvlText w:val="%1."/>
      <w:numFmt w:val="decimal"/>
      <w:start w:val="8"/>
    </w:lvl>
  </w:abstractNum>
  <w:abstractNum w:abstractNumId="10">
    <w:nsid w:val="6B68079A"/>
    <w:multiLevelType w:val="hybridMultilevel"/>
    <w:lvl w:ilvl="0">
      <w:lvlJc w:val="left"/>
      <w:lvlText w:val="%1."/>
      <w:numFmt w:val="decimal"/>
      <w:start w:val="9"/>
    </w:lvl>
  </w:abstractNum>
  <w:abstractNum w:abstractNumId="11">
    <w:nsid w:val="4E6AFB66"/>
    <w:multiLevelType w:val="hybridMultilevel"/>
    <w:lvl w:ilvl="0">
      <w:lvlJc w:val="left"/>
      <w:lvlText w:val="%1."/>
      <w:numFmt w:val="decimal"/>
      <w:start w:val="10"/>
    </w:lvl>
  </w:abstractNum>
  <w:abstractNum w:abstractNumId="12">
    <w:nsid w:val="25E45D32"/>
    <w:multiLevelType w:val="hybridMultilevel"/>
    <w:lvl w:ilvl="0">
      <w:lvlJc w:val="left"/>
      <w:lvlText w:val="%1."/>
      <w:numFmt w:val="decimal"/>
      <w:start w:val="11"/>
    </w:lvl>
  </w:abstractNum>
  <w:abstractNum w:abstractNumId="13">
    <w:nsid w:val="519B500D"/>
    <w:multiLevelType w:val="hybridMultilevel"/>
    <w:lvl w:ilvl="0">
      <w:lvlJc w:val="left"/>
      <w:lvlText w:val="%1."/>
      <w:numFmt w:val="decimal"/>
      <w:start w:val="12"/>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4"/>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2019-12-28T18:23:39Z</dcterms:created>
  <dcterms:modified xsi:type="dcterms:W3CDTF">2019-12-28T18:23:39Z</dcterms:modified>
</cp:coreProperties>
</file>