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26670</wp:posOffset>
            </wp:positionV>
            <wp:extent cx="14401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6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-79375</wp:posOffset>
            </wp:positionV>
            <wp:extent cx="14401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0"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39"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0"/>
          <w:szCs w:val="10"/>
          <w:b w:val="1"/>
          <w:bCs w:val="1"/>
          <w:color w:val="auto"/>
        </w:rPr>
        <w:t>For the fiscal year ended December 31, 2024</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10" w:lineRule="exact"/>
        <w:rPr>
          <w:sz w:val="24"/>
          <w:szCs w:val="24"/>
          <w:color w:val="auto"/>
        </w:rPr>
      </w:pPr>
    </w:p>
    <w:p>
      <w:pPr>
        <w:ind w:left="248" w:hanging="248"/>
        <w:spacing w:after="0"/>
        <w:tabs>
          <w:tab w:leader="none" w:pos="2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32" w:lineRule="exact"/>
        <w:rPr>
          <w:sz w:val="24"/>
          <w:szCs w:val="24"/>
          <w:color w:val="auto"/>
        </w:rPr>
      </w:pPr>
    </w:p>
    <w:p>
      <w:pPr>
        <w:ind w:left="4688"/>
        <w:spacing w:after="0"/>
        <w:tabs>
          <w:tab w:leader="none" w:pos="6208" w:val="left"/>
        </w:tabs>
        <w:rPr>
          <w:sz w:val="20"/>
          <w:szCs w:val="20"/>
          <w:color w:val="auto"/>
        </w:rPr>
      </w:pPr>
      <w:r>
        <w:rPr>
          <w:rFonts w:ascii="Times New Roman" w:cs="Times New Roman" w:eastAsia="Times New Roman" w:hAnsi="Times New Roman"/>
          <w:sz w:val="10"/>
          <w:szCs w:val="10"/>
          <w:b w:val="1"/>
          <w:bCs w:val="1"/>
          <w:color w:val="auto"/>
        </w:rPr>
        <w:t>For the transition period from</w:t>
      </w:r>
      <w:r>
        <w:rPr>
          <w:sz w:val="20"/>
          <w:szCs w:val="20"/>
          <w:color w:val="auto"/>
        </w:rPr>
        <w:tab/>
      </w:r>
      <w:r>
        <w:rPr>
          <w:rFonts w:ascii="Times New Roman" w:cs="Times New Roman" w:eastAsia="Times New Roman" w:hAnsi="Times New Roman"/>
          <w:sz w:val="8"/>
          <w:szCs w:val="8"/>
          <w:b w:val="1"/>
          <w:bCs w:val="1"/>
          <w:color w:val="auto"/>
        </w:rPr>
        <w:t>to</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3297555</wp:posOffset>
            </wp:positionH>
            <wp:positionV relativeFrom="paragraph">
              <wp:posOffset>0</wp:posOffset>
            </wp:positionV>
            <wp:extent cx="588645" cy="560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645" cy="5600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Great Lakes Dredge &amp; Dock Corporation</w:t>
      </w:r>
    </w:p>
    <w:p>
      <w:pPr>
        <w:spacing w:after="0" w:line="3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24765</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31" w:lineRule="exact"/>
        <w:rPr>
          <w:sz w:val="24"/>
          <w:szCs w:val="24"/>
          <w:color w:val="auto"/>
        </w:rPr>
      </w:pPr>
    </w:p>
    <w:tbl>
      <w:tblPr>
        <w:tblLayout w:type="fixed"/>
        <w:tblInd w:w="2028" w:type="dxa"/>
        <w:tblCellMar>
          <w:top w:w="0" w:type="dxa"/>
          <w:left w:w="0" w:type="dxa"/>
          <w:bottom w:w="0" w:type="dxa"/>
          <w:right w:w="0" w:type="dxa"/>
        </w:tblCellMar>
      </w:tblPr>
      <w:tr>
        <w:trPr>
          <w:trHeight w:val="115"/>
        </w:trPr>
        <w:tc>
          <w:tcPr>
            <w:tcW w:w="2200" w:type="dxa"/>
            <w:vAlign w:val="bottom"/>
          </w:tcPr>
          <w:p>
            <w:pPr>
              <w:jc w:val="center"/>
              <w:ind w:right="191"/>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494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20-5336063</w:t>
            </w:r>
          </w:p>
        </w:tc>
      </w:tr>
      <w:tr>
        <w:trPr>
          <w:trHeight w:val="99"/>
        </w:trPr>
        <w:tc>
          <w:tcPr>
            <w:tcW w:w="2200" w:type="dxa"/>
            <w:vAlign w:val="bottom"/>
          </w:tcPr>
          <w:p>
            <w:pPr>
              <w:jc w:val="center"/>
              <w:ind w:right="191"/>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4940" w:type="dxa"/>
            <w:vAlign w:val="bottom"/>
          </w:tcPr>
          <w:p>
            <w:pPr>
              <w:jc w:val="center"/>
              <w:ind w:left="4151"/>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2200" w:type="dxa"/>
            <w:vAlign w:val="bottom"/>
          </w:tcPr>
          <w:p>
            <w:pPr>
              <w:jc w:val="center"/>
              <w:ind w:right="191"/>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4940" w:type="dxa"/>
            <w:vAlign w:val="bottom"/>
          </w:tcPr>
          <w:p>
            <w:pPr>
              <w:jc w:val="center"/>
              <w:ind w:left="4131"/>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109"/>
        </w:trPr>
        <w:tc>
          <w:tcPr>
            <w:tcW w:w="2200" w:type="dxa"/>
            <w:vAlign w:val="bottom"/>
          </w:tcPr>
          <w:p>
            <w:pPr>
              <w:jc w:val="center"/>
              <w:ind w:right="191"/>
              <w:spacing w:after="0" w:line="109" w:lineRule="exact"/>
              <w:rPr>
                <w:sz w:val="20"/>
                <w:szCs w:val="20"/>
                <w:color w:val="auto"/>
              </w:rPr>
            </w:pPr>
            <w:r>
              <w:rPr>
                <w:rFonts w:ascii="Times New Roman" w:cs="Times New Roman" w:eastAsia="Times New Roman" w:hAnsi="Times New Roman"/>
                <w:sz w:val="10"/>
                <w:szCs w:val="10"/>
                <w:b w:val="1"/>
                <w:bCs w:val="1"/>
                <w:color w:val="auto"/>
              </w:rPr>
              <w:t>9811 Katy Freeway, Suite 1200, Houston, TX</w:t>
            </w:r>
          </w:p>
        </w:tc>
        <w:tc>
          <w:tcPr>
            <w:tcW w:w="4940" w:type="dxa"/>
            <w:vAlign w:val="bottom"/>
          </w:tcPr>
          <w:p>
            <w:pPr>
              <w:jc w:val="right"/>
              <w:ind w:right="191"/>
              <w:spacing w:after="0" w:line="109" w:lineRule="exact"/>
              <w:rPr>
                <w:sz w:val="20"/>
                <w:szCs w:val="20"/>
                <w:color w:val="auto"/>
              </w:rPr>
            </w:pPr>
            <w:r>
              <w:rPr>
                <w:rFonts w:ascii="Times New Roman" w:cs="Times New Roman" w:eastAsia="Times New Roman" w:hAnsi="Times New Roman"/>
                <w:sz w:val="10"/>
                <w:szCs w:val="10"/>
                <w:b w:val="1"/>
                <w:bCs w:val="1"/>
                <w:color w:val="auto"/>
              </w:rPr>
              <w:t>77024</w:t>
            </w:r>
          </w:p>
        </w:tc>
      </w:tr>
      <w:tr>
        <w:trPr>
          <w:trHeight w:val="121"/>
        </w:trPr>
        <w:tc>
          <w:tcPr>
            <w:tcW w:w="2200" w:type="dxa"/>
            <w:vAlign w:val="bottom"/>
          </w:tcPr>
          <w:p>
            <w:pPr>
              <w:jc w:val="center"/>
              <w:ind w:right="191"/>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4940" w:type="dxa"/>
            <w:vAlign w:val="bottom"/>
          </w:tcPr>
          <w:p>
            <w:pPr>
              <w:jc w:val="center"/>
              <w:ind w:left="4131"/>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104"/>
        </w:trPr>
        <w:tc>
          <w:tcPr>
            <w:tcW w:w="2200" w:type="dxa"/>
            <w:vAlign w:val="bottom"/>
          </w:tcPr>
          <w:p>
            <w:pPr>
              <w:spacing w:after="0"/>
              <w:rPr>
                <w:sz w:val="9"/>
                <w:szCs w:val="9"/>
                <w:color w:val="auto"/>
              </w:rPr>
            </w:pPr>
          </w:p>
        </w:tc>
        <w:tc>
          <w:tcPr>
            <w:tcW w:w="4940" w:type="dxa"/>
            <w:vAlign w:val="bottom"/>
          </w:tcPr>
          <w:p>
            <w:pPr>
              <w:jc w:val="center"/>
              <w:ind w:right="2051"/>
              <w:spacing w:after="0" w:line="104" w:lineRule="exact"/>
              <w:rPr>
                <w:sz w:val="20"/>
                <w:szCs w:val="20"/>
                <w:color w:val="auto"/>
              </w:rPr>
            </w:pPr>
            <w:r>
              <w:rPr>
                <w:rFonts w:ascii="Times New Roman" w:cs="Times New Roman" w:eastAsia="Times New Roman" w:hAnsi="Times New Roman"/>
                <w:sz w:val="10"/>
                <w:szCs w:val="10"/>
                <w:b w:val="1"/>
                <w:bCs w:val="1"/>
                <w:color w:val="auto"/>
              </w:rPr>
              <w:t>(346) 359-1010</w:t>
            </w:r>
          </w:p>
        </w:tc>
      </w:tr>
      <w:tr>
        <w:trPr>
          <w:trHeight w:val="125"/>
        </w:trPr>
        <w:tc>
          <w:tcPr>
            <w:tcW w:w="2200" w:type="dxa"/>
            <w:vAlign w:val="bottom"/>
          </w:tcPr>
          <w:p>
            <w:pPr>
              <w:spacing w:after="0"/>
              <w:rPr>
                <w:sz w:val="10"/>
                <w:szCs w:val="10"/>
                <w:color w:val="auto"/>
              </w:rPr>
            </w:pPr>
          </w:p>
        </w:tc>
        <w:tc>
          <w:tcPr>
            <w:tcW w:w="4940" w:type="dxa"/>
            <w:vAlign w:val="bottom"/>
          </w:tcPr>
          <w:p>
            <w:pPr>
              <w:jc w:val="center"/>
              <w:ind w:right="2031"/>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r>
      <w:tr>
        <w:trPr>
          <w:trHeight w:val="126"/>
        </w:trPr>
        <w:tc>
          <w:tcPr>
            <w:tcW w:w="2200" w:type="dxa"/>
            <w:vAlign w:val="bottom"/>
          </w:tcPr>
          <w:p>
            <w:pPr>
              <w:spacing w:after="0"/>
              <w:rPr>
                <w:sz w:val="10"/>
                <w:szCs w:val="10"/>
                <w:color w:val="auto"/>
              </w:rPr>
            </w:pPr>
          </w:p>
        </w:tc>
        <w:tc>
          <w:tcPr>
            <w:tcW w:w="4940" w:type="dxa"/>
            <w:vAlign w:val="bottom"/>
          </w:tcPr>
          <w:p>
            <w:pPr>
              <w:jc w:val="center"/>
              <w:ind w:right="2051"/>
              <w:spacing w:after="0"/>
              <w:rPr>
                <w:sz w:val="20"/>
                <w:szCs w:val="20"/>
                <w:color w:val="auto"/>
              </w:rPr>
            </w:pPr>
            <w:r>
              <w:rPr>
                <w:rFonts w:ascii="Times New Roman" w:cs="Times New Roman" w:eastAsia="Times New Roman" w:hAnsi="Times New Roman"/>
                <w:sz w:val="10"/>
                <w:szCs w:val="10"/>
                <w:b w:val="1"/>
                <w:bCs w:val="1"/>
                <w:color w:val="auto"/>
                <w:w w:val="96"/>
              </w:rPr>
              <w:t>Securities registered pursuant to Section 12(b) of the Act:</w:t>
            </w:r>
          </w:p>
        </w:tc>
      </w:tr>
    </w:tbl>
    <w:p>
      <w:pPr>
        <w:spacing w:after="0" w:line="98" w:lineRule="exact"/>
        <w:rPr>
          <w:sz w:val="24"/>
          <w:szCs w:val="24"/>
          <w:color w:val="auto"/>
        </w:rPr>
      </w:pPr>
    </w:p>
    <w:tbl>
      <w:tblPr>
        <w:tblLayout w:type="fixed"/>
        <w:tblInd w:w="508" w:type="dxa"/>
        <w:tblCellMar>
          <w:top w:w="0" w:type="dxa"/>
          <w:left w:w="0" w:type="dxa"/>
          <w:bottom w:w="0" w:type="dxa"/>
          <w:right w:w="0" w:type="dxa"/>
        </w:tblCellMar>
      </w:tblPr>
      <w:tr>
        <w:trPr>
          <w:trHeight w:val="126"/>
        </w:trPr>
        <w:tc>
          <w:tcPr>
            <w:tcW w:w="12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2560" w:type="dxa"/>
            <w:vAlign w:val="bottom"/>
          </w:tcPr>
          <w:p>
            <w:pPr>
              <w:spacing w:after="0"/>
              <w:rPr>
                <w:sz w:val="11"/>
                <w:szCs w:val="11"/>
                <w:color w:val="auto"/>
              </w:rPr>
            </w:pPr>
          </w:p>
        </w:tc>
        <w:tc>
          <w:tcPr>
            <w:tcW w:w="2480" w:type="dxa"/>
            <w:vAlign w:val="bottom"/>
            <w:gridSpan w:val="4"/>
          </w:tcPr>
          <w:p>
            <w:pPr>
              <w:jc w:val="center"/>
              <w:ind w:right="138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580" w:type="dxa"/>
            <w:vAlign w:val="bottom"/>
            <w:gridSpan w:val="2"/>
          </w:tcPr>
          <w:p>
            <w:pPr>
              <w:jc w:val="center"/>
              <w:ind w:left="526"/>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43"/>
        </w:trPr>
        <w:tc>
          <w:tcPr>
            <w:tcW w:w="4600" w:type="dxa"/>
            <w:vAlign w:val="bottom"/>
            <w:gridSpan w:val="3"/>
          </w:tcPr>
          <w:p>
            <w:pPr>
              <w:jc w:val="center"/>
              <w:ind w:right="1289"/>
              <w:spacing w:after="0"/>
              <w:rPr>
                <w:sz w:val="20"/>
                <w:szCs w:val="20"/>
                <w:color w:val="auto"/>
              </w:rPr>
            </w:pPr>
            <w:r>
              <w:rPr>
                <w:rFonts w:ascii="Times New Roman" w:cs="Times New Roman" w:eastAsia="Times New Roman" w:hAnsi="Times New Roman"/>
                <w:sz w:val="10"/>
                <w:szCs w:val="10"/>
                <w:color w:val="auto"/>
                <w:w w:val="95"/>
              </w:rPr>
              <w:t>Common Stock, (Par Value $0.0001)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2"/>
          </w:tcPr>
          <w:p>
            <w:pPr>
              <w:jc w:val="center"/>
              <w:ind w:right="1760"/>
              <w:spacing w:after="0"/>
              <w:rPr>
                <w:sz w:val="20"/>
                <w:szCs w:val="20"/>
                <w:color w:val="auto"/>
              </w:rPr>
            </w:pPr>
            <w:r>
              <w:rPr>
                <w:rFonts w:ascii="Times New Roman" w:cs="Times New Roman" w:eastAsia="Times New Roman" w:hAnsi="Times New Roman"/>
                <w:sz w:val="10"/>
                <w:szCs w:val="10"/>
                <w:color w:val="auto"/>
                <w:w w:val="93"/>
              </w:rPr>
              <w:t>GLDD</w:t>
            </w:r>
          </w:p>
        </w:tc>
        <w:tc>
          <w:tcPr>
            <w:tcW w:w="5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Nasdaq Stock Market, LLC</w:t>
            </w:r>
          </w:p>
        </w:tc>
      </w:tr>
      <w:tr>
        <w:trPr>
          <w:trHeight w:val="155"/>
        </w:trPr>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40" w:type="dxa"/>
            <w:vAlign w:val="bottom"/>
            <w:gridSpan w:val="5"/>
          </w:tcPr>
          <w:p>
            <w:pPr>
              <w:jc w:val="center"/>
              <w:ind w:left="1109"/>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12(g) of the Act: None</w:t>
            </w:r>
          </w:p>
        </w:tc>
        <w:tc>
          <w:tcPr>
            <w:tcW w:w="5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13"/>
        </w:trPr>
        <w:tc>
          <w:tcPr>
            <w:tcW w:w="4600" w:type="dxa"/>
            <w:vAlign w:val="bottom"/>
            <w:gridSpan w:val="3"/>
          </w:tcPr>
          <w:p>
            <w:pPr>
              <w:spacing w:after="0"/>
              <w:rPr>
                <w:sz w:val="20"/>
                <w:szCs w:val="20"/>
                <w:color w:val="auto"/>
              </w:rPr>
            </w:pPr>
            <w:r>
              <w:rPr>
                <w:rFonts w:ascii="Times New Roman" w:cs="Times New Roman" w:eastAsia="Times New Roman" w:hAnsi="Times New Roman"/>
                <w:sz w:val="10"/>
                <w:szCs w:val="10"/>
                <w:color w:val="auto"/>
                <w:w w:val="97"/>
              </w:rPr>
              <w:t>Indicate by check mark if the registrant is a well-known seasoned issuer, as defined in Rule 405 of the Securities Act.</w:t>
            </w:r>
          </w:p>
        </w:tc>
        <w:tc>
          <w:tcPr>
            <w:tcW w:w="380" w:type="dxa"/>
            <w:vAlign w:val="bottom"/>
            <w:gridSpan w:val="2"/>
          </w:tcPr>
          <w:p>
            <w:pPr>
              <w:spacing w:after="0" w:line="115" w:lineRule="exact"/>
              <w:rPr>
                <w:sz w:val="20"/>
                <w:szCs w:val="20"/>
                <w:color w:val="auto"/>
              </w:rPr>
            </w:pPr>
            <w:r>
              <w:rPr>
                <w:rFonts w:ascii="Times New Roman" w:cs="Times New Roman" w:eastAsia="Times New Roman" w:hAnsi="Times New Roman"/>
                <w:sz w:val="10"/>
                <w:szCs w:val="10"/>
                <w:color w:val="auto"/>
              </w:rPr>
              <w:t xml:space="preserve">Yes </w:t>
            </w:r>
            <w:r>
              <w:rPr>
                <w:rFonts w:ascii="MS PGothic" w:cs="MS PGothic" w:eastAsia="MS PGothic" w:hAnsi="MS PGothic"/>
                <w:sz w:val="10"/>
                <w:szCs w:val="10"/>
                <w:color w:val="auto"/>
              </w:rPr>
              <w:t>☐</w:t>
            </w:r>
          </w:p>
        </w:tc>
        <w:tc>
          <w:tcPr>
            <w:tcW w:w="2100" w:type="dxa"/>
            <w:vAlign w:val="bottom"/>
            <w:gridSpan w:val="2"/>
          </w:tcPr>
          <w:p>
            <w:pPr>
              <w:spacing w:after="0" w:line="115" w:lineRule="exact"/>
              <w:rPr>
                <w:sz w:val="20"/>
                <w:szCs w:val="20"/>
                <w:color w:val="auto"/>
              </w:rPr>
            </w:pP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tc>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140"/>
        </w:trPr>
        <w:tc>
          <w:tcPr>
            <w:tcW w:w="4600" w:type="dxa"/>
            <w:vAlign w:val="bottom"/>
            <w:gridSpan w:val="3"/>
          </w:tcPr>
          <w:p>
            <w:pPr>
              <w:spacing w:after="0"/>
              <w:rPr>
                <w:sz w:val="20"/>
                <w:szCs w:val="20"/>
                <w:color w:val="auto"/>
              </w:rPr>
            </w:pPr>
            <w:r>
              <w:rPr>
                <w:rFonts w:ascii="Times New Roman" w:cs="Times New Roman" w:eastAsia="Times New Roman" w:hAnsi="Times New Roman"/>
                <w:sz w:val="10"/>
                <w:szCs w:val="10"/>
                <w:color w:val="auto"/>
                <w:w w:val="95"/>
              </w:rPr>
              <w:t>Indicate by check mark if the registrant is not required to file reports pursuant to Section 13 or Section 15(d) of the Act.</w:t>
            </w:r>
          </w:p>
        </w:tc>
        <w:tc>
          <w:tcPr>
            <w:tcW w:w="38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0"/>
                <w:szCs w:val="10"/>
                <w:color w:val="auto"/>
                <w:w w:val="99"/>
              </w:rPr>
              <w:t xml:space="preserve">Yes </w:t>
            </w:r>
            <w:r>
              <w:rPr>
                <w:rFonts w:ascii="MS PGothic" w:cs="MS PGothic" w:eastAsia="MS PGothic" w:hAnsi="MS PGothic"/>
                <w:sz w:val="10"/>
                <w:szCs w:val="10"/>
                <w:color w:val="auto"/>
                <w:w w:val="99"/>
              </w:rPr>
              <w:t>☐</w:t>
            </w:r>
          </w:p>
        </w:tc>
        <w:tc>
          <w:tcPr>
            <w:tcW w:w="21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tc>
        <w:tc>
          <w:tcPr>
            <w:tcW w:w="580" w:type="dxa"/>
            <w:vAlign w:val="bottom"/>
          </w:tcPr>
          <w:p>
            <w:pPr>
              <w:spacing w:after="0"/>
              <w:rPr>
                <w:sz w:val="12"/>
                <w:szCs w:val="12"/>
                <w:color w:val="auto"/>
              </w:rPr>
            </w:pPr>
          </w:p>
        </w:tc>
        <w:tc>
          <w:tcPr>
            <w:tcW w:w="2000" w:type="dxa"/>
            <w:vAlign w:val="bottom"/>
          </w:tcPr>
          <w:p>
            <w:pPr>
              <w:spacing w:after="0"/>
              <w:rPr>
                <w:sz w:val="12"/>
                <w:szCs w:val="12"/>
                <w:color w:val="auto"/>
              </w:rPr>
            </w:pPr>
          </w:p>
        </w:tc>
      </w:tr>
    </w:tbl>
    <w:p>
      <w:pPr>
        <w:ind w:left="8" w:right="20" w:firstLine="512"/>
        <w:spacing w:after="0" w:line="10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8" w:right="200" w:firstLine="512"/>
        <w:spacing w:after="0" w:line="10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508"/>
        <w:spacing w:after="0"/>
        <w:rPr>
          <w:sz w:val="20"/>
          <w:szCs w:val="20"/>
          <w:color w:val="auto"/>
        </w:rPr>
      </w:pPr>
      <w:r>
        <w:rPr>
          <w:rFonts w:ascii="Times New Roman" w:cs="Times New Roman" w:eastAsia="Times New Roman" w:hAnsi="Times New Roman"/>
          <w:sz w:val="8"/>
          <w:szCs w:val="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w:t>
      </w:r>
    </w:p>
    <w:p>
      <w:pPr>
        <w:spacing w:after="0" w:line="7" w:lineRule="exact"/>
        <w:rPr>
          <w:sz w:val="24"/>
          <w:szCs w:val="24"/>
          <w:color w:val="auto"/>
        </w:rPr>
      </w:pPr>
    </w:p>
    <w:tbl>
      <w:tblPr>
        <w:tblLayout w:type="fixed"/>
        <w:tblInd w:w="8" w:type="dxa"/>
        <w:tblCellMar>
          <w:top w:w="0" w:type="dxa"/>
          <w:left w:w="0" w:type="dxa"/>
          <w:bottom w:w="0" w:type="dxa"/>
          <w:right w:w="0" w:type="dxa"/>
        </w:tblCellMar>
      </w:tblPr>
      <w:tr>
        <w:trPr>
          <w:trHeight w:val="123"/>
        </w:trPr>
        <w:tc>
          <w:tcPr>
            <w:tcW w:w="4000" w:type="dxa"/>
            <w:vAlign w:val="bottom"/>
          </w:tcPr>
          <w:p>
            <w:pPr>
              <w:spacing w:after="0"/>
              <w:rPr>
                <w:sz w:val="20"/>
                <w:szCs w:val="20"/>
                <w:color w:val="auto"/>
              </w:rPr>
            </w:pPr>
            <w:r>
              <w:rPr>
                <w:rFonts w:ascii="Times New Roman" w:cs="Times New Roman" w:eastAsia="Times New Roman" w:hAnsi="Times New Roman"/>
                <w:sz w:val="10"/>
                <w:szCs w:val="10"/>
                <w:color w:val="auto"/>
              </w:rPr>
              <w:t>“emerging growth company” in Rule 12b-2 of the Exchange Act.</w:t>
            </w:r>
          </w:p>
        </w:tc>
        <w:tc>
          <w:tcPr>
            <w:tcW w:w="1780" w:type="dxa"/>
            <w:vAlign w:val="bottom"/>
            <w:vMerge w:val="restart"/>
          </w:tcPr>
          <w:p>
            <w:pPr>
              <w:ind w:left="1500"/>
              <w:spacing w:after="0" w:line="101" w:lineRule="exact"/>
              <w:rPr>
                <w:sz w:val="20"/>
                <w:szCs w:val="20"/>
                <w:color w:val="auto"/>
              </w:rPr>
            </w:pPr>
            <w:r>
              <w:rPr>
                <w:rFonts w:ascii="MS PGothic" w:cs="MS PGothic" w:eastAsia="MS PGothic" w:hAnsi="MS PGothic"/>
                <w:sz w:val="10"/>
                <w:szCs w:val="10"/>
                <w:color w:val="auto"/>
              </w:rPr>
              <w:t>☐</w:t>
            </w:r>
          </w:p>
        </w:tc>
        <w:tc>
          <w:tcPr>
            <w:tcW w:w="2580" w:type="dxa"/>
            <w:vAlign w:val="bottom"/>
          </w:tcPr>
          <w:p>
            <w:pPr>
              <w:spacing w:after="0"/>
              <w:rPr>
                <w:sz w:val="10"/>
                <w:szCs w:val="10"/>
                <w:color w:val="auto"/>
              </w:rPr>
            </w:pPr>
          </w:p>
        </w:tc>
        <w:tc>
          <w:tcPr>
            <w:tcW w:w="1440" w:type="dxa"/>
            <w:vAlign w:val="bottom"/>
            <w:vMerge w:val="restart"/>
          </w:tcPr>
          <w:p>
            <w:pPr>
              <w:ind w:left="136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r>
        <w:trPr>
          <w:trHeight w:val="106"/>
        </w:trPr>
        <w:tc>
          <w:tcPr>
            <w:tcW w:w="4000" w:type="dxa"/>
            <w:vAlign w:val="bottom"/>
          </w:tcPr>
          <w:p>
            <w:pPr>
              <w:ind w:left="1420"/>
              <w:spacing w:after="0" w:line="106" w:lineRule="exact"/>
              <w:rPr>
                <w:sz w:val="20"/>
                <w:szCs w:val="20"/>
                <w:color w:val="auto"/>
              </w:rPr>
            </w:pPr>
            <w:r>
              <w:rPr>
                <w:rFonts w:ascii="Times New Roman" w:cs="Times New Roman" w:eastAsia="Times New Roman" w:hAnsi="Times New Roman"/>
                <w:sz w:val="10"/>
                <w:szCs w:val="10"/>
                <w:color w:val="auto"/>
              </w:rPr>
              <w:t>Large accelerated filer</w:t>
            </w:r>
          </w:p>
        </w:tc>
        <w:tc>
          <w:tcPr>
            <w:tcW w:w="1780" w:type="dxa"/>
            <w:vAlign w:val="bottom"/>
            <w:vMerge w:val="continue"/>
          </w:tcPr>
          <w:p>
            <w:pPr>
              <w:spacing w:after="0"/>
              <w:rPr>
                <w:sz w:val="9"/>
                <w:szCs w:val="9"/>
                <w:color w:val="auto"/>
              </w:rPr>
            </w:pPr>
          </w:p>
        </w:tc>
        <w:tc>
          <w:tcPr>
            <w:tcW w:w="2580" w:type="dxa"/>
            <w:vAlign w:val="bottom"/>
          </w:tcPr>
          <w:p>
            <w:pPr>
              <w:ind w:left="180"/>
              <w:spacing w:after="0" w:line="106" w:lineRule="exact"/>
              <w:rPr>
                <w:sz w:val="20"/>
                <w:szCs w:val="20"/>
                <w:color w:val="auto"/>
              </w:rPr>
            </w:pPr>
            <w:r>
              <w:rPr>
                <w:rFonts w:ascii="Times New Roman" w:cs="Times New Roman" w:eastAsia="Times New Roman" w:hAnsi="Times New Roman"/>
                <w:sz w:val="10"/>
                <w:szCs w:val="10"/>
                <w:color w:val="auto"/>
              </w:rPr>
              <w:t>Accelerated filer</w:t>
            </w: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000" w:type="dxa"/>
            <w:vAlign w:val="bottom"/>
          </w:tcPr>
          <w:p>
            <w:pPr>
              <w:ind w:left="1420"/>
              <w:spacing w:after="0"/>
              <w:rPr>
                <w:sz w:val="20"/>
                <w:szCs w:val="20"/>
                <w:color w:val="auto"/>
              </w:rPr>
            </w:pPr>
            <w:r>
              <w:rPr>
                <w:rFonts w:ascii="Times New Roman" w:cs="Times New Roman" w:eastAsia="Times New Roman" w:hAnsi="Times New Roman"/>
                <w:sz w:val="10"/>
                <w:szCs w:val="10"/>
                <w:color w:val="auto"/>
              </w:rPr>
              <w:t>Non-accelerated filer</w:t>
            </w:r>
          </w:p>
        </w:tc>
        <w:tc>
          <w:tcPr>
            <w:tcW w:w="1780" w:type="dxa"/>
            <w:vAlign w:val="bottom"/>
          </w:tcPr>
          <w:p>
            <w:pPr>
              <w:ind w:left="1500"/>
              <w:spacing w:after="0" w:line="101" w:lineRule="exact"/>
              <w:rPr>
                <w:sz w:val="20"/>
                <w:szCs w:val="20"/>
                <w:color w:val="auto"/>
              </w:rPr>
            </w:pPr>
            <w:r>
              <w:rPr>
                <w:rFonts w:ascii="MS PGothic" w:cs="MS PGothic" w:eastAsia="MS PGothic" w:hAnsi="MS PGothic"/>
                <w:sz w:val="10"/>
                <w:szCs w:val="10"/>
                <w:color w:val="auto"/>
              </w:rPr>
              <w:t>☐</w:t>
            </w:r>
          </w:p>
        </w:tc>
        <w:tc>
          <w:tcPr>
            <w:tcW w:w="25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440" w:type="dxa"/>
            <w:vAlign w:val="bottom"/>
          </w:tcPr>
          <w:p>
            <w:pPr>
              <w:ind w:left="136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r>
        <w:trPr>
          <w:trHeight w:val="136"/>
        </w:trPr>
        <w:tc>
          <w:tcPr>
            <w:tcW w:w="4000" w:type="dxa"/>
            <w:vAlign w:val="bottom"/>
          </w:tcPr>
          <w:p>
            <w:pPr>
              <w:ind w:left="1420"/>
              <w:spacing w:after="0"/>
              <w:rPr>
                <w:sz w:val="20"/>
                <w:szCs w:val="20"/>
                <w:color w:val="auto"/>
              </w:rPr>
            </w:pPr>
            <w:r>
              <w:rPr>
                <w:rFonts w:ascii="Times New Roman" w:cs="Times New Roman" w:eastAsia="Times New Roman" w:hAnsi="Times New Roman"/>
                <w:sz w:val="10"/>
                <w:szCs w:val="10"/>
                <w:color w:val="auto"/>
              </w:rPr>
              <w:t>Emerging growth company</w:t>
            </w:r>
          </w:p>
        </w:tc>
        <w:tc>
          <w:tcPr>
            <w:tcW w:w="1780" w:type="dxa"/>
            <w:vAlign w:val="bottom"/>
          </w:tcPr>
          <w:p>
            <w:pPr>
              <w:ind w:left="1500"/>
              <w:spacing w:after="0" w:line="101" w:lineRule="exact"/>
              <w:rPr>
                <w:sz w:val="20"/>
                <w:szCs w:val="20"/>
                <w:color w:val="auto"/>
              </w:rPr>
            </w:pPr>
            <w:r>
              <w:rPr>
                <w:rFonts w:ascii="MS PGothic" w:cs="MS PGothic" w:eastAsia="MS PGothic" w:hAnsi="MS PGothic"/>
                <w:sz w:val="10"/>
                <w:szCs w:val="10"/>
                <w:color w:val="auto"/>
              </w:rPr>
              <w:t>☐</w:t>
            </w:r>
          </w:p>
        </w:tc>
        <w:tc>
          <w:tcPr>
            <w:tcW w:w="2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08"/>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6" w:lineRule="exact"/>
        <w:rPr>
          <w:sz w:val="24"/>
          <w:szCs w:val="24"/>
          <w:color w:val="auto"/>
        </w:rPr>
      </w:pPr>
    </w:p>
    <w:p>
      <w:pPr>
        <w:ind w:left="8" w:right="300" w:firstLine="512"/>
        <w:spacing w:after="0" w:line="111"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ind w:left="508"/>
        <w:spacing w:after="0" w:line="115" w:lineRule="exact"/>
        <w:rPr>
          <w:sz w:val="20"/>
          <w:szCs w:val="20"/>
          <w:color w:val="auto"/>
        </w:rPr>
      </w:pPr>
      <w:r>
        <w:rPr>
          <w:rFonts w:ascii="Times New Roman" w:cs="Times New Roman" w:eastAsia="Times New Roman" w:hAnsi="Times New Roman"/>
          <w:sz w:val="10"/>
          <w:szCs w:val="10"/>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000000"/>
        </w:rPr>
        <w:t>☐</w:t>
      </w:r>
    </w:p>
    <w:p>
      <w:pPr>
        <w:spacing w:after="0" w:line="2" w:lineRule="exact"/>
        <w:rPr>
          <w:sz w:val="24"/>
          <w:szCs w:val="24"/>
          <w:color w:val="auto"/>
        </w:rPr>
      </w:pPr>
    </w:p>
    <w:p>
      <w:pPr>
        <w:ind w:left="508" w:right="620"/>
        <w:spacing w:after="0" w:line="119" w:lineRule="exact"/>
        <w:rPr>
          <w:sz w:val="20"/>
          <w:szCs w:val="20"/>
          <w:color w:val="auto"/>
        </w:rPr>
      </w:pPr>
      <w:r>
        <w:rPr>
          <w:rFonts w:ascii="Times New Roman" w:cs="Times New Roman" w:eastAsia="Times New Roman" w:hAnsi="Times New Roman"/>
          <w:sz w:val="10"/>
          <w:szCs w:val="10"/>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000000"/>
        </w:rPr>
        <w:t>☐</w:t>
      </w:r>
      <w:r>
        <w:rPr>
          <w:rFonts w:ascii="Times New Roman" w:cs="Times New Roman" w:eastAsia="Times New Roman" w:hAnsi="Times New Roman"/>
          <w:sz w:val="10"/>
          <w:szCs w:val="10"/>
          <w:color w:val="231F20"/>
        </w:rPr>
        <w:t xml:space="preserve"> </w:t>
      </w:r>
      <w:r>
        <w:rPr>
          <w:rFonts w:ascii="Times New Roman" w:cs="Times New Roman" w:eastAsia="Times New Roman" w:hAnsi="Times New Roman"/>
          <w:sz w:val="10"/>
          <w:szCs w:val="10"/>
          <w:color w:val="000000"/>
        </w:rPr>
        <w:t xml:space="preserve">Indicate by check mark whether the registrant is a shell company (as defined in Rule 12b-2 of the Exchange Act). Yes </w:t>
      </w:r>
      <w:r>
        <w:rPr>
          <w:rFonts w:ascii="MS PGothic" w:cs="MS PGothic" w:eastAsia="MS PGothic" w:hAnsi="MS PGothic"/>
          <w:sz w:val="10"/>
          <w:szCs w:val="10"/>
          <w:color w:val="000000"/>
        </w:rPr>
        <w:t>☐</w:t>
      </w:r>
      <w:r>
        <w:rPr>
          <w:rFonts w:ascii="Times New Roman" w:cs="Times New Roman" w:eastAsia="Times New Roman" w:hAnsi="Times New Roman"/>
          <w:sz w:val="10"/>
          <w:szCs w:val="10"/>
          <w:color w:val="000000"/>
        </w:rPr>
        <w:t xml:space="preserve"> No </w:t>
      </w:r>
      <w:r>
        <w:rPr>
          <w:rFonts w:ascii="MS PGothic" w:cs="MS PGothic" w:eastAsia="MS PGothic" w:hAnsi="MS PGothic"/>
          <w:sz w:val="10"/>
          <w:szCs w:val="10"/>
          <w:color w:val="000000"/>
        </w:rPr>
        <w:t>☒</w:t>
      </w:r>
    </w:p>
    <w:p>
      <w:pPr>
        <w:spacing w:after="0" w:line="1" w:lineRule="exact"/>
        <w:rPr>
          <w:sz w:val="24"/>
          <w:szCs w:val="24"/>
          <w:color w:val="auto"/>
        </w:rPr>
      </w:pPr>
    </w:p>
    <w:p>
      <w:pPr>
        <w:ind w:left="508"/>
        <w:spacing w:after="0"/>
        <w:rPr>
          <w:sz w:val="20"/>
          <w:szCs w:val="20"/>
          <w:color w:val="auto"/>
        </w:rPr>
      </w:pPr>
      <w:r>
        <w:rPr>
          <w:rFonts w:ascii="Times New Roman" w:cs="Times New Roman" w:eastAsia="Times New Roman" w:hAnsi="Times New Roman"/>
          <w:sz w:val="8"/>
          <w:szCs w:val="8"/>
          <w:color w:val="auto"/>
        </w:rPr>
        <w:t>The aggregate market value of common stock held by non-affiliates of the Registrant was $572,246,283 at June 30, 2024. The aggregate market value was computed using the closing price of the common stock as of June 28, 2024 on the Nasdaq Stock Market. (For purposes of</w:t>
      </w:r>
    </w:p>
    <w:p>
      <w:pPr>
        <w:ind w:left="8"/>
        <w:spacing w:after="0"/>
        <w:rPr>
          <w:sz w:val="20"/>
          <w:szCs w:val="20"/>
          <w:color w:val="auto"/>
        </w:rPr>
      </w:pPr>
      <w:r>
        <w:rPr>
          <w:rFonts w:ascii="Times New Roman" w:cs="Times New Roman" w:eastAsia="Times New Roman" w:hAnsi="Times New Roman"/>
          <w:sz w:val="10"/>
          <w:szCs w:val="10"/>
          <w:color w:val="auto"/>
        </w:rPr>
        <w:t>calculating the foregoing amount only, all directors and executive officers of the registrant have been treated as affiliates.)</w:t>
      </w:r>
    </w:p>
    <w:p>
      <w:pPr>
        <w:ind w:left="508"/>
        <w:spacing w:after="0" w:line="236" w:lineRule="auto"/>
        <w:rPr>
          <w:sz w:val="20"/>
          <w:szCs w:val="20"/>
          <w:color w:val="auto"/>
        </w:rPr>
      </w:pPr>
      <w:r>
        <w:rPr>
          <w:rFonts w:ascii="Times New Roman" w:cs="Times New Roman" w:eastAsia="Times New Roman" w:hAnsi="Times New Roman"/>
          <w:sz w:val="10"/>
          <w:szCs w:val="10"/>
          <w:color w:val="auto"/>
        </w:rPr>
        <w:t>As of February 17, 2025, 67,282,528 shares of Registrant’s Common Stock, par value $.0001 per share, were outstanding.</w:t>
      </w:r>
    </w:p>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125"/>
        </w:trPr>
        <w:tc>
          <w:tcPr>
            <w:tcW w:w="3780" w:type="dxa"/>
            <w:vAlign w:val="bottom"/>
          </w:tcPr>
          <w:p>
            <w:pPr>
              <w:spacing w:after="0"/>
              <w:rPr>
                <w:sz w:val="10"/>
                <w:szCs w:val="10"/>
                <w:color w:val="auto"/>
              </w:rPr>
            </w:pPr>
          </w:p>
        </w:tc>
        <w:tc>
          <w:tcPr>
            <w:tcW w:w="7520" w:type="dxa"/>
            <w:vAlign w:val="bottom"/>
            <w:gridSpan w:val="3"/>
          </w:tcPr>
          <w:p>
            <w:pPr>
              <w:ind w:left="760"/>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tc>
      </w:tr>
      <w:tr>
        <w:trPr>
          <w:trHeight w:val="116"/>
        </w:trPr>
        <w:tc>
          <w:tcPr>
            <w:tcW w:w="3780" w:type="dxa"/>
            <w:vAlign w:val="bottom"/>
            <w:tcBorders>
              <w:bottom w:val="single" w:sz="8" w:color="auto"/>
            </w:tcBorders>
          </w:tcPr>
          <w:p>
            <w:pPr>
              <w:jc w:val="center"/>
              <w:ind w:left="1695"/>
              <w:spacing w:after="0"/>
              <w:rPr>
                <w:sz w:val="20"/>
                <w:szCs w:val="20"/>
                <w:color w:val="auto"/>
              </w:rPr>
            </w:pPr>
            <w:r>
              <w:rPr>
                <w:rFonts w:ascii="Times New Roman" w:cs="Times New Roman" w:eastAsia="Times New Roman" w:hAnsi="Times New Roman"/>
                <w:sz w:val="10"/>
                <w:szCs w:val="10"/>
                <w:b w:val="1"/>
                <w:bCs w:val="1"/>
                <w:color w:val="auto"/>
                <w:w w:val="97"/>
              </w:rPr>
              <w:t>Part of 10-K</w:t>
            </w:r>
          </w:p>
        </w:tc>
        <w:tc>
          <w:tcPr>
            <w:tcW w:w="17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Documents Incorporated by Reference</w:t>
            </w:r>
          </w:p>
        </w:tc>
      </w:tr>
      <w:tr>
        <w:trPr>
          <w:trHeight w:val="74"/>
        </w:trPr>
        <w:tc>
          <w:tcPr>
            <w:tcW w:w="3780" w:type="dxa"/>
            <w:vAlign w:val="bottom"/>
          </w:tcPr>
          <w:p>
            <w:pPr>
              <w:jc w:val="center"/>
              <w:ind w:left="1695"/>
              <w:spacing w:after="0" w:line="74" w:lineRule="exact"/>
              <w:rPr>
                <w:sz w:val="20"/>
                <w:szCs w:val="20"/>
                <w:color w:val="auto"/>
              </w:rPr>
            </w:pPr>
            <w:r>
              <w:rPr>
                <w:rFonts w:ascii="Times New Roman" w:cs="Times New Roman" w:eastAsia="Times New Roman" w:hAnsi="Times New Roman"/>
                <w:sz w:val="8"/>
                <w:szCs w:val="8"/>
                <w:color w:val="auto"/>
              </w:rPr>
              <w:t>Part III</w:t>
            </w: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50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color w:val="auto"/>
              </w:rPr>
              <w:t>Portions of the Proxy Statement to be filed with the Securities and Exchange Commission in connection with the 2025 Annual Meeting of</w:t>
            </w:r>
          </w:p>
        </w:tc>
      </w:tr>
      <w:tr>
        <w:trPr>
          <w:trHeight w:val="113"/>
        </w:trPr>
        <w:tc>
          <w:tcPr>
            <w:tcW w:w="3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500" w:type="dxa"/>
            <w:vAlign w:val="bottom"/>
            <w:tcBorders>
              <w:bottom w:val="single" w:sz="8" w:color="auto"/>
            </w:tcBorders>
          </w:tcPr>
          <w:p>
            <w:pPr>
              <w:jc w:val="center"/>
              <w:spacing w:after="0" w:line="114" w:lineRule="exact"/>
              <w:rPr>
                <w:sz w:val="20"/>
                <w:szCs w:val="20"/>
                <w:color w:val="auto"/>
              </w:rPr>
            </w:pPr>
            <w:r>
              <w:rPr>
                <w:rFonts w:ascii="Times New Roman" w:cs="Times New Roman" w:eastAsia="Times New Roman" w:hAnsi="Times New Roman"/>
                <w:sz w:val="10"/>
                <w:szCs w:val="10"/>
                <w:color w:val="auto"/>
                <w:w w:val="94"/>
              </w:rPr>
              <w:t>Stockholders.</w:t>
            </w:r>
          </w:p>
        </w:tc>
      </w:tr>
      <w:tr>
        <w:trPr>
          <w:trHeight w:val="781"/>
        </w:trPr>
        <w:tc>
          <w:tcPr>
            <w:tcW w:w="37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855"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10"/>
          </w:tcPr>
          <w:p>
            <w:pPr>
              <w:ind w:left="42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4760" w:type="dxa"/>
            <w:vAlign w:val="bottom"/>
          </w:tcPr>
          <w:p>
            <w:pPr>
              <w:spacing w:after="0"/>
              <w:rPr>
                <w:sz w:val="13"/>
                <w:szCs w:val="13"/>
                <w:color w:val="auto"/>
              </w:rPr>
            </w:pPr>
          </w:p>
        </w:tc>
      </w:tr>
      <w:tr>
        <w:trPr>
          <w:trHeight w:val="261"/>
        </w:trPr>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gridSpan w:val="8"/>
          </w:tcPr>
          <w:p>
            <w:pPr>
              <w:jc w:val="center"/>
              <w:ind w:right="1020"/>
              <w:spacing w:after="0"/>
              <w:rPr>
                <w:sz w:val="20"/>
                <w:szCs w:val="20"/>
                <w:color w:val="auto"/>
              </w:rPr>
            </w:pPr>
            <w:r>
              <w:rPr>
                <w:rFonts w:ascii="Times New Roman" w:cs="Times New Roman" w:eastAsia="Times New Roman" w:hAnsi="Times New Roman"/>
                <w:sz w:val="12"/>
                <w:szCs w:val="12"/>
                <w:b w:val="1"/>
                <w:bCs w:val="1"/>
                <w:color w:val="0000FF"/>
                <w:w w:val="99"/>
              </w:rPr>
              <w:t>PART I</w:t>
            </w:r>
          </w:p>
        </w:tc>
        <w:tc>
          <w:tcPr>
            <w:tcW w:w="4760" w:type="dxa"/>
            <w:vAlign w:val="bottom"/>
          </w:tcPr>
          <w:p>
            <w:pPr>
              <w:spacing w:after="0"/>
              <w:rPr>
                <w:sz w:val="22"/>
                <w:szCs w:val="22"/>
                <w:color w:val="auto"/>
              </w:rPr>
            </w:pP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w:t>
            </w:r>
          </w:p>
        </w:tc>
        <w:tc>
          <w:tcPr>
            <w:tcW w:w="60" w:type="dxa"/>
            <w:vAlign w:val="bottom"/>
          </w:tcPr>
          <w:p>
            <w:pPr>
              <w:spacing w:after="0"/>
              <w:rPr>
                <w:sz w:val="17"/>
                <w:szCs w:val="17"/>
                <w:color w:val="auto"/>
              </w:rPr>
            </w:pPr>
          </w:p>
        </w:tc>
        <w:tc>
          <w:tcPr>
            <w:tcW w:w="416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Business</w:t>
            </w:r>
          </w:p>
        </w:tc>
        <w:tc>
          <w:tcPr>
            <w:tcW w:w="400" w:type="dxa"/>
            <w:vAlign w:val="bottom"/>
            <w:tcBorders>
              <w:top w:val="single" w:sz="8" w:color="0000FF"/>
            </w:tcBorders>
            <w:gridSpan w:val="3"/>
          </w:tcPr>
          <w:p>
            <w:pPr>
              <w:spacing w:after="0"/>
              <w:rPr>
                <w:sz w:val="17"/>
                <w:szCs w:val="17"/>
                <w:color w:val="auto"/>
              </w:rPr>
            </w:pPr>
          </w:p>
        </w:tc>
        <w:tc>
          <w:tcPr>
            <w:tcW w:w="1020" w:type="dxa"/>
            <w:vAlign w:val="bottom"/>
            <w:gridSpan w:val="5"/>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1A.</w:t>
            </w:r>
          </w:p>
        </w:tc>
        <w:tc>
          <w:tcPr>
            <w:tcW w:w="6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6"/>
              </w:rPr>
              <w:t>Risk Factors</w:t>
            </w:r>
          </w:p>
        </w:tc>
        <w:tc>
          <w:tcPr>
            <w:tcW w:w="20" w:type="dxa"/>
            <w:vAlign w:val="bottom"/>
            <w:tcBorders>
              <w:bottom w:val="single" w:sz="8" w:color="0000EE"/>
            </w:tcBorders>
          </w:tcPr>
          <w:p>
            <w:pPr>
              <w:spacing w:after="0"/>
              <w:rPr>
                <w:sz w:val="17"/>
                <w:szCs w:val="17"/>
                <w:color w:val="auto"/>
              </w:rPr>
            </w:pPr>
          </w:p>
        </w:tc>
        <w:tc>
          <w:tcPr>
            <w:tcW w:w="4960" w:type="dxa"/>
            <w:vAlign w:val="bottom"/>
            <w:gridSpan w:val="26"/>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1B.</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Unresolved Staff Comments</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1C.</w:t>
            </w:r>
          </w:p>
        </w:tc>
        <w:tc>
          <w:tcPr>
            <w:tcW w:w="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7"/>
              </w:rPr>
              <w:t>Cybersecurity</w:t>
            </w:r>
          </w:p>
        </w:tc>
        <w:tc>
          <w:tcPr>
            <w:tcW w:w="4960" w:type="dxa"/>
            <w:vAlign w:val="bottom"/>
            <w:gridSpan w:val="26"/>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2.</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Properties</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3.</w:t>
            </w:r>
          </w:p>
        </w:tc>
        <w:tc>
          <w:tcPr>
            <w:tcW w:w="60" w:type="dxa"/>
            <w:vAlign w:val="bottom"/>
          </w:tcPr>
          <w:p>
            <w:pPr>
              <w:spacing w:after="0"/>
              <w:rPr>
                <w:sz w:val="17"/>
                <w:szCs w:val="17"/>
                <w:color w:val="auto"/>
              </w:rPr>
            </w:pP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4660" w:type="dxa"/>
            <w:vAlign w:val="bottom"/>
            <w:gridSpan w:val="23"/>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4.</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Mine Safety Disclosures</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205"/>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8"/>
          </w:tcPr>
          <w:p>
            <w:pPr>
              <w:jc w:val="center"/>
              <w:ind w:right="1000"/>
              <w:spacing w:after="0"/>
              <w:rPr>
                <w:sz w:val="20"/>
                <w:szCs w:val="20"/>
                <w:color w:val="auto"/>
              </w:rPr>
            </w:pPr>
            <w:r>
              <w:rPr>
                <w:rFonts w:ascii="Times New Roman" w:cs="Times New Roman" w:eastAsia="Times New Roman" w:hAnsi="Times New Roman"/>
                <w:sz w:val="12"/>
                <w:szCs w:val="12"/>
                <w:b w:val="1"/>
                <w:bCs w:val="1"/>
                <w:color w:val="0000FF"/>
                <w:w w:val="93"/>
              </w:rPr>
              <w:t>PART II</w:t>
            </w:r>
          </w:p>
        </w:tc>
        <w:tc>
          <w:tcPr>
            <w:tcW w:w="47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5.</w:t>
            </w:r>
          </w:p>
        </w:tc>
        <w:tc>
          <w:tcPr>
            <w:tcW w:w="60" w:type="dxa"/>
            <w:vAlign w:val="bottom"/>
          </w:tcPr>
          <w:p>
            <w:pPr>
              <w:spacing w:after="0"/>
              <w:rPr>
                <w:sz w:val="17"/>
                <w:szCs w:val="17"/>
                <w:color w:val="auto"/>
              </w:rPr>
            </w:pPr>
          </w:p>
        </w:tc>
        <w:tc>
          <w:tcPr>
            <w:tcW w:w="55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2"/>
                <w:szCs w:val="12"/>
                <w:color w:val="0000FF"/>
                <w:w w:val="99"/>
              </w:rPr>
              <w:t>Market for the Registrant’s Common Equity, Related Stockholder Matters and Issuer Purchases of Equity Securities</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6.</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[Reserved]</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7.</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Operations</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7A.</w:t>
            </w:r>
          </w:p>
        </w:tc>
        <w:tc>
          <w:tcPr>
            <w:tcW w:w="60" w:type="dxa"/>
            <w:vAlign w:val="bottom"/>
          </w:tcPr>
          <w:p>
            <w:pPr>
              <w:spacing w:after="0"/>
              <w:rPr>
                <w:sz w:val="17"/>
                <w:szCs w:val="17"/>
                <w:color w:val="auto"/>
              </w:rPr>
            </w:pPr>
          </w:p>
        </w:tc>
        <w:tc>
          <w:tcPr>
            <w:tcW w:w="43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1280" w:type="dxa"/>
            <w:vAlign w:val="bottom"/>
            <w:gridSpan w:val="7"/>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8.</w:t>
            </w:r>
          </w:p>
        </w:tc>
        <w:tc>
          <w:tcPr>
            <w:tcW w:w="6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2"/>
                <w:szCs w:val="12"/>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620" w:type="dxa"/>
            <w:vAlign w:val="bottom"/>
            <w:tcBorders>
              <w:top w:val="single" w:sz="8" w:color="0000FF"/>
            </w:tcBorders>
            <w:gridSpan w:val="2"/>
          </w:tcPr>
          <w:p>
            <w:pPr>
              <w:spacing w:after="0"/>
              <w:rPr>
                <w:sz w:val="17"/>
                <w:szCs w:val="17"/>
                <w:color w:val="auto"/>
              </w:rPr>
            </w:pPr>
          </w:p>
        </w:tc>
        <w:tc>
          <w:tcPr>
            <w:tcW w:w="2720" w:type="dxa"/>
            <w:vAlign w:val="bottom"/>
            <w:gridSpan w:val="12"/>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9.</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Changes in and Disagreements With Accountants on Accounting and Financial Disclosure</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9A.</w:t>
            </w:r>
          </w:p>
        </w:tc>
        <w:tc>
          <w:tcPr>
            <w:tcW w:w="6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8"/>
              </w:rPr>
              <w:t>Controls and Procedures</w:t>
            </w:r>
          </w:p>
        </w:tc>
        <w:tc>
          <w:tcPr>
            <w:tcW w:w="3160" w:type="dxa"/>
            <w:vAlign w:val="bottom"/>
            <w:tcBorders>
              <w:top w:val="single" w:sz="8" w:color="0000FF"/>
            </w:tcBorders>
            <w:gridSpan w:val="15"/>
          </w:tcPr>
          <w:p>
            <w:pPr>
              <w:spacing w:after="0"/>
              <w:rPr>
                <w:sz w:val="17"/>
                <w:szCs w:val="17"/>
                <w:color w:val="auto"/>
              </w:rPr>
            </w:pPr>
          </w:p>
        </w:tc>
        <w:tc>
          <w:tcPr>
            <w:tcW w:w="1240" w:type="dxa"/>
            <w:vAlign w:val="bottom"/>
            <w:gridSpan w:val="6"/>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9B.</w:t>
            </w:r>
          </w:p>
        </w:tc>
        <w:tc>
          <w:tcPr>
            <w:tcW w:w="60" w:type="dxa"/>
            <w:vAlign w:val="bottom"/>
          </w:tcPr>
          <w:p>
            <w:pPr>
              <w:spacing w:after="0"/>
              <w:rPr>
                <w:sz w:val="17"/>
                <w:szCs w:val="17"/>
                <w:color w:val="auto"/>
              </w:rPr>
            </w:pPr>
          </w:p>
        </w:tc>
        <w:tc>
          <w:tcPr>
            <w:tcW w:w="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4680" w:type="dxa"/>
            <w:vAlign w:val="bottom"/>
            <w:gridSpan w:val="24"/>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9C.</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Disclosure Regarding Foreign Jurisdictions that Prevent Inspections</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205"/>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2"/>
                <w:szCs w:val="12"/>
                <w:b w:val="1"/>
                <w:bCs w:val="1"/>
                <w:color w:val="0000FF"/>
              </w:rPr>
              <w:t>PART III</w:t>
            </w:r>
          </w:p>
        </w:tc>
        <w:tc>
          <w:tcPr>
            <w:tcW w:w="960" w:type="dxa"/>
            <w:vAlign w:val="bottom"/>
            <w:gridSpan w:val="2"/>
          </w:tcPr>
          <w:p>
            <w:pPr>
              <w:spacing w:after="0"/>
              <w:rPr>
                <w:sz w:val="17"/>
                <w:szCs w:val="17"/>
                <w:color w:val="auto"/>
              </w:rPr>
            </w:pPr>
          </w:p>
        </w:tc>
        <w:tc>
          <w:tcPr>
            <w:tcW w:w="4760" w:type="dxa"/>
            <w:vAlign w:val="bottom"/>
          </w:tcPr>
          <w:p>
            <w:pPr>
              <w:spacing w:after="0"/>
              <w:rPr>
                <w:sz w:val="17"/>
                <w:szCs w:val="17"/>
                <w:color w:val="auto"/>
              </w:rPr>
            </w:pP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10.</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Directors, Executive Officers and Corporate Governance</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11.</w:t>
            </w:r>
          </w:p>
        </w:tc>
        <w:tc>
          <w:tcPr>
            <w:tcW w:w="60" w:type="dxa"/>
            <w:vAlign w:val="bottom"/>
          </w:tcPr>
          <w:p>
            <w:pPr>
              <w:spacing w:after="0"/>
              <w:rPr>
                <w:sz w:val="17"/>
                <w:szCs w:val="17"/>
                <w:color w:val="auto"/>
              </w:rPr>
            </w:pPr>
          </w:p>
        </w:tc>
        <w:tc>
          <w:tcPr>
            <w:tcW w:w="12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1500" w:type="dxa"/>
            <w:vAlign w:val="bottom"/>
            <w:tcBorders>
              <w:top w:val="single" w:sz="8" w:color="0000FF"/>
            </w:tcBorders>
            <w:gridSpan w:val="6"/>
          </w:tcPr>
          <w:p>
            <w:pPr>
              <w:spacing w:after="0"/>
              <w:rPr>
                <w:sz w:val="17"/>
                <w:szCs w:val="17"/>
                <w:color w:val="auto"/>
              </w:rPr>
            </w:pPr>
          </w:p>
        </w:tc>
        <w:tc>
          <w:tcPr>
            <w:tcW w:w="2860" w:type="dxa"/>
            <w:vAlign w:val="bottom"/>
            <w:gridSpan w:val="13"/>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12.</w:t>
            </w:r>
          </w:p>
        </w:tc>
        <w:tc>
          <w:tcPr>
            <w:tcW w:w="60" w:type="dxa"/>
            <w:vAlign w:val="bottom"/>
          </w:tcPr>
          <w:p>
            <w:pPr>
              <w:spacing w:after="0"/>
              <w:rPr>
                <w:sz w:val="17"/>
                <w:szCs w:val="17"/>
                <w:color w:val="auto"/>
              </w:rPr>
            </w:pPr>
          </w:p>
        </w:tc>
        <w:tc>
          <w:tcPr>
            <w:tcW w:w="48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2"/>
                <w:szCs w:val="12"/>
                <w:color w:val="0000FF"/>
                <w:w w:val="99"/>
              </w:rPr>
              <w:t>Security Ownership of Certain Beneficial Owners and Management and Related Stockholder Matters</w:t>
            </w:r>
          </w:p>
        </w:tc>
        <w:tc>
          <w:tcPr>
            <w:tcW w:w="72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13.</w:t>
            </w:r>
          </w:p>
        </w:tc>
        <w:tc>
          <w:tcPr>
            <w:tcW w:w="60" w:type="dxa"/>
            <w:vAlign w:val="bottom"/>
          </w:tcPr>
          <w:p>
            <w:pPr>
              <w:spacing w:after="0"/>
              <w:rPr>
                <w:sz w:val="17"/>
                <w:szCs w:val="17"/>
                <w:color w:val="auto"/>
              </w:rPr>
            </w:pPr>
          </w:p>
        </w:tc>
        <w:tc>
          <w:tcPr>
            <w:tcW w:w="36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2"/>
                <w:szCs w:val="12"/>
                <w:color w:val="0000FF"/>
                <w:w w:val="99"/>
              </w:rPr>
              <w:t>Certain Relationships and Related Transactions, and Director Independence</w:t>
            </w:r>
          </w:p>
        </w:tc>
        <w:tc>
          <w:tcPr>
            <w:tcW w:w="1940" w:type="dxa"/>
            <w:vAlign w:val="bottom"/>
            <w:gridSpan w:val="10"/>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14.</w:t>
            </w:r>
          </w:p>
        </w:tc>
        <w:tc>
          <w:tcPr>
            <w:tcW w:w="60" w:type="dxa"/>
            <w:vAlign w:val="bottom"/>
          </w:tcPr>
          <w:p>
            <w:pPr>
              <w:spacing w:after="0"/>
              <w:rPr>
                <w:sz w:val="17"/>
                <w:szCs w:val="17"/>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2"/>
                <w:szCs w:val="12"/>
                <w:color w:val="0000FF"/>
              </w:rPr>
              <w:t>Principal Accounting Fees and Services</w:t>
            </w: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205"/>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gridSpan w:val="9"/>
          </w:tcPr>
          <w:p>
            <w:pPr>
              <w:jc w:val="center"/>
              <w:ind w:right="980"/>
              <w:spacing w:after="0"/>
              <w:rPr>
                <w:sz w:val="20"/>
                <w:szCs w:val="20"/>
                <w:color w:val="auto"/>
              </w:rPr>
            </w:pPr>
            <w:r>
              <w:rPr>
                <w:rFonts w:ascii="Times New Roman" w:cs="Times New Roman" w:eastAsia="Times New Roman" w:hAnsi="Times New Roman"/>
                <w:sz w:val="12"/>
                <w:szCs w:val="12"/>
                <w:b w:val="1"/>
                <w:bCs w:val="1"/>
                <w:color w:val="0000FF"/>
                <w:w w:val="97"/>
              </w:rPr>
              <w:t>PART IV</w:t>
            </w:r>
          </w:p>
        </w:tc>
        <w:tc>
          <w:tcPr>
            <w:tcW w:w="4760" w:type="dxa"/>
            <w:vAlign w:val="bottom"/>
          </w:tcPr>
          <w:p>
            <w:pPr>
              <w:spacing w:after="0"/>
              <w:rPr>
                <w:sz w:val="17"/>
                <w:szCs w:val="17"/>
                <w:color w:val="auto"/>
              </w:rPr>
            </w:pP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15.</w:t>
            </w:r>
          </w:p>
        </w:tc>
        <w:tc>
          <w:tcPr>
            <w:tcW w:w="60" w:type="dxa"/>
            <w:vAlign w:val="bottom"/>
          </w:tcPr>
          <w:p>
            <w:pPr>
              <w:spacing w:after="0"/>
              <w:rPr>
                <w:sz w:val="17"/>
                <w:szCs w:val="17"/>
                <w:color w:val="auto"/>
              </w:rPr>
            </w:pPr>
          </w:p>
        </w:tc>
        <w:tc>
          <w:tcPr>
            <w:tcW w:w="416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Exhibits, Financial Statement Schedules</w:t>
            </w:r>
          </w:p>
        </w:tc>
        <w:tc>
          <w:tcPr>
            <w:tcW w:w="440" w:type="dxa"/>
            <w:vAlign w:val="bottom"/>
            <w:tcBorders>
              <w:top w:val="single" w:sz="8" w:color="0000FF"/>
            </w:tcBorders>
            <w:gridSpan w:val="5"/>
          </w:tcPr>
          <w:p>
            <w:pPr>
              <w:spacing w:after="0"/>
              <w:rPr>
                <w:sz w:val="17"/>
                <w:szCs w:val="17"/>
                <w:color w:val="auto"/>
              </w:rPr>
            </w:pPr>
          </w:p>
        </w:tc>
        <w:tc>
          <w:tcPr>
            <w:tcW w:w="980" w:type="dxa"/>
            <w:vAlign w:val="bottom"/>
            <w:gridSpan w:val="3"/>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 16.</w:t>
            </w:r>
          </w:p>
        </w:tc>
        <w:tc>
          <w:tcPr>
            <w:tcW w:w="60" w:type="dxa"/>
            <w:vAlign w:val="bottom"/>
          </w:tcPr>
          <w:p>
            <w:pPr>
              <w:spacing w:after="0"/>
              <w:rPr>
                <w:sz w:val="17"/>
                <w:szCs w:val="17"/>
                <w:color w:val="auto"/>
              </w:rPr>
            </w:pPr>
          </w:p>
        </w:tc>
        <w:tc>
          <w:tcPr>
            <w:tcW w:w="19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rPr>
              <w:t>Form 10-K Summary</w:t>
            </w:r>
          </w:p>
        </w:tc>
        <w:tc>
          <w:tcPr>
            <w:tcW w:w="3660" w:type="dxa"/>
            <w:vAlign w:val="bottom"/>
            <w:gridSpan w:val="16"/>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205"/>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0000FF"/>
              </w:rPr>
              <w:t>SIGNATURES</w:t>
            </w:r>
          </w:p>
        </w:tc>
        <w:tc>
          <w:tcPr>
            <w:tcW w:w="6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20"/>
        </w:trPr>
        <w:tc>
          <w:tcPr>
            <w:tcW w:w="8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82" w:lineRule="exact"/>
        <w:rPr>
          <w:sz w:val="20"/>
          <w:szCs w:val="20"/>
          <w:color w:val="auto"/>
        </w:rPr>
      </w:pPr>
    </w:p>
    <w:p>
      <w:pPr>
        <w:ind w:right="20" w:firstLine="512"/>
        <w:spacing w:after="0" w:line="256" w:lineRule="auto"/>
        <w:rPr>
          <w:sz w:val="20"/>
          <w:szCs w:val="20"/>
          <w:color w:val="auto"/>
        </w:rPr>
      </w:pPr>
      <w:r>
        <w:rPr>
          <w:rFonts w:ascii="Times New Roman" w:cs="Times New Roman" w:eastAsia="Times New Roman" w:hAnsi="Times New Roman"/>
          <w:sz w:val="12"/>
          <w:szCs w:val="12"/>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“commitment to” or “scheduled to,” or other similar words, or the negative of these terms or other variations of these terms or comparable language, or by discussion of strategy or intentions.</w:t>
      </w:r>
    </w:p>
    <w:p>
      <w:pPr>
        <w:spacing w:after="0" w:line="53"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2024, and in other securities filings by Great Lakes with the SEC.</w:t>
      </w:r>
    </w:p>
    <w:p>
      <w:pPr>
        <w:spacing w:after="0" w:line="122" w:lineRule="exact"/>
        <w:rPr>
          <w:sz w:val="20"/>
          <w:szCs w:val="20"/>
          <w:color w:val="auto"/>
        </w:rPr>
      </w:pPr>
    </w:p>
    <w:p>
      <w:pPr>
        <w:ind w:right="80" w:firstLine="512"/>
        <w:spacing w:after="0" w:line="260" w:lineRule="auto"/>
        <w:rPr>
          <w:sz w:val="20"/>
          <w:szCs w:val="20"/>
          <w:color w:val="auto"/>
        </w:rPr>
      </w:pPr>
      <w:r>
        <w:rPr>
          <w:rFonts w:ascii="Times New Roman" w:cs="Times New Roman" w:eastAsia="Times New Roman" w:hAnsi="Times New Roman"/>
          <w:sz w:val="12"/>
          <w:szCs w:val="12"/>
          <w:color w:val="auto"/>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terms “we,” “our,” “ours,” “us,” “Great Lakes”, “GLDD” and “Company” refer to Great Lakes Dredge &amp; Dock Corporation and its subsidiaries.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Organization</w:t>
      </w:r>
    </w:p>
    <w:p>
      <w:pPr>
        <w:spacing w:after="0" w:line="82" w:lineRule="exact"/>
        <w:rPr>
          <w:sz w:val="20"/>
          <w:szCs w:val="20"/>
          <w:color w:val="auto"/>
        </w:rPr>
      </w:pPr>
    </w:p>
    <w:p>
      <w:pPr>
        <w:ind w:right="180" w:firstLine="512"/>
        <w:spacing w:after="0" w:line="279" w:lineRule="auto"/>
        <w:rPr>
          <w:sz w:val="20"/>
          <w:szCs w:val="20"/>
          <w:color w:val="auto"/>
        </w:rPr>
      </w:pPr>
      <w:r>
        <w:rPr>
          <w:rFonts w:ascii="Times New Roman" w:cs="Times New Roman" w:eastAsia="Times New Roman" w:hAnsi="Times New Roman"/>
          <w:sz w:val="12"/>
          <w:szCs w:val="12"/>
          <w:color w:val="auto"/>
        </w:rPr>
        <w:t>Great Lakes is the largest provider of dredging services in the United States which is complemented with a long history of performing significant international projects. The Company is also fully engaged in expanding its core business into the offshore energy industry.</w:t>
      </w:r>
    </w:p>
    <w:p>
      <w:pPr>
        <w:spacing w:after="0" w:line="111"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The Company now operates on the East and Gulf coastlines and throughout many inland U.S. waterways. Since its founding, Great Lakes has been a leader in the building and maintenance of the nation's navigation system, the protection of shore lines, the restoration of sensitive habitats and the creation of critical aquatic infrastructure.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operates in one operating segment, which is also the Company’s one reportable segment and reporting unit.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Operations</w:t>
      </w:r>
    </w:p>
    <w:p>
      <w:pPr>
        <w:spacing w:after="0" w:line="82" w:lineRule="exact"/>
        <w:rPr>
          <w:sz w:val="20"/>
          <w:szCs w:val="20"/>
          <w:color w:val="auto"/>
        </w:rPr>
      </w:pPr>
    </w:p>
    <w:p>
      <w:pPr>
        <w:ind w:firstLine="512"/>
        <w:spacing w:after="0" w:line="257" w:lineRule="auto"/>
        <w:rPr>
          <w:sz w:val="20"/>
          <w:szCs w:val="20"/>
          <w:color w:val="auto"/>
        </w:rPr>
      </w:pPr>
      <w:r>
        <w:rPr>
          <w:rFonts w:ascii="Times New Roman" w:cs="Times New Roman" w:eastAsia="Times New Roman" w:hAnsi="Times New Roman"/>
          <w:sz w:val="12"/>
          <w:szCs w:val="12"/>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31% over the three-year period ended December 31, 2024, including 28%, 59%, 19% and 16% of the domestic capital, coastal protection, maintenance and rivers &amp; lakes sectors, respectively, exclusive of liquefied natural gas (“LNG”) projects.</w:t>
      </w:r>
    </w:p>
    <w:p>
      <w:pPr>
        <w:spacing w:after="0" w:line="123" w:lineRule="exact"/>
        <w:rPr>
          <w:sz w:val="20"/>
          <w:szCs w:val="20"/>
          <w:color w:val="auto"/>
        </w:rPr>
      </w:pPr>
    </w:p>
    <w:p>
      <w:pPr>
        <w:ind w:right="60" w:firstLine="51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Domestic Capital (46% of 2024 revenues). </w:t>
      </w:r>
      <w:r>
        <w:rPr>
          <w:rFonts w:ascii="Times New Roman" w:cs="Times New Roman" w:eastAsia="Times New Roman" w:hAnsi="Times New Roman"/>
          <w:sz w:val="12"/>
          <w:szCs w:val="12"/>
          <w:color w:val="auto"/>
        </w:rPr>
        <w:t>Capital dredging consists primarily of port expansion projects, which involve the deepening of channels and berthing basins to allow access by larger, deeper draft ships and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provision of land fill used to expand port facilities. This work also includes projects to prepare ports and channels for access by larger vessels into LNG terminals. In addition to port and LNG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20" w:lineRule="exact"/>
        <w:rPr>
          <w:sz w:val="20"/>
          <w:szCs w:val="20"/>
          <w:color w:val="auto"/>
        </w:rPr>
      </w:pPr>
    </w:p>
    <w:p>
      <w:pPr>
        <w:ind w:right="140" w:firstLine="51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Coastal protection (33% of 2024 revenues). </w:t>
      </w:r>
      <w:r>
        <w:rPr>
          <w:rFonts w:ascii="Times New Roman" w:cs="Times New Roman" w:eastAsia="Times New Roman" w:hAnsi="Times New Roman"/>
          <w:sz w:val="12"/>
          <w:szCs w:val="12"/>
          <w:color w:val="auto"/>
        </w:rPr>
        <w:t>Coastal protection projects generally involve moving sand from the ocean floor to shoreline locations where erosion threatens shoreline assets. Beach erosion is a continuous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spacing w:after="0" w:line="120" w:lineRule="exact"/>
        <w:rPr>
          <w:sz w:val="20"/>
          <w:szCs w:val="20"/>
          <w:color w:val="auto"/>
        </w:rPr>
      </w:pPr>
    </w:p>
    <w:p>
      <w:pPr>
        <w:ind w:right="140" w:firstLine="51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Maintenance (21% of 2024 revenues). </w:t>
      </w:r>
      <w:r>
        <w:rPr>
          <w:rFonts w:ascii="Times New Roman" w:cs="Times New Roman" w:eastAsia="Times New Roman" w:hAnsi="Times New Roman"/>
          <w:sz w:val="12"/>
          <w:szCs w:val="12"/>
          <w:color w:val="auto"/>
        </w:rPr>
        <w:t>Maintenance dredging consists of the re-dredging of previously deepened waterways and harbors to remove silt, sand and other accumulated sediments. Due to natural sedimentation,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and drive the need for maintenance dredging.</w:t>
      </w:r>
    </w:p>
    <w:p>
      <w:pPr>
        <w:spacing w:after="0" w:line="117" w:lineRule="exact"/>
        <w:rPr>
          <w:sz w:val="20"/>
          <w:szCs w:val="20"/>
          <w:color w:val="auto"/>
        </w:rPr>
      </w:pPr>
    </w:p>
    <w:p>
      <w:pPr>
        <w:ind w:right="20" w:firstLine="51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Rivers &amp; lakes (less than 1% of 2024 revenues). </w:t>
      </w:r>
      <w:r>
        <w:rPr>
          <w:rFonts w:ascii="Times New Roman" w:cs="Times New Roman" w:eastAsia="Times New Roman" w:hAnsi="Times New Roman"/>
          <w:sz w:val="12"/>
          <w:szCs w:val="12"/>
          <w:color w:val="auto"/>
        </w:rPr>
        <w:t>Domestic rivers and lakes dredging and related operations typically consist of lake and river dredging, inland levee and construction dredging, environmental restoration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habitat improvement and other marine construction projects. Although the Mississippi River has a large source of projects on which the Company bids, certain dredges used on these projects are more portable and able to be transported to take advantage of the fragmented market. Generally, inland river and lake projects in the northern U.S. take place in non-winter months because frozen waterways significantly reduce contractors’ ability to operate and transport its equipment in the relevant geographies.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11" w:right="339" w:bottom="1440" w:gutter="0" w:footer="0" w:header="0"/>
        </w:sectPr>
      </w:pPr>
    </w:p>
    <w:bookmarkStart w:id="4" w:name="page5"/>
    <w:bookmarkEnd w:id="4"/>
    <w:p>
      <w:pPr>
        <w:ind w:right="40" w:firstLine="51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Foreign. </w:t>
      </w:r>
      <w:r>
        <w:rPr>
          <w:rFonts w:ascii="Times New Roman" w:cs="Times New Roman" w:eastAsia="Times New Roman" w:hAnsi="Times New Roman"/>
          <w:sz w:val="12"/>
          <w:szCs w:val="12"/>
          <w:color w:val="auto"/>
        </w:rPr>
        <w:t>Foreign capital projects typically involve land reclamations, channel deepening and port infrastructure development. The Company targets foreign opportunities that are well suited to the Company’s equipment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where it faces reduced competition from its European competitors. Historically maintaining a presence in foreign markets has enabled the Company to diversify its customer base and take advantage of differences in global economic development. Over the last two decades, the Company has performed dredging work in the Middle East, Africa, Australia, the Caribbean and Central and South America. No foreign revenues were recognized during 2024. The Company expects to continue targeting foreign capital projects in the future on a case by case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Offshore Energy Market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While the Company continues to reinvest in our core dredging business and renew our dredging fleet, we remain steadfast in our commitment to executing a long-term strategy that maximizes growth opportunities for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w:t>
      </w:r>
    </w:p>
    <w:p>
      <w:pPr>
        <w:spacing w:after="0" w:line="137" w:lineRule="exact"/>
        <w:rPr>
          <w:sz w:val="20"/>
          <w:szCs w:val="20"/>
          <w:color w:val="auto"/>
        </w:rPr>
      </w:pPr>
    </w:p>
    <w:p>
      <w:pPr>
        <w:ind w:firstLine="512"/>
        <w:spacing w:after="0" w:line="261" w:lineRule="auto"/>
        <w:rPr>
          <w:sz w:val="20"/>
          <w:szCs w:val="20"/>
          <w:color w:val="auto"/>
        </w:rPr>
      </w:pPr>
      <w:r>
        <w:rPr>
          <w:rFonts w:ascii="Times New Roman" w:cs="Times New Roman" w:eastAsia="Times New Roman" w:hAnsi="Times New Roman"/>
          <w:sz w:val="12"/>
          <w:szCs w:val="12"/>
          <w:color w:val="auto"/>
        </w:rPr>
        <w:t xml:space="preserve">We believe that Great Lakes has established a unique business position with our subsea rock installation (“SRI”) vessel,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the first and only Jones Act SRI vessel being constructed in the United States, targeting the offshore wind, oil and gas and telecommunication industries, both domestically and internationally.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has secured offshore wind rock placement contracts for Equinor’s Empire Wind 1 and Ørsted’s Sunrise Wind projects to protect foundations and cables. In addition, during the fourth quarter, we signed a vessel reservation agreement for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for another wind project in the United States. All three of these projects are fully permitted and we believe will not be directly impacted by the President’s Executive Order pausing issuance of new offshore wind leases and permits.</w:t>
      </w:r>
    </w:p>
    <w:p>
      <w:pPr>
        <w:spacing w:after="0" w:line="120" w:lineRule="exact"/>
        <w:rPr>
          <w:sz w:val="20"/>
          <w:szCs w:val="20"/>
          <w:color w:val="auto"/>
        </w:rPr>
      </w:pPr>
    </w:p>
    <w:p>
      <w:pPr>
        <w:ind w:right="160" w:firstLine="512"/>
        <w:spacing w:after="0" w:line="266" w:lineRule="auto"/>
        <w:rPr>
          <w:sz w:val="20"/>
          <w:szCs w:val="20"/>
          <w:color w:val="auto"/>
        </w:rPr>
      </w:pPr>
      <w:r>
        <w:rPr>
          <w:rFonts w:ascii="Times New Roman" w:cs="Times New Roman" w:eastAsia="Times New Roman" w:hAnsi="Times New Roman"/>
          <w:sz w:val="12"/>
          <w:szCs w:val="12"/>
          <w:color w:val="auto"/>
        </w:rPr>
        <w:t xml:space="preserve">In addition to targeting domestic offshore wind projects,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is also well suited for work outside of U.S. offshore wind and over the past year we have been broadening our target markets for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to include international offshore wind projects, as well as projects to protect critical subsea infrastructure such as oil and gas pipelines and telecommunication and power cables. These additional markets pave the way for the rebranding of our offshore wind division to Offshore Energy. Entering the Offshore Energy market offers us the opportunity to diversify our client base, enter different markets and grow our bottom line.</w:t>
      </w:r>
    </w:p>
    <w:p>
      <w:pPr>
        <w:spacing w:after="0" w:line="119"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 xml:space="preserve">The latest BloombergNEF offshore wind market outlook shows global offshore wind expected to grow tenfold by 2040 with a forecast exceeding 700GW of installed power. In addition, according to industry sources, market expectations for telecommunication and oil and gas scour protection projects globally are estimated to require the capacity of approximately 10 rock placement vessels of </w:t>
      </w:r>
      <w:r>
        <w:rPr>
          <w:rFonts w:ascii="Times New Roman" w:cs="Times New Roman" w:eastAsia="Times New Roman" w:hAnsi="Times New Roman"/>
          <w:sz w:val="12"/>
          <w:szCs w:val="12"/>
          <w:i w:val="1"/>
          <w:iCs w:val="1"/>
          <w:color w:val="auto"/>
        </w:rPr>
        <w:t>Acadia’s</w:t>
      </w:r>
      <w:r>
        <w:rPr>
          <w:rFonts w:ascii="Times New Roman" w:cs="Times New Roman" w:eastAsia="Times New Roman" w:hAnsi="Times New Roman"/>
          <w:sz w:val="12"/>
          <w:szCs w:val="12"/>
          <w:color w:val="auto"/>
        </w:rPr>
        <w:t xml:space="preserve"> class. We believe there is an undersupply of rock placement vessels and we are pursuing opportunities in all of the above mentioned markets, which are expected to provide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with work planned for 2026 and beyond.</w:t>
      </w:r>
    </w:p>
    <w:p>
      <w:pPr>
        <w:spacing w:after="0" w:line="119" w:lineRule="exact"/>
        <w:rPr>
          <w:sz w:val="20"/>
          <w:szCs w:val="20"/>
          <w:color w:val="auto"/>
        </w:rPr>
      </w:pPr>
    </w:p>
    <w:p>
      <w:pPr>
        <w:ind w:right="80" w:firstLine="512"/>
        <w:spacing w:after="0" w:line="279" w:lineRule="auto"/>
        <w:rPr>
          <w:sz w:val="20"/>
          <w:szCs w:val="20"/>
          <w:color w:val="auto"/>
        </w:rPr>
      </w:pPr>
      <w:r>
        <w:rPr>
          <w:rFonts w:ascii="Times New Roman" w:cs="Times New Roman" w:eastAsia="Times New Roman" w:hAnsi="Times New Roman"/>
          <w:sz w:val="12"/>
          <w:szCs w:val="12"/>
          <w:color w:val="auto"/>
        </w:rPr>
        <w:t>We expect to continue to build our offshore energy capabilities, bid on SRI projects and position the Company for growth in the offshore energy markets, as many of our European competitors have done in the international offshore energy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Dredging Demand Drivers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believes that the following factors are important drivers of the demand for its services:</w:t>
      </w:r>
    </w:p>
    <w:p>
      <w:pPr>
        <w:spacing w:after="0" w:line="76" w:lineRule="exact"/>
        <w:rPr>
          <w:sz w:val="20"/>
          <w:szCs w:val="20"/>
          <w:color w:val="auto"/>
        </w:rPr>
      </w:pPr>
    </w:p>
    <w:p>
      <w:pPr>
        <w:ind w:left="1020" w:hanging="516"/>
        <w:spacing w:after="0" w:line="278" w:lineRule="auto"/>
        <w:tabs>
          <w:tab w:leader="none" w:pos="10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Deep port capital projects. </w:t>
      </w:r>
      <w:r>
        <w:rPr>
          <w:rFonts w:ascii="Times New Roman" w:cs="Times New Roman" w:eastAsia="Times New Roman" w:hAnsi="Times New Roman"/>
          <w:sz w:val="11"/>
          <w:szCs w:val="11"/>
          <w:color w:val="auto"/>
        </w:rPr>
        <w:t>Since the Panama Canal Expansion project, the market for dredging has expanded as most of the East Coast and Gulf ports have deepening and widening projects that are required to</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better meet the needs of maritime trade and enhance the capabilities to compete for international trade. In addition, shipping line manufacturers continue to deploy larger and deeper ships which require greater channel depths for travel. Many U.S. ports are constrained due to the channel dimension requirements that are needed to accommodate these vessels. The Company has worked on several port deepenings along the East and Gulf coasts over the past years, including our current projects in Brownsville, Port Arthur, Freeport and Mobile. The 2025 U.S. Army Corps of Engineers’ (the “Corps”) budget is expected to be another record appropriation. On June 28, 2024, the U.S. House of Representatives (the “House”) Energy and Water Appropriations Subcommittee passed their 2025 Appropriations Bill providing the Corps with a budget of $9.96 billion, which is $2.7 billion above the President’s Budget request. The bill includes $5.7 billion for Operations and Maintenance projects, of which $3.1 billion is from the Harbor Maintenance Trust Fund (“HMTF”). On August 1, 2024, the Senate Appropriation Committee approved its draft of the 2025 Energy and Water spending bill which provides $10.3 billion in total funding for the Corps. However, these appropriations bills have not yet been passed by the full House or Senate. On December 20, 2024, Congress approved a continuing resolution to provide funding at previously enacted levels through March 14, 2025. Through the increased appropriation of HMTF monies, the Company has seen increased funding for harbor maintenance projects let for bid throughout 2024 and expects this trend to continue in 2025. Corps projects involving deepening, maintenance and coastal dredging are in line for robust funding continuing the trend of recent years. The annual domestic bid market for maintenance dredging over the three-year period ended December 31, 2024 averaged $870 million. 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The WRDA of 2022 (“WRDA 2022”)</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5" w:name="page6"/>
    <w:bookmarkEnd w:id="5"/>
    <w:p>
      <w:pPr>
        <w:ind w:left="520" w:right="40"/>
        <w:spacing w:after="0" w:line="257" w:lineRule="auto"/>
        <w:rPr>
          <w:sz w:val="20"/>
          <w:szCs w:val="20"/>
          <w:color w:val="auto"/>
        </w:rPr>
      </w:pPr>
      <w:r>
        <w:rPr>
          <w:rFonts w:ascii="Times New Roman" w:cs="Times New Roman" w:eastAsia="Times New Roman" w:hAnsi="Times New Roman"/>
          <w:sz w:val="12"/>
          <w:szCs w:val="12"/>
          <w:color w:val="auto"/>
        </w:rPr>
        <w:t>included funding for deepening the New York and New Jersey shipping channels to 55 feet, as well as the Coastal Texas Protection and Restoration Program, which aims to protect the Texas Gulf Coast from hurricanes. On January 4, 2025, then President Biden signed the WRDA of 2024 (“WRDA 2024”) into law, which includes several capital projects and projects designed to enhance flood protection, improve coastal resilience and support ecosystem restoration. Port deepening projects are essential to maintaining safe and efficient navigation channels in ports and harbors along our coastlines. The Company believes that port deepening and expansion work authorized under current and anticipated future legislation will continue to provide significant opportunities for the domestic dredging industry. The annual bid market for domestic capital dredging, which includes deep port capital dredging and Gulf Coast restoration, averaged $828 million over the three-year period ended December 31, 2024.</w:t>
      </w:r>
    </w:p>
    <w:p>
      <w:pPr>
        <w:spacing w:after="0" w:line="51" w:lineRule="exact"/>
        <w:rPr>
          <w:sz w:val="20"/>
          <w:szCs w:val="20"/>
          <w:color w:val="auto"/>
        </w:rPr>
      </w:pPr>
    </w:p>
    <w:p>
      <w:pPr>
        <w:ind w:left="520" w:hanging="516"/>
        <w:spacing w:after="0" w:line="258" w:lineRule="auto"/>
        <w:tabs>
          <w:tab w:leader="none" w:pos="5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Substantial need for coastal protection. </w:t>
      </w:r>
      <w:r>
        <w:rPr>
          <w:rFonts w:ascii="Times New Roman" w:cs="Times New Roman" w:eastAsia="Times New Roman" w:hAnsi="Times New Roman"/>
          <w:sz w:val="12"/>
          <w:szCs w:val="12"/>
          <w:color w:val="auto"/>
        </w:rPr>
        <w:t>Beach erosion is a recurring problem due to the normal ebb and flow of coastlines as well as the effects of severe storm activity. Growing populations in coastal communities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vital beach tourism are drawing attention to the importance of protecting beachfront assets. Over the past few years, both the federal government and state and local entities have funded beach projects recognizing the essential role these natural barriers play in absorbing storm energy and protecting public and private property. The 2023 Disaster Relief Supplemental Appropriations Act allocated $1.5 billion for infrastructure repairs and beach renourishment projects. This increased budget and additional funding resulted in a strong bid market in 2024 and we expect to see additional projects in 2025. The annual bid market for domestic coastal protection over the three-year period ended December 31, 2024 averaged $551 million.</w:t>
      </w:r>
    </w:p>
    <w:p>
      <w:pPr>
        <w:spacing w:after="0" w:line="50" w:lineRule="exact"/>
        <w:rPr>
          <w:rFonts w:ascii="Times New Roman" w:cs="Times New Roman" w:eastAsia="Times New Roman" w:hAnsi="Times New Roman"/>
          <w:sz w:val="12"/>
          <w:szCs w:val="12"/>
          <w:color w:val="auto"/>
        </w:rPr>
      </w:pPr>
    </w:p>
    <w:p>
      <w:pPr>
        <w:ind w:left="520" w:right="20" w:hanging="516"/>
        <w:spacing w:after="0" w:line="258" w:lineRule="auto"/>
        <w:tabs>
          <w:tab w:leader="none" w:pos="5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Required maintenance of U.S. ports. </w:t>
      </w:r>
      <w:r>
        <w:rPr>
          <w:rFonts w:ascii="Times New Roman" w:cs="Times New Roman" w:eastAsia="Times New Roman" w:hAnsi="Times New Roman"/>
          <w:sz w:val="12"/>
          <w:szCs w:val="12"/>
          <w:color w:val="auto"/>
        </w:rPr>
        <w:t>The channels and waterways leading to U.S. ports have stated depths on which shippers rely when entering those ports. Due to naturally occurring sedimentation and severe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Additionally, on March 27, 2020, the U.S. government enacted the Coronavirus Aid, Relief and Economic Security Act (the “CARES Act”) which includes a provision that lifts caps on the HMTF, thereby allowing full access to future annual revenues.</w:t>
      </w:r>
    </w:p>
    <w:p>
      <w:pPr>
        <w:spacing w:after="0" w:line="50" w:lineRule="exact"/>
        <w:rPr>
          <w:rFonts w:ascii="Times New Roman" w:cs="Times New Roman" w:eastAsia="Times New Roman" w:hAnsi="Times New Roman"/>
          <w:sz w:val="12"/>
          <w:szCs w:val="12"/>
          <w:color w:val="auto"/>
        </w:rPr>
      </w:pPr>
    </w:p>
    <w:p>
      <w:pPr>
        <w:ind w:left="520" w:hanging="516"/>
        <w:spacing w:after="0" w:line="254" w:lineRule="auto"/>
        <w:tabs>
          <w:tab w:leader="none" w:pos="5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Gulf coast restoration. </w:t>
      </w:r>
      <w:r>
        <w:rPr>
          <w:rFonts w:ascii="Times New Roman" w:cs="Times New Roman" w:eastAsia="Times New Roman" w:hAnsi="Times New Roman"/>
          <w:sz w:val="12"/>
          <w:szCs w:val="12"/>
          <w:color w:val="auto"/>
        </w:rPr>
        <w:t>There has been continued focus on restoring the barrier islands and wetlands that provide natural protection from storms in the Gulf Coast area. Many restoration projects have commenced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repair coastal areas. Several additional projects are being planned by state and local governments to restore natural barriers. The State of Louisiana has proposed an update to its master plan calling for a $50 billion investment in its coastal infrastructure. By law, the Louisiana Coastal Protection and Restoration Authority (“CPRA”) must update its coastal master plan every six years and let the latest science guide each iteration. The 2023 plan marks the fourth released by the agency since it formed in 2005 following Hurricane Katrina. The 2023 plan contains 73 proposed projects aimed to lower the threat of storm surge and maintain as much of a natural buffer between communities and the Gulf of America as possible. Most of those specific projects are for coastal restoration, such as dredging sediment from water bottoms and pumping it elsewhere to create marsh, ridges or other natural features that provide habitat and storm protection. A handful of the projects involve diverting Mississippi River water into nearby bays to reconnect to a natural source of fresh water and sediment. Coastal restoration accounts for half the cost of the plan’s $50 billion aspirations. Many of the Gulf States, including Louisiana, have previously committed to spending a portion of the nearly $20 billion in fines received from the 2015 BP settlement of the Deepwater Horizon oil spill to repair the natural resources impacted by the event including coastal restoration projects that include dredging.</w:t>
      </w:r>
    </w:p>
    <w:p>
      <w:pPr>
        <w:spacing w:after="0" w:line="53" w:lineRule="exact"/>
        <w:rPr>
          <w:rFonts w:ascii="Times New Roman" w:cs="Times New Roman" w:eastAsia="Times New Roman" w:hAnsi="Times New Roman"/>
          <w:sz w:val="12"/>
          <w:szCs w:val="12"/>
          <w:color w:val="auto"/>
        </w:rPr>
      </w:pPr>
    </w:p>
    <w:p>
      <w:pPr>
        <w:ind w:left="520" w:right="40" w:hanging="516"/>
        <w:spacing w:after="0" w:line="257" w:lineRule="auto"/>
        <w:tabs>
          <w:tab w:leader="none" w:pos="5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Energy projects. </w:t>
      </w:r>
      <w:r>
        <w:rPr>
          <w:rFonts w:ascii="Times New Roman" w:cs="Times New Roman" w:eastAsia="Times New Roman" w:hAnsi="Times New Roman"/>
          <w:sz w:val="12"/>
          <w:szCs w:val="12"/>
          <w:color w:val="auto"/>
        </w:rPr>
        <w:t>The growth in demand for transportation of energy worldwide has driven the need for dredging to support new terminals, harbors, channels and pipelines. In turn, several LNG, petrochemical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crude oil projects are creating the need for port development in support of energy exports. Several North American LNG export projects have been delayed over the past couple of years since the pandemic. However, with the increase in LNG prices and sustained worldwide demand, LNG projects are expected to grow over the next several years. Additionally, as the offshore energy market develops in the U.S., port facilities will need to meet specific requirements to be able to service this industry. We anticipate these ports will require investments for port improvements that will include some dredging in order to serve as marshaling ports for various offshore energy projects. The Company continues to expect that future global energy demand will necessitate improvements in the energy infrastructure base and around sources of rich resources and in countries that import or export global energy.</w:t>
      </w:r>
    </w:p>
    <w:p>
      <w:pPr>
        <w:spacing w:after="0" w:line="12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318135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80"/>
          </w:cols>
          <w:pgMar w:left="800" w:top="687" w:right="319" w:bottom="1440" w:gutter="0" w:footer="0" w:header="0"/>
        </w:sectPr>
      </w:pPr>
    </w:p>
    <w:bookmarkStart w:id="6" w:name="page7"/>
    <w:bookmarkEnd w:id="6"/>
    <w:p>
      <w:pPr>
        <w:ind w:firstLine="512"/>
        <w:spacing w:after="0" w:line="279" w:lineRule="auto"/>
        <w:rPr>
          <w:sz w:val="20"/>
          <w:szCs w:val="20"/>
          <w:color w:val="auto"/>
        </w:rPr>
      </w:pPr>
      <w:r>
        <w:rPr>
          <w:rFonts w:ascii="Times New Roman" w:cs="Times New Roman" w:eastAsia="Times New Roman" w:hAnsi="Times New Roman"/>
          <w:sz w:val="12"/>
          <w:szCs w:val="12"/>
          <w:color w:val="auto"/>
        </w:rPr>
        <w:t>For additional details regarding Operations, including financial information regarding our international and U.S. revenues and long-lived assets, see Item 7. “Management's Discussion and Analysis of Financial Condition and Results of Operations,” and Item 8. “Financial Statements and Supplementary Data”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Customers</w:t>
      </w:r>
    </w:p>
    <w:p>
      <w:pPr>
        <w:spacing w:after="0" w:line="82" w:lineRule="exact"/>
        <w:rPr>
          <w:sz w:val="20"/>
          <w:szCs w:val="20"/>
          <w:color w:val="auto"/>
        </w:rPr>
      </w:pPr>
    </w:p>
    <w:p>
      <w:pPr>
        <w:ind w:right="160" w:firstLine="512"/>
        <w:spacing w:after="0" w:line="260" w:lineRule="auto"/>
        <w:rPr>
          <w:sz w:val="20"/>
          <w:szCs w:val="20"/>
          <w:color w:val="auto"/>
        </w:rPr>
      </w:pPr>
      <w:r>
        <w:rPr>
          <w:rFonts w:ascii="Times New Roman" w:cs="Times New Roman" w:eastAsia="Times New Roman" w:hAnsi="Times New Roman"/>
          <w:sz w:val="12"/>
          <w:szCs w:val="12"/>
          <w:color w:val="auto"/>
        </w:rPr>
        <w:t>The dredging industry’s customers include federal, state and local governments, foreign governments and both domestic and foreign private concerns, such as utilities and oil and gas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2024, approximately 57% of the Company’s dredging revenues were generated from 33 different contracts with federal agencies or third parties operating under contracts with federal agencies.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Bidding Process</w:t>
      </w:r>
    </w:p>
    <w:p>
      <w:pPr>
        <w:spacing w:after="0" w:line="82" w:lineRule="exact"/>
        <w:rPr>
          <w:sz w:val="20"/>
          <w:szCs w:val="20"/>
          <w:color w:val="auto"/>
        </w:rPr>
      </w:pPr>
    </w:p>
    <w:p>
      <w:pPr>
        <w:ind w:right="380" w:firstLine="512"/>
        <w:spacing w:after="0" w:line="279" w:lineRule="auto"/>
        <w:rPr>
          <w:sz w:val="20"/>
          <w:szCs w:val="20"/>
          <w:color w:val="auto"/>
        </w:rPr>
      </w:pPr>
      <w:r>
        <w:rPr>
          <w:rFonts w:ascii="Times New Roman" w:cs="Times New Roman" w:eastAsia="Times New Roman" w:hAnsi="Times New Roman"/>
          <w:sz w:val="12"/>
          <w:szCs w:val="12"/>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dredging contractors will bid.</w:t>
      </w:r>
    </w:p>
    <w:p>
      <w:pPr>
        <w:spacing w:after="0" w:line="111" w:lineRule="exact"/>
        <w:rPr>
          <w:sz w:val="20"/>
          <w:szCs w:val="20"/>
          <w:color w:val="auto"/>
        </w:rPr>
      </w:pPr>
    </w:p>
    <w:p>
      <w:pPr>
        <w:ind w:right="20" w:firstLine="512"/>
        <w:spacing w:after="0" w:line="256" w:lineRule="auto"/>
        <w:rPr>
          <w:sz w:val="20"/>
          <w:szCs w:val="20"/>
          <w:color w:val="auto"/>
        </w:rPr>
      </w:pPr>
      <w:r>
        <w:rPr>
          <w:rFonts w:ascii="Times New Roman" w:cs="Times New Roman" w:eastAsia="Times New Roman" w:hAnsi="Times New Roman"/>
          <w:sz w:val="12"/>
          <w:szCs w:val="12"/>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among other things, the contractor’s experience, equipment and schedule, safety record and contractual terms, as well as price. While substantially all of the Company’s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skill and specialized equipment.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Bonding and Project Guarantees</w:t>
      </w:r>
    </w:p>
    <w:p>
      <w:pPr>
        <w:spacing w:after="0" w:line="82" w:lineRule="exact"/>
        <w:rPr>
          <w:sz w:val="20"/>
          <w:szCs w:val="20"/>
          <w:color w:val="auto"/>
        </w:rPr>
      </w:pPr>
    </w:p>
    <w:p>
      <w:pPr>
        <w:ind w:firstLine="512"/>
        <w:spacing w:after="0" w:line="255" w:lineRule="auto"/>
        <w:rPr>
          <w:sz w:val="20"/>
          <w:szCs w:val="20"/>
          <w:color w:val="auto"/>
        </w:rPr>
      </w:pPr>
      <w:r>
        <w:rPr>
          <w:rFonts w:ascii="Times New Roman" w:cs="Times New Roman" w:eastAsia="Times New Roman" w:hAnsi="Times New Roman"/>
          <w:sz w:val="12"/>
          <w:szCs w:val="12"/>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Bid bonds are generally obtained for a percentage of bid value and amounts outstanding typically range from $1.0 million to $10.0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26" w:lineRule="exact"/>
        <w:rPr>
          <w:sz w:val="20"/>
          <w:szCs w:val="20"/>
          <w:color w:val="auto"/>
        </w:rPr>
      </w:pPr>
    </w:p>
    <w:p>
      <w:pPr>
        <w:ind w:right="80" w:firstLine="512"/>
        <w:spacing w:after="0" w:line="260" w:lineRule="auto"/>
        <w:rPr>
          <w:sz w:val="20"/>
          <w:szCs w:val="20"/>
          <w:color w:val="auto"/>
        </w:rPr>
      </w:pPr>
      <w:r>
        <w:rPr>
          <w:rFonts w:ascii="Times New Roman" w:cs="Times New Roman" w:eastAsia="Times New Roman" w:hAnsi="Times New Roman"/>
          <w:sz w:val="12"/>
          <w:szCs w:val="12"/>
          <w:color w:val="auto"/>
        </w:rPr>
        <w:t>The Company has bonding agreements with Argonaut Insurance Company, Liberty Mutual Insurance Company, Philadelphia Indemnity Insurance Company, Ascot Insurance Companies and AXIS Insurance Company, (collectively, the “Sureties”) under which the Company can obtain performance, bid and payment bonds. The Company also currently has outstanding bonds with ACE Holdings, Travelers Casualty and Surety Company of America, Berkley Insurance Company and Zurich American Insurance Company. Great Lakes has never experienced difficulty in obtaining bonding for any of its projects and Great Lakes has never failed to complete a marine project in its 135 year history.</w:t>
      </w:r>
    </w:p>
    <w:p>
      <w:pPr>
        <w:spacing w:after="0" w:line="122"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For certain projects, including foreign, private and offshore energy projects, letters of credit or bank guarantees are required as security for the performance and, if applicable, bid or advance payment guarantees. The Company obtains its letters of credit under the ABL Amendment (as defined below). Bid guarantees are usually 2% to 5% of the service provider’s bid. Performance and advance payment guarantees are each typically 5% to 20% of the contract value.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ind w:right="20" w:firstLine="512"/>
        <w:spacing w:after="0" w:line="256" w:lineRule="auto"/>
        <w:rPr>
          <w:sz w:val="20"/>
          <w:szCs w:val="20"/>
          <w:color w:val="auto"/>
        </w:rPr>
      </w:pPr>
      <w:r>
        <w:rPr>
          <w:rFonts w:ascii="Times New Roman" w:cs="Times New Roman" w:eastAsia="Times New Roman" w:hAnsi="Times New Roman"/>
          <w:sz w:val="12"/>
          <w:szCs w:val="12"/>
          <w:color w:val="auto"/>
        </w:rPr>
        <w:t>The U.S. dredging industry is highly fragmented, composed of many small operators,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Competition on rivers &amp; lakes projects is determined primarily based on geographic reach, project execution capability and price. Great Lakes and two other companies comprised approximately 61% of the Company’s defined bid market related to domestic capital (excluding LNG), coastal protection, maintenance and rivers &amp; lakes over the three-year period ended December 31, 2024. Within the Company’s bid market, competition is determined primarily on the basis of price. In addition, the Foreign Dredge Act of 1906 (the “Dredging Act”) and Section 27 of the Merchant Marine Act of 1920 (the “Jones Act”) provide significant barriers to entry with respect to foreign competition. Together these two laws prohibit foreign-built, chartered or operated vessels from competing in the U.S. See “Business—Government Regulations” below.</w:t>
      </w:r>
    </w:p>
    <w:p>
      <w:pPr>
        <w:spacing w:after="0" w:line="125" w:lineRule="exact"/>
        <w:rPr>
          <w:sz w:val="20"/>
          <w:szCs w:val="20"/>
          <w:color w:val="auto"/>
        </w:rPr>
      </w:pPr>
    </w:p>
    <w:p>
      <w:pPr>
        <w:ind w:right="120" w:firstLine="512"/>
        <w:spacing w:after="0" w:line="265" w:lineRule="auto"/>
        <w:rPr>
          <w:sz w:val="20"/>
          <w:szCs w:val="20"/>
          <w:color w:val="auto"/>
        </w:rPr>
      </w:pPr>
      <w:r>
        <w:rPr>
          <w:rFonts w:ascii="Times New Roman" w:cs="Times New Roman" w:eastAsia="Times New Roman" w:hAnsi="Times New Roman"/>
          <w:sz w:val="12"/>
          <w:szCs w:val="12"/>
          <w:color w:val="auto"/>
        </w:rPr>
        <w:t>Competition in the international market is dominated by four large European dredging companies all of which operate larger equipment and fleets that are more extensive than the Company’s fleet. Additionally, a large Chinese dredging company controls most of its local market and is a key player in the international market. There are also several governmentally supported dredging companies that operate on a local or regional basis. The Company targets opportunities that are well suited to its equipment and where it can be most competitive.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Equipment</w:t>
      </w:r>
    </w:p>
    <w:p>
      <w:pPr>
        <w:spacing w:after="0" w:line="82" w:lineRule="exact"/>
        <w:rPr>
          <w:sz w:val="20"/>
          <w:szCs w:val="20"/>
          <w:color w:val="auto"/>
        </w:rPr>
      </w:pPr>
    </w:p>
    <w:p>
      <w:pPr>
        <w:ind w:firstLine="512"/>
        <w:spacing w:after="0" w:line="279" w:lineRule="auto"/>
        <w:rPr>
          <w:sz w:val="20"/>
          <w:szCs w:val="20"/>
          <w:color w:val="auto"/>
        </w:rPr>
      </w:pPr>
      <w:r>
        <w:rPr>
          <w:rFonts w:ascii="Times New Roman" w:cs="Times New Roman" w:eastAsia="Times New Roman" w:hAnsi="Times New Roman"/>
          <w:sz w:val="12"/>
          <w:szCs w:val="12"/>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09" w:lineRule="exact"/>
        <w:rPr>
          <w:sz w:val="20"/>
          <w:szCs w:val="20"/>
          <w:color w:val="auto"/>
        </w:rPr>
      </w:pPr>
    </w:p>
    <w:p>
      <w:pPr>
        <w:ind w:right="100" w:firstLine="51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Hopper Dredges. </w:t>
      </w:r>
      <w:r>
        <w:rPr>
          <w:rFonts w:ascii="Times New Roman" w:cs="Times New Roman" w:eastAsia="Times New Roman" w:hAnsi="Times New Roman"/>
          <w:sz w:val="12"/>
          <w:szCs w:val="12"/>
          <w:color w:val="auto"/>
        </w:rPr>
        <w:t>Hopper dredges are typically self-propelled and have the general appearance of an ocean-going vessel. The dredge has hollow hulls, or “hoppers,” into which material is suctioned hydraulically through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 The Company took delivery of a 6,500 cubic yard trailing suction hopper dredge, the </w:t>
      </w:r>
      <w:r>
        <w:rPr>
          <w:rFonts w:ascii="Times New Roman" w:cs="Times New Roman" w:eastAsia="Times New Roman" w:hAnsi="Times New Roman"/>
          <w:sz w:val="12"/>
          <w:szCs w:val="12"/>
          <w:i w:val="1"/>
          <w:iCs w:val="1"/>
          <w:color w:val="auto"/>
        </w:rPr>
        <w:t>Galveston Island</w:t>
      </w:r>
      <w:r>
        <w:rPr>
          <w:rFonts w:ascii="Times New Roman" w:cs="Times New Roman" w:eastAsia="Times New Roman" w:hAnsi="Times New Roman"/>
          <w:sz w:val="12"/>
          <w:szCs w:val="12"/>
          <w:color w:val="auto"/>
        </w:rPr>
        <w:t xml:space="preserve">, which began operations in February 2024. Additionally, in June 2022 the Company exercised the contract option with the same builder to build a second 6,500 cubic yard trailing suction hopper dredge, the </w:t>
      </w:r>
      <w:r>
        <w:rPr>
          <w:rFonts w:ascii="Times New Roman" w:cs="Times New Roman" w:eastAsia="Times New Roman" w:hAnsi="Times New Roman"/>
          <w:sz w:val="12"/>
          <w:szCs w:val="12"/>
          <w:i w:val="1"/>
          <w:iCs w:val="1"/>
          <w:color w:val="auto"/>
        </w:rPr>
        <w:t>Amelia Island</w:t>
      </w:r>
      <w:r>
        <w:rPr>
          <w:rFonts w:ascii="Times New Roman" w:cs="Times New Roman" w:eastAsia="Times New Roman" w:hAnsi="Times New Roman"/>
          <w:sz w:val="12"/>
          <w:szCs w:val="12"/>
          <w:color w:val="auto"/>
        </w:rPr>
        <w:t xml:space="preserve">, with expected delivery in the second half of 2025. The addition of the new </w:t>
      </w:r>
      <w:r>
        <w:rPr>
          <w:rFonts w:ascii="Times New Roman" w:cs="Times New Roman" w:eastAsia="Times New Roman" w:hAnsi="Times New Roman"/>
          <w:sz w:val="12"/>
          <w:szCs w:val="12"/>
          <w:i w:val="1"/>
          <w:iCs w:val="1"/>
          <w:color w:val="auto"/>
        </w:rPr>
        <w:t>Galveston Island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Amelia Island</w:t>
      </w:r>
      <w:r>
        <w:rPr>
          <w:rFonts w:ascii="Times New Roman" w:cs="Times New Roman" w:eastAsia="Times New Roman" w:hAnsi="Times New Roman"/>
          <w:sz w:val="12"/>
          <w:szCs w:val="12"/>
          <w:color w:val="auto"/>
        </w:rPr>
        <w:t xml:space="preserve"> hopper dredges will provide the Company with added capacity and the opportunity to potentially retire older dredges.</w:t>
      </w:r>
    </w:p>
    <w:p>
      <w:pPr>
        <w:spacing w:after="0" w:line="121" w:lineRule="exact"/>
        <w:rPr>
          <w:sz w:val="20"/>
          <w:szCs w:val="20"/>
          <w:color w:val="auto"/>
        </w:rPr>
      </w:pPr>
    </w:p>
    <w:p>
      <w:pPr>
        <w:ind w:right="100" w:firstLine="51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Hydraulic Dredges. </w:t>
      </w:r>
      <w:r>
        <w:rPr>
          <w:rFonts w:ascii="Times New Roman" w:cs="Times New Roman" w:eastAsia="Times New Roman" w:hAnsi="Times New Roman"/>
          <w:sz w:val="12"/>
          <w:szCs w:val="12"/>
          <w:color w:val="auto"/>
        </w:rPr>
        <w:t>Hydraulic dredges remove material using a revolving cutterhead which cuts and churns the sediment on the channel or ocean floor and hydraulically pumps the material by pipe to the disposal location.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Unlike hopper dredges, relocating hydraulic dredges and all their ancillary equipment requires specialized vessels and additional time, and their operations can be impacted by ship traffic and rough waters. Our smaller rivers &amp; lakes hydraulic dredges use pipe sizes ranging from 18” to 22” and operate at between 2,500 and 6,000 total horsepower, while the Company’s other hydraulic dredges use pipe sizes ranging from 18” to 30” and operate at between 1,900 and 16,650 total horsepower. During 2024, the Company retired one of its rivers &amp; lakes hydraulic dredges as part of its ongoing fleet modernization program.</w:t>
      </w:r>
    </w:p>
    <w:p>
      <w:pPr>
        <w:spacing w:after="0" w:line="121" w:lineRule="exact"/>
        <w:rPr>
          <w:sz w:val="20"/>
          <w:szCs w:val="20"/>
          <w:color w:val="auto"/>
        </w:rPr>
      </w:pPr>
    </w:p>
    <w:p>
      <w:pPr>
        <w:ind w:right="80" w:firstLine="51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Mechanical Dredges. </w:t>
      </w:r>
      <w:r>
        <w:rPr>
          <w:rFonts w:ascii="Times New Roman" w:cs="Times New Roman" w:eastAsia="Times New Roman" w:hAnsi="Times New Roman"/>
          <w:sz w:val="12"/>
          <w:szCs w:val="12"/>
          <w:color w:val="auto"/>
        </w:rPr>
        <w:t>There are two basic types of mechanical dredges: clamshell and backhoe. In both types, the dredge uses a bucket to excavate material from the channel or ocean floor. The dredged material is placed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bucket into material barges, or “scows,” for transport to the designated disposal area. The scows are emptied by bottom-dumping, direct pump-out or removal by a crane with a bucket. The backhoe dredge is capable of removing hard-packed sediments, blasted rock and debris and can work in tight areas such as along docks or terminals. Clamshell dredges with specialized buckets are ideally suited to handle softer silts and maintenance material requiring environmentally controlled excavation and disposal. Additionally, the Company owns an electric clamshell dredge which provides an advantage in those markets with stringent emissions standards. During 2023, the Company retired one mechanical dredge as part of its ongoing fleet modernization program.</w:t>
      </w:r>
    </w:p>
    <w:p>
      <w:pPr>
        <w:spacing w:after="0" w:line="122" w:lineRule="exact"/>
        <w:rPr>
          <w:sz w:val="20"/>
          <w:szCs w:val="20"/>
          <w:color w:val="auto"/>
        </w:rPr>
      </w:pPr>
    </w:p>
    <w:p>
      <w:pPr>
        <w:ind w:right="20" w:firstLine="51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Scows. </w:t>
      </w:r>
      <w:r>
        <w:rPr>
          <w:rFonts w:ascii="Times New Roman" w:cs="Times New Roman" w:eastAsia="Times New Roman" w:hAnsi="Times New Roman"/>
          <w:sz w:val="12"/>
          <w:szCs w:val="12"/>
          <w:color w:val="auto"/>
        </w:rPr>
        <w:t>The Company has the largest fleet of material barges in the domestic industry, which provides cost advantages when dredged material is required to be disposed far offshore or when material requires controlled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disposal. The Company uses scows with its hydraulic dredges and mechanical dredges. Scows are an efficient and cost-effective way to move material and increase dredging production. The Company has thirteen scows in its fleet with a capacity ranging from 5,000 to 8,800 cubic yards. The Company placed into service three new scows during 2022, each 8,800 cubic yards in size. During 2023, the Company entered into a sale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8" w:name="page9"/>
    <w:bookmarkEnd w:id="8"/>
    <w:p>
      <w:pPr>
        <w:ind w:right="180"/>
        <w:spacing w:after="0" w:line="279" w:lineRule="auto"/>
        <w:rPr>
          <w:sz w:val="20"/>
          <w:szCs w:val="20"/>
          <w:color w:val="auto"/>
        </w:rPr>
      </w:pPr>
      <w:r>
        <w:rPr>
          <w:rFonts w:ascii="Times New Roman" w:cs="Times New Roman" w:eastAsia="Times New Roman" w:hAnsi="Times New Roman"/>
          <w:sz w:val="12"/>
          <w:szCs w:val="12"/>
          <w:color w:val="auto"/>
        </w:rPr>
        <w:t>leaseback transaction for the three scows placed into service in 2022. The transaction generated gross cash proceeds of $29.5 million. Additionally in 2023, the Company retired three scows as part of its ongoing fleet modernization program.</w:t>
      </w:r>
    </w:p>
    <w:p>
      <w:pPr>
        <w:spacing w:after="0" w:line="109" w:lineRule="exact"/>
        <w:rPr>
          <w:sz w:val="20"/>
          <w:szCs w:val="20"/>
          <w:color w:val="auto"/>
        </w:rPr>
      </w:pPr>
    </w:p>
    <w:p>
      <w:pPr>
        <w:ind w:right="100" w:firstLine="51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Multi Cats. </w:t>
      </w:r>
      <w:r>
        <w:rPr>
          <w:rFonts w:ascii="Times New Roman" w:cs="Times New Roman" w:eastAsia="Times New Roman" w:hAnsi="Times New Roman"/>
          <w:sz w:val="12"/>
          <w:szCs w:val="12"/>
          <w:color w:val="auto"/>
        </w:rPr>
        <w:t>In 2023, the Company took delivery of two Damen multifunctional all-purpose vessels (“Multi Cats”), the</w:t>
      </w:r>
      <w:r>
        <w:rPr>
          <w:rFonts w:ascii="Times New Roman" w:cs="Times New Roman" w:eastAsia="Times New Roman" w:hAnsi="Times New Roman"/>
          <w:sz w:val="12"/>
          <w:szCs w:val="12"/>
          <w:i w:val="1"/>
          <w:iCs w:val="1"/>
          <w:color w:val="auto"/>
        </w:rPr>
        <w:t xml:space="preserve"> Cape Hatteras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2"/>
          <w:szCs w:val="12"/>
          <w:i w:val="1"/>
          <w:iCs w:val="1"/>
          <w:color w:val="auto"/>
        </w:rPr>
        <w:t xml:space="preserve"> Cape Canaveral</w:t>
      </w:r>
      <w:r>
        <w:rPr>
          <w:rFonts w:ascii="Times New Roman" w:cs="Times New Roman" w:eastAsia="Times New Roman" w:hAnsi="Times New Roman"/>
          <w:sz w:val="12"/>
          <w:szCs w:val="12"/>
          <w:color w:val="auto"/>
        </w:rPr>
        <w:t>. These vessels will greatly improve the safety and efficiency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pipe and anchor operations. The two vessels are the first Damen Multi Cats to be built in the U.S. and are fully compliant with the U.S. Coast Guard and the Corps stability criteria.</w:t>
      </w:r>
    </w:p>
    <w:p>
      <w:pPr>
        <w:spacing w:after="0" w:line="109" w:lineRule="exact"/>
        <w:rPr>
          <w:sz w:val="20"/>
          <w:szCs w:val="20"/>
          <w:color w:val="auto"/>
        </w:rPr>
      </w:pPr>
    </w:p>
    <w:p>
      <w:pPr>
        <w:ind w:right="260" w:firstLine="512"/>
        <w:spacing w:after="0" w:line="279" w:lineRule="auto"/>
        <w:rPr>
          <w:sz w:val="20"/>
          <w:szCs w:val="20"/>
          <w:color w:val="auto"/>
        </w:rPr>
      </w:pPr>
      <w:r>
        <w:rPr>
          <w:rFonts w:ascii="Times New Roman" w:cs="Times New Roman" w:eastAsia="Times New Roman" w:hAnsi="Times New Roman"/>
          <w:sz w:val="12"/>
          <w:szCs w:val="12"/>
          <w:color w:val="auto"/>
        </w:rPr>
        <w:t>The Company has numerous pieces of smaller equipment that support its dredging operations. Great Lakes’ domestic dredging fleet is typically positioned on the East and Gulf Coasts, with the rivers &amp; lakes dredges on inland rivers and lakes. The mobility of the fleet enables the Company to move equipment in response to changes in demand.</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continually assesses its need to upgrade and expand its dredging fleet to take advantage of improving technology, to address the changing needs of the dredging market and to retire older, less efficient dredges.</w:t>
      </w:r>
    </w:p>
    <w:p>
      <w:pPr>
        <w:spacing w:after="0" w:line="150" w:lineRule="exact"/>
        <w:rPr>
          <w:sz w:val="20"/>
          <w:szCs w:val="20"/>
          <w:color w:val="auto"/>
        </w:rPr>
      </w:pPr>
    </w:p>
    <w:p>
      <w:pPr>
        <w:ind w:right="240" w:firstLine="512"/>
        <w:spacing w:after="0" w:line="279" w:lineRule="auto"/>
        <w:rPr>
          <w:sz w:val="20"/>
          <w:szCs w:val="20"/>
          <w:color w:val="auto"/>
        </w:rPr>
      </w:pPr>
      <w:r>
        <w:rPr>
          <w:rFonts w:ascii="Times New Roman" w:cs="Times New Roman" w:eastAsia="Times New Roman" w:hAnsi="Times New Roman"/>
          <w:sz w:val="12"/>
          <w:szCs w:val="12"/>
          <w:color w:val="auto"/>
        </w:rPr>
        <w:t>The Company is also committed to a reliability-assured maintenance program, which it believes is reflected in the long lives of most if its equipment and its low level of unscheduled downtime on jobs. To the extent that market conditions warrant the expenditures, Great Lakes can prolong the useful life of its vessels.</w:t>
      </w:r>
    </w:p>
    <w:p>
      <w:pPr>
        <w:spacing w:after="0" w:line="111" w:lineRule="exact"/>
        <w:rPr>
          <w:sz w:val="20"/>
          <w:szCs w:val="20"/>
          <w:color w:val="auto"/>
        </w:rPr>
      </w:pPr>
    </w:p>
    <w:p>
      <w:pPr>
        <w:ind w:right="80" w:firstLine="512"/>
        <w:spacing w:after="0" w:line="260" w:lineRule="auto"/>
        <w:rPr>
          <w:sz w:val="20"/>
          <w:szCs w:val="20"/>
          <w:color w:val="auto"/>
        </w:rPr>
      </w:pPr>
      <w:r>
        <w:rPr>
          <w:rFonts w:ascii="Times New Roman" w:cs="Times New Roman" w:eastAsia="Times New Roman" w:hAnsi="Times New Roman"/>
          <w:sz w:val="12"/>
          <w:szCs w:val="12"/>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82" w:lineRule="exact"/>
        <w:rPr>
          <w:sz w:val="20"/>
          <w:szCs w:val="20"/>
          <w:color w:val="auto"/>
        </w:rPr>
      </w:pPr>
    </w:p>
    <w:p>
      <w:pPr>
        <w:ind w:right="60" w:firstLine="512"/>
        <w:spacing w:after="0" w:line="260" w:lineRule="auto"/>
        <w:rPr>
          <w:sz w:val="20"/>
          <w:szCs w:val="20"/>
          <w:color w:val="auto"/>
        </w:rPr>
      </w:pPr>
      <w:r>
        <w:rPr>
          <w:rFonts w:ascii="Times New Roman" w:cs="Times New Roman" w:eastAsia="Times New Roman" w:hAnsi="Times New Roman"/>
          <w:sz w:val="12"/>
          <w:szCs w:val="12"/>
          <w:color w:val="auto"/>
        </w:rPr>
        <w:t>Seasonality generally does have a significant impact on the Company’s operations. Moreover,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Weather</w:t>
      </w:r>
    </w:p>
    <w:p>
      <w:pPr>
        <w:spacing w:after="0" w:line="82" w:lineRule="exact"/>
        <w:rPr>
          <w:sz w:val="20"/>
          <w:szCs w:val="20"/>
          <w:color w:val="auto"/>
        </w:rPr>
      </w:pPr>
    </w:p>
    <w:p>
      <w:pPr>
        <w:ind w:firstLine="512"/>
        <w:spacing w:after="0" w:line="257" w:lineRule="auto"/>
        <w:rPr>
          <w:sz w:val="20"/>
          <w:szCs w:val="20"/>
          <w:color w:val="auto"/>
        </w:rPr>
      </w:pPr>
      <w:r>
        <w:rPr>
          <w:rFonts w:ascii="Times New Roman" w:cs="Times New Roman" w:eastAsia="Times New Roman" w:hAnsi="Times New Roman"/>
          <w:sz w:val="12"/>
          <w:szCs w:val="12"/>
          <w:color w:val="auto"/>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25" w:lineRule="exact"/>
        <w:rPr>
          <w:sz w:val="20"/>
          <w:szCs w:val="20"/>
          <w:color w:val="auto"/>
        </w:rPr>
      </w:pPr>
    </w:p>
    <w:p>
      <w:pPr>
        <w:ind w:right="60" w:firstLine="512"/>
        <w:spacing w:after="0" w:line="265" w:lineRule="auto"/>
        <w:rPr>
          <w:sz w:val="20"/>
          <w:szCs w:val="20"/>
          <w:color w:val="auto"/>
        </w:rPr>
      </w:pPr>
      <w:r>
        <w:rPr>
          <w:rFonts w:ascii="Times New Roman" w:cs="Times New Roman" w:eastAsia="Times New Roman" w:hAnsi="Times New Roman"/>
          <w:sz w:val="12"/>
          <w:szCs w:val="12"/>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Recent years have seen a marked change in weather patterns, particularly in the Northeastern U.S., which has adversely impacted some of our projects.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Backlog</w:t>
      </w:r>
    </w:p>
    <w:p>
      <w:pPr>
        <w:spacing w:after="0" w:line="82" w:lineRule="exact"/>
        <w:rPr>
          <w:sz w:val="20"/>
          <w:szCs w:val="20"/>
          <w:color w:val="auto"/>
        </w:rPr>
      </w:pPr>
    </w:p>
    <w:p>
      <w:pPr>
        <w:ind w:firstLine="512"/>
        <w:spacing w:after="0" w:line="257" w:lineRule="auto"/>
        <w:rPr>
          <w:sz w:val="20"/>
          <w:szCs w:val="20"/>
          <w:color w:val="auto"/>
        </w:rPr>
      </w:pPr>
      <w:r>
        <w:rPr>
          <w:rFonts w:ascii="Times New Roman" w:cs="Times New Roman" w:eastAsia="Times New Roman" w:hAnsi="Times New Roman"/>
          <w:sz w:val="12"/>
          <w:szCs w:val="12"/>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9" w:name="page10"/>
    <w:bookmarkEnd w:id="9"/>
    <w:p>
      <w:pPr>
        <w:spacing w:after="0" w:line="265" w:lineRule="auto"/>
        <w:rPr>
          <w:sz w:val="20"/>
          <w:szCs w:val="20"/>
          <w:color w:val="auto"/>
        </w:rPr>
      </w:pPr>
      <w:r>
        <w:rPr>
          <w:rFonts w:ascii="Times New Roman" w:cs="Times New Roman" w:eastAsia="Times New Roman" w:hAnsi="Times New Roman"/>
          <w:sz w:val="12"/>
          <w:szCs w:val="12"/>
          <w:color w:val="auto"/>
        </w:rPr>
        <w:t>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 Management</w:t>
      </w:r>
    </w:p>
    <w:p>
      <w:pPr>
        <w:spacing w:after="0" w:line="82" w:lineRule="exact"/>
        <w:rPr>
          <w:sz w:val="20"/>
          <w:szCs w:val="20"/>
          <w:color w:val="auto"/>
        </w:rPr>
      </w:pPr>
    </w:p>
    <w:p>
      <w:pPr>
        <w:ind w:right="120" w:firstLine="512"/>
        <w:spacing w:after="0" w:line="265" w:lineRule="auto"/>
        <w:rPr>
          <w:sz w:val="20"/>
          <w:szCs w:val="20"/>
          <w:color w:val="auto"/>
        </w:rPr>
      </w:pPr>
      <w:r>
        <w:rPr>
          <w:rFonts w:ascii="Times New Roman" w:cs="Times New Roman" w:eastAsia="Times New Roman" w:hAnsi="Times New Roman"/>
          <w:sz w:val="12"/>
          <w:szCs w:val="12"/>
          <w:color w:val="auto"/>
        </w:rPr>
        <w:t>At December 31, 2024, the Company employed 366 full-time salaried and non-exempt personnel in the U.S., including those in a corporate function. In addition, the Company employs U.S. hourly personnel, most of whom are unionized, on a project-by-project basis. Crews are generally available for hire on relatively short notice. During 2024, the Company employed an average of approximately 637 hourly personnel to meet domestic project requirements.</w:t>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Company's employees are based across the U.S. with several project locations on the coasts and office locations in Houston, Texas, Oakbrook Terrace, Illinois, Staten Island, New York and Jacksonville, Florida.</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At December 31, 2024, the Company employed 12 foreign nationals and 3 local staff to manage and administer its Middle East operations.</w:t>
      </w:r>
    </w:p>
    <w:p>
      <w:pPr>
        <w:spacing w:after="0" w:line="78" w:lineRule="exact"/>
        <w:rPr>
          <w:sz w:val="20"/>
          <w:szCs w:val="20"/>
          <w:color w:val="auto"/>
        </w:rPr>
      </w:pPr>
    </w:p>
    <w:p>
      <w:pPr>
        <w:jc w:val="both"/>
        <w:ind w:right="60" w:firstLine="512"/>
        <w:spacing w:after="0" w:line="260" w:lineRule="auto"/>
        <w:rPr>
          <w:sz w:val="20"/>
          <w:szCs w:val="20"/>
          <w:color w:val="auto"/>
        </w:rPr>
      </w:pPr>
      <w:r>
        <w:rPr>
          <w:rFonts w:ascii="Times New Roman" w:cs="Times New Roman" w:eastAsia="Times New Roman" w:hAnsi="Times New Roman"/>
          <w:sz w:val="12"/>
          <w:szCs w:val="12"/>
          <w:color w:val="auto"/>
        </w:rPr>
        <w:t>The Company seeks to attract, select, hire, retain, incentivize and integrate our existing and future employees. To achieve our goal of attracting and retaining the most talented employees in the industry, we offer a respectful and safe work environment with competitive compensation and benefits that support employees’ physical, financial and emotional health. The principal objective of our equity incentive plans is to attract, retain and motivate executives and selected employees through the granting of stock-based compensation awards. We offer employees benefits including a 401(k) plan with employer contributions; health, life and disability insurance; additional voluntary insurance; paid time off; parental leave; and paid employee assistance programs.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i w:val="1"/>
          <w:iCs w:val="1"/>
          <w:color w:val="auto"/>
        </w:rPr>
        <w:t>Safety</w:t>
      </w:r>
    </w:p>
    <w:p>
      <w:pPr>
        <w:spacing w:after="0" w:line="80" w:lineRule="exact"/>
        <w:rPr>
          <w:sz w:val="20"/>
          <w:szCs w:val="20"/>
          <w:color w:val="auto"/>
        </w:rPr>
      </w:pPr>
    </w:p>
    <w:p>
      <w:pPr>
        <w:ind w:right="120" w:firstLine="512"/>
        <w:spacing w:after="0" w:line="265" w:lineRule="auto"/>
        <w:rPr>
          <w:sz w:val="20"/>
          <w:szCs w:val="20"/>
          <w:color w:val="auto"/>
        </w:rPr>
      </w:pPr>
      <w:r>
        <w:rPr>
          <w:rFonts w:ascii="Times New Roman" w:cs="Times New Roman" w:eastAsia="Times New Roman" w:hAnsi="Times New Roman"/>
          <w:sz w:val="12"/>
          <w:szCs w:val="12"/>
          <w:color w:val="auto"/>
        </w:rPr>
        <w:t>Safety is a core value at GLDD, and our Incident &amp; Injury Free® (IIF®) safety approach management program is integrated into all aspects of our culture. The Company’s safety culture is committed to training, behavioral based awareness and mutual responsibility for the wellbeing of its employees. The Company’s goal is sustainable safety excellence. Incident prevention in all areas has top priority in the Company’s business planning, in the overall conduct of its business and in the operation and maintenance of our equipment (marine and land) and facilities.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i w:val="1"/>
          <w:iCs w:val="1"/>
          <w:color w:val="auto"/>
        </w:rPr>
        <w:t>Unions</w:t>
      </w:r>
    </w:p>
    <w:p>
      <w:pPr>
        <w:spacing w:after="0" w:line="80"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The Company is a party to numerous collective bargaining agreements in the U.S. that govern its relationships with its unionized hourly workforce. However, two unions represent a large majority of our dredging employees - the International Union of Operating Engineers (“IUOE”) Local 25 and the Seafarers International Union (“SIU”). The Company’s master and ancillary contracts with IUOE Local 25 will expire on September 30, 2027. Our agreements with the SIU expire on February 28, 2026.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Regulations</w:t>
      </w:r>
    </w:p>
    <w:p>
      <w:pPr>
        <w:spacing w:after="0" w:line="82" w:lineRule="exact"/>
        <w:rPr>
          <w:sz w:val="20"/>
          <w:szCs w:val="20"/>
          <w:color w:val="auto"/>
        </w:rPr>
      </w:pPr>
    </w:p>
    <w:p>
      <w:pPr>
        <w:ind w:right="20" w:firstLine="512"/>
        <w:spacing w:after="0" w:line="260" w:lineRule="auto"/>
        <w:rPr>
          <w:sz w:val="20"/>
          <w:szCs w:val="20"/>
          <w:color w:val="auto"/>
        </w:rPr>
      </w:pPr>
      <w:r>
        <w:rPr>
          <w:rFonts w:ascii="Times New Roman" w:cs="Times New Roman" w:eastAsia="Times New Roman" w:hAnsi="Times New Roman"/>
          <w:sz w:val="12"/>
          <w:szCs w:val="12"/>
          <w:color w:val="auto"/>
        </w:rPr>
        <w:t>The Company is subject to government regulations pursuant to the Dredging Act, the Jones Act, the Shipping Act, 1916 (the “Shipping Act”) and the vessel documentation laws set forth in Chapter 121 of Title 46 of the United States Code. These statutes require vessels engaged in dredging in the navigable waters of the United States to be documented with a coastwise endorsement, and, among other things,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i w:val="1"/>
          <w:iCs w:val="1"/>
          <w:color w:val="auto"/>
        </w:rPr>
        <w:t>Environmental Matters</w:t>
      </w:r>
    </w:p>
    <w:p>
      <w:pPr>
        <w:spacing w:after="0" w:line="80" w:lineRule="exact"/>
        <w:rPr>
          <w:sz w:val="20"/>
          <w:szCs w:val="20"/>
          <w:color w:val="auto"/>
        </w:rPr>
      </w:pPr>
    </w:p>
    <w:p>
      <w:pPr>
        <w:ind w:right="60" w:firstLine="512"/>
        <w:spacing w:after="0" w:line="260" w:lineRule="auto"/>
        <w:rPr>
          <w:sz w:val="20"/>
          <w:szCs w:val="20"/>
          <w:color w:val="auto"/>
        </w:rPr>
      </w:pPr>
      <w:r>
        <w:rPr>
          <w:rFonts w:ascii="Times New Roman" w:cs="Times New Roman" w:eastAsia="Times New Roman" w:hAnsi="Times New Roman"/>
          <w:sz w:val="12"/>
          <w:szCs w:val="12"/>
          <w:color w:val="auto"/>
        </w:rPr>
        <w:t>The Company’s operations, facilities and vessels are subject to various environmental laws and regulations related to, among other things: dredging operations; the disposal of dredged material; protection of wetlands; storm water and waste water discharges; and air emissions.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87" w:right="299" w:bottom="1440" w:gutter="0" w:footer="0" w:header="0"/>
        </w:sectPr>
      </w:pPr>
    </w:p>
    <w:bookmarkStart w:id="10" w:name="page11"/>
    <w:bookmarkEnd w:id="10"/>
    <w:p>
      <w:pPr>
        <w:ind w:right="120" w:firstLine="512"/>
        <w:spacing w:after="0" w:line="260" w:lineRule="auto"/>
        <w:rPr>
          <w:sz w:val="20"/>
          <w:szCs w:val="20"/>
          <w:color w:val="auto"/>
        </w:rPr>
      </w:pPr>
      <w:r>
        <w:rPr>
          <w:rFonts w:ascii="Times New Roman" w:cs="Times New Roman" w:eastAsia="Times New Roman" w:hAnsi="Times New Roman"/>
          <w:sz w:val="12"/>
          <w:szCs w:val="12"/>
          <w:color w:val="auto"/>
        </w:rPr>
        <w:t>Certain environmental laws such as the U.S. Comprehensive Environmental Response, Compensation and Liability Act of 1980, the Clean Water Act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22" w:lineRule="exact"/>
        <w:rPr>
          <w:sz w:val="20"/>
          <w:szCs w:val="20"/>
          <w:color w:val="auto"/>
        </w:rPr>
      </w:pPr>
    </w:p>
    <w:p>
      <w:pPr>
        <w:jc w:val="both"/>
        <w:ind w:right="40" w:firstLine="512"/>
        <w:spacing w:after="0" w:line="265" w:lineRule="auto"/>
        <w:rPr>
          <w:sz w:val="20"/>
          <w:szCs w:val="20"/>
          <w:color w:val="auto"/>
        </w:rPr>
      </w:pPr>
      <w:r>
        <w:rPr>
          <w:rFonts w:ascii="Times New Roman" w:cs="Times New Roman" w:eastAsia="Times New Roman" w:hAnsi="Times New Roman"/>
          <w:sz w:val="12"/>
          <w:szCs w:val="12"/>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spacing w:after="0" w:line="119"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Information about our Executive Officers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sets forth the names and ages of all of the Company’s executive officers and the positions and offices currently held by them.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340" w:type="dxa"/>
            <w:vAlign w:val="bottom"/>
          </w:tcPr>
          <w:p>
            <w:pPr>
              <w:spacing w:after="0"/>
              <w:rPr>
                <w:sz w:val="14"/>
                <w:szCs w:val="14"/>
                <w:color w:val="auto"/>
              </w:rPr>
            </w:pPr>
          </w:p>
        </w:tc>
        <w:tc>
          <w:tcPr>
            <w:tcW w:w="786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44"/>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Lasse J. Petterson</w:t>
            </w:r>
          </w:p>
        </w:tc>
        <w:tc>
          <w:tcPr>
            <w:tcW w:w="800" w:type="dxa"/>
            <w:vAlign w:val="bottom"/>
            <w:gridSpan w:val="2"/>
            <w:shd w:val="clear" w:color="auto" w:fill="CFF0FC"/>
          </w:tcPr>
          <w:p>
            <w:pPr>
              <w:jc w:val="center"/>
              <w:ind w:left="220"/>
              <w:spacing w:after="0"/>
              <w:rPr>
                <w:sz w:val="20"/>
                <w:szCs w:val="20"/>
                <w:color w:val="auto"/>
              </w:rPr>
            </w:pPr>
            <w:r>
              <w:rPr>
                <w:rFonts w:ascii="Times New Roman" w:cs="Times New Roman" w:eastAsia="Times New Roman" w:hAnsi="Times New Roman"/>
                <w:sz w:val="12"/>
                <w:szCs w:val="12"/>
                <w:color w:val="auto"/>
                <w:w w:val="99"/>
              </w:rPr>
              <w:t>68</w:t>
            </w:r>
          </w:p>
        </w:tc>
        <w:tc>
          <w:tcPr>
            <w:tcW w:w="340" w:type="dxa"/>
            <w:vAlign w:val="bottom"/>
            <w:shd w:val="clear" w:color="auto" w:fill="CFF0FC"/>
          </w:tcPr>
          <w:p>
            <w:pPr>
              <w:spacing w:after="0"/>
              <w:rPr>
                <w:sz w:val="12"/>
                <w:szCs w:val="12"/>
                <w:color w:val="auto"/>
              </w:rPr>
            </w:pPr>
          </w:p>
        </w:tc>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President, Chief Executive Officer</w:t>
            </w: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Scott Kornblau</w:t>
            </w:r>
          </w:p>
        </w:tc>
        <w:tc>
          <w:tcPr>
            <w:tcW w:w="800" w:type="dxa"/>
            <w:vAlign w:val="bottom"/>
            <w:gridSpan w:val="2"/>
          </w:tcPr>
          <w:p>
            <w:pPr>
              <w:jc w:val="center"/>
              <w:ind w:left="220"/>
              <w:spacing w:after="0"/>
              <w:rPr>
                <w:sz w:val="20"/>
                <w:szCs w:val="20"/>
                <w:color w:val="auto"/>
              </w:rPr>
            </w:pPr>
            <w:r>
              <w:rPr>
                <w:rFonts w:ascii="Times New Roman" w:cs="Times New Roman" w:eastAsia="Times New Roman" w:hAnsi="Times New Roman"/>
                <w:sz w:val="12"/>
                <w:szCs w:val="12"/>
                <w:color w:val="auto"/>
                <w:w w:val="99"/>
              </w:rPr>
              <w:t>53</w:t>
            </w:r>
          </w:p>
        </w:tc>
        <w:tc>
          <w:tcPr>
            <w:tcW w:w="340" w:type="dxa"/>
            <w:vAlign w:val="bottom"/>
          </w:tcPr>
          <w:p>
            <w:pPr>
              <w:spacing w:after="0"/>
              <w:rPr>
                <w:sz w:val="12"/>
                <w:szCs w:val="12"/>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Chief Financial Officer</w:t>
            </w:r>
          </w:p>
        </w:tc>
      </w:tr>
      <w:tr>
        <w:trPr>
          <w:trHeight w:val="144"/>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David Johanson</w:t>
            </w:r>
          </w:p>
        </w:tc>
        <w:tc>
          <w:tcPr>
            <w:tcW w:w="800" w:type="dxa"/>
            <w:vAlign w:val="bottom"/>
            <w:gridSpan w:val="2"/>
            <w:shd w:val="clear" w:color="auto" w:fill="CFF0FC"/>
          </w:tcPr>
          <w:p>
            <w:pPr>
              <w:jc w:val="center"/>
              <w:ind w:left="220"/>
              <w:spacing w:after="0"/>
              <w:rPr>
                <w:sz w:val="20"/>
                <w:szCs w:val="20"/>
                <w:color w:val="auto"/>
              </w:rPr>
            </w:pPr>
            <w:r>
              <w:rPr>
                <w:rFonts w:ascii="Times New Roman" w:cs="Times New Roman" w:eastAsia="Times New Roman" w:hAnsi="Times New Roman"/>
                <w:sz w:val="12"/>
                <w:szCs w:val="12"/>
                <w:color w:val="auto"/>
                <w:w w:val="99"/>
              </w:rPr>
              <w:t>53</w:t>
            </w:r>
          </w:p>
        </w:tc>
        <w:tc>
          <w:tcPr>
            <w:tcW w:w="340" w:type="dxa"/>
            <w:vAlign w:val="bottom"/>
            <w:shd w:val="clear" w:color="auto" w:fill="CFF0FC"/>
          </w:tcPr>
          <w:p>
            <w:pPr>
              <w:spacing w:after="0"/>
              <w:rPr>
                <w:sz w:val="12"/>
                <w:szCs w:val="12"/>
                <w:color w:val="auto"/>
              </w:rPr>
            </w:pPr>
          </w:p>
        </w:tc>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Senior Vice President, Project Acquisition &amp; Operations</w:t>
            </w: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G. Gunsten</w:t>
            </w:r>
          </w:p>
        </w:tc>
        <w:tc>
          <w:tcPr>
            <w:tcW w:w="800" w:type="dxa"/>
            <w:vAlign w:val="bottom"/>
            <w:gridSpan w:val="2"/>
          </w:tcPr>
          <w:p>
            <w:pPr>
              <w:jc w:val="center"/>
              <w:ind w:left="220"/>
              <w:spacing w:after="0"/>
              <w:rPr>
                <w:sz w:val="20"/>
                <w:szCs w:val="20"/>
                <w:color w:val="auto"/>
              </w:rPr>
            </w:pPr>
            <w:r>
              <w:rPr>
                <w:rFonts w:ascii="Times New Roman" w:cs="Times New Roman" w:eastAsia="Times New Roman" w:hAnsi="Times New Roman"/>
                <w:sz w:val="12"/>
                <w:szCs w:val="12"/>
                <w:color w:val="auto"/>
                <w:w w:val="99"/>
              </w:rPr>
              <w:t>55</w:t>
            </w:r>
          </w:p>
        </w:tc>
        <w:tc>
          <w:tcPr>
            <w:tcW w:w="340" w:type="dxa"/>
            <w:vAlign w:val="bottom"/>
          </w:tcPr>
          <w:p>
            <w:pPr>
              <w:spacing w:after="0"/>
              <w:rPr>
                <w:sz w:val="12"/>
                <w:szCs w:val="12"/>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Project Services &amp; Fleet Engineering</w:t>
            </w:r>
          </w:p>
        </w:tc>
      </w:tr>
      <w:tr>
        <w:trPr>
          <w:trHeight w:val="144"/>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Eleni Beyko</w:t>
            </w:r>
          </w:p>
        </w:tc>
        <w:tc>
          <w:tcPr>
            <w:tcW w:w="800" w:type="dxa"/>
            <w:vAlign w:val="bottom"/>
            <w:gridSpan w:val="2"/>
            <w:shd w:val="clear" w:color="auto" w:fill="CFF0FC"/>
          </w:tcPr>
          <w:p>
            <w:pPr>
              <w:jc w:val="center"/>
              <w:ind w:left="220"/>
              <w:spacing w:after="0"/>
              <w:rPr>
                <w:sz w:val="20"/>
                <w:szCs w:val="20"/>
                <w:color w:val="auto"/>
              </w:rPr>
            </w:pPr>
            <w:r>
              <w:rPr>
                <w:rFonts w:ascii="Times New Roman" w:cs="Times New Roman" w:eastAsia="Times New Roman" w:hAnsi="Times New Roman"/>
                <w:sz w:val="12"/>
                <w:szCs w:val="12"/>
                <w:color w:val="auto"/>
                <w:w w:val="99"/>
              </w:rPr>
              <w:t>59</w:t>
            </w:r>
          </w:p>
        </w:tc>
        <w:tc>
          <w:tcPr>
            <w:tcW w:w="340" w:type="dxa"/>
            <w:vAlign w:val="bottom"/>
            <w:shd w:val="clear" w:color="auto" w:fill="CFF0FC"/>
          </w:tcPr>
          <w:p>
            <w:pPr>
              <w:spacing w:after="0"/>
              <w:rPr>
                <w:sz w:val="12"/>
                <w:szCs w:val="12"/>
                <w:color w:val="auto"/>
              </w:rPr>
            </w:pPr>
          </w:p>
        </w:tc>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Senior Vice President, Offshore Energy</w:t>
            </w: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Vivienne R. Schiffer</w:t>
            </w:r>
          </w:p>
        </w:tc>
        <w:tc>
          <w:tcPr>
            <w:tcW w:w="800" w:type="dxa"/>
            <w:vAlign w:val="bottom"/>
            <w:gridSpan w:val="2"/>
          </w:tcPr>
          <w:p>
            <w:pPr>
              <w:jc w:val="center"/>
              <w:ind w:left="220"/>
              <w:spacing w:after="0"/>
              <w:rPr>
                <w:sz w:val="20"/>
                <w:szCs w:val="20"/>
                <w:color w:val="auto"/>
              </w:rPr>
            </w:pPr>
            <w:r>
              <w:rPr>
                <w:rFonts w:ascii="Times New Roman" w:cs="Times New Roman" w:eastAsia="Times New Roman" w:hAnsi="Times New Roman"/>
                <w:sz w:val="12"/>
                <w:szCs w:val="12"/>
                <w:color w:val="auto"/>
                <w:w w:val="99"/>
              </w:rPr>
              <w:t>65</w:t>
            </w:r>
          </w:p>
        </w:tc>
        <w:tc>
          <w:tcPr>
            <w:tcW w:w="340" w:type="dxa"/>
            <w:vAlign w:val="bottom"/>
          </w:tcPr>
          <w:p>
            <w:pPr>
              <w:spacing w:after="0"/>
              <w:rPr>
                <w:sz w:val="12"/>
                <w:szCs w:val="12"/>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Chief Legal Officer, Chief Compliance Officer &amp; Corporate Secretary</w:t>
            </w:r>
          </w:p>
        </w:tc>
      </w:tr>
      <w:tr>
        <w:trPr>
          <w:trHeight w:val="144"/>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William H. Hanson</w:t>
            </w:r>
          </w:p>
        </w:tc>
        <w:tc>
          <w:tcPr>
            <w:tcW w:w="800" w:type="dxa"/>
            <w:vAlign w:val="bottom"/>
            <w:gridSpan w:val="2"/>
            <w:shd w:val="clear" w:color="auto" w:fill="CFF0FC"/>
          </w:tcPr>
          <w:p>
            <w:pPr>
              <w:jc w:val="center"/>
              <w:ind w:left="220"/>
              <w:spacing w:after="0"/>
              <w:rPr>
                <w:sz w:val="20"/>
                <w:szCs w:val="20"/>
                <w:color w:val="auto"/>
              </w:rPr>
            </w:pPr>
            <w:r>
              <w:rPr>
                <w:rFonts w:ascii="Times New Roman" w:cs="Times New Roman" w:eastAsia="Times New Roman" w:hAnsi="Times New Roman"/>
                <w:sz w:val="12"/>
                <w:szCs w:val="12"/>
                <w:color w:val="auto"/>
                <w:w w:val="99"/>
              </w:rPr>
              <w:t>68</w:t>
            </w:r>
          </w:p>
        </w:tc>
        <w:tc>
          <w:tcPr>
            <w:tcW w:w="340" w:type="dxa"/>
            <w:vAlign w:val="bottom"/>
            <w:shd w:val="clear" w:color="auto" w:fill="CFF0FC"/>
          </w:tcPr>
          <w:p>
            <w:pPr>
              <w:spacing w:after="0"/>
              <w:rPr>
                <w:sz w:val="12"/>
                <w:szCs w:val="12"/>
                <w:color w:val="auto"/>
              </w:rPr>
            </w:pPr>
          </w:p>
        </w:tc>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Senior Vice President, Market Development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Lasse J. Petterson, President, Chief Executive Officer</w:t>
      </w:r>
    </w:p>
    <w:p>
      <w:pPr>
        <w:spacing w:after="0" w:line="80" w:lineRule="exact"/>
        <w:rPr>
          <w:sz w:val="20"/>
          <w:szCs w:val="20"/>
          <w:color w:val="auto"/>
        </w:rPr>
      </w:pPr>
    </w:p>
    <w:p>
      <w:pPr>
        <w:ind w:right="20" w:firstLine="512"/>
        <w:spacing w:after="0" w:line="256" w:lineRule="auto"/>
        <w:rPr>
          <w:sz w:val="20"/>
          <w:szCs w:val="20"/>
          <w:color w:val="auto"/>
        </w:rPr>
      </w:pPr>
      <w:r>
        <w:rPr>
          <w:rFonts w:ascii="Times New Roman" w:cs="Times New Roman" w:eastAsia="Times New Roman" w:hAnsi="Times New Roman"/>
          <w:sz w:val="12"/>
          <w:szCs w:val="12"/>
          <w:color w:val="auto"/>
        </w:rPr>
        <w:t>Mr. Petterson has served as Chief Executive Officer (“CEO”) since May 2017, as a member of our board of directors since 2016 and was also named President in 2020. Mr. Petterson most recently had served as a private consultant to clients in the Oil &amp; Gas sector and served as Chief Operating Officer (“COO”) and Executive Vice President at Chicago Bridge and Iron (“CB&amp;I”) from 2009 to 2013. Reporting directly to the CEO, he was responsible for all of CB&amp;I’s engineering, procurement and construction project operations and sales. Prior to CB&amp;I, Mr. Petterson was CEO of Gearbulk, Ltd., a privately held company that owns and operates one of the largest fleets of gantry craned open hatch bulk vessels in the world. He was also President and COO of AMEC Inc. Americas, a subsidiary of AMEC plc, a British multinational consulting, engineering and project management company. Prior to joining AMEC, Mr. Petterson served in various executive and operational positions for Aker Maritime, Inc., the deepwater division of Aker Maritime ASA of Norway over the course of 20 years. He spent the first nine years of his career in various positions at Norwegian Contractors, an offshore oil &amp; gas platform contractor. Mr. Petterson holds both master’s and bachelor’s degrees from the Norwegian University of Technology.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Scott Kornblau, Senior Vice President and Chief Financial Officer</w:t>
      </w:r>
    </w:p>
    <w:p>
      <w:pPr>
        <w:spacing w:after="0" w:line="80" w:lineRule="exact"/>
        <w:rPr>
          <w:sz w:val="20"/>
          <w:szCs w:val="20"/>
          <w:color w:val="auto"/>
        </w:rPr>
      </w:pPr>
    </w:p>
    <w:p>
      <w:pPr>
        <w:ind w:right="180" w:firstLine="512"/>
        <w:spacing w:after="0" w:line="260" w:lineRule="auto"/>
        <w:rPr>
          <w:sz w:val="20"/>
          <w:szCs w:val="20"/>
          <w:color w:val="auto"/>
        </w:rPr>
      </w:pPr>
      <w:r>
        <w:rPr>
          <w:rFonts w:ascii="Times New Roman" w:cs="Times New Roman" w:eastAsia="Times New Roman" w:hAnsi="Times New Roman"/>
          <w:sz w:val="12"/>
          <w:szCs w:val="12"/>
          <w:color w:val="auto"/>
        </w:rPr>
        <w:t>Mr. Kornblau was named Senior Vice President and Chief Financial Officer (“CFO”) when he joined the Company in October 2021, and also served as Treasurer of the Company from January 2022 through April 2024. In his over 25 years of professional experience prior, Mr. Kornblau has held various finance and leadership positions at Diamond Offshore Drilling, Inc. (“Diamond”), most recently as Senior Vice President and Chief Financial Officer since July 2018. Prior to Mr. Kornblau’s appointment as CFO, he held the roles of acting CFO since December 2017 in addition to his Vice President and Treasurer position at Diamond since January 2017. Mr. Kornblau earned a Bachelor of Arts degree in Accounting from the University of Texas at Austin. Mr. Kornblau is a certified public accountant.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i w:val="1"/>
          <w:iCs w:val="1"/>
          <w:color w:val="auto"/>
        </w:rPr>
        <w:t>David Johanson, Senior Vice President, Project Acquisition &amp; Operations</w:t>
      </w:r>
    </w:p>
    <w:p>
      <w:pPr>
        <w:spacing w:after="0" w:line="80" w:lineRule="exact"/>
        <w:rPr>
          <w:sz w:val="20"/>
          <w:szCs w:val="20"/>
          <w:color w:val="auto"/>
        </w:rPr>
      </w:pPr>
    </w:p>
    <w:p>
      <w:pPr>
        <w:ind w:right="140" w:firstLine="512"/>
        <w:spacing w:after="0" w:line="257" w:lineRule="auto"/>
        <w:rPr>
          <w:sz w:val="20"/>
          <w:szCs w:val="20"/>
          <w:color w:val="auto"/>
        </w:rPr>
      </w:pPr>
      <w:r>
        <w:rPr>
          <w:rFonts w:ascii="Times New Roman" w:cs="Times New Roman" w:eastAsia="Times New Roman" w:hAnsi="Times New Roman"/>
          <w:sz w:val="12"/>
          <w:szCs w:val="12"/>
          <w:color w:val="auto"/>
        </w:rPr>
        <w:t>Mr. Johanson was named Senior Vice President, Project Acquisition &amp; Operation in July 2022 after serving as Senior Vice President, Gulf Region. Before that, Mr. Johanson was promoted to Vice President and Hydraulic Division Manager in 2015 and served as Vice President Project Director of Charleston Deepening Projects from 2018-2020, which included the largest dredging contract ever awarded by the U.S. Army Corps of Engineers. He joined the Company in 1994 as a field engineer and has held positions of increasing responsibility in project management. Mr. Johanson earned a Bachelor of Science degree in Ocean Engineering from the Virginia Polytechnic Institute &amp; State University and a MBA with a finance specialization from the University of South Carolina. He is a current board member of the Western Dredging Association Eastern Branch and is a member of American Society of Civil Engineers.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Christopher G. Gunsten, Senior Vice President, Project Services &amp; Fleet Engineering</w:t>
      </w:r>
    </w:p>
    <w:p>
      <w:pPr>
        <w:spacing w:after="0" w:line="80" w:lineRule="exact"/>
        <w:rPr>
          <w:sz w:val="20"/>
          <w:szCs w:val="20"/>
          <w:color w:val="auto"/>
        </w:rPr>
      </w:pPr>
    </w:p>
    <w:p>
      <w:pPr>
        <w:ind w:right="100" w:firstLine="512"/>
        <w:spacing w:after="0" w:line="257" w:lineRule="auto"/>
        <w:rPr>
          <w:sz w:val="20"/>
          <w:szCs w:val="20"/>
          <w:color w:val="auto"/>
        </w:rPr>
      </w:pPr>
      <w:r>
        <w:rPr>
          <w:rFonts w:ascii="Times New Roman" w:cs="Times New Roman" w:eastAsia="Times New Roman" w:hAnsi="Times New Roman"/>
          <w:sz w:val="12"/>
          <w:szCs w:val="12"/>
          <w:color w:val="auto"/>
        </w:rPr>
        <w:t>Mr. Gunsten was appointed to the position of Senior Vice President, Project Services &amp; Fleet Engineering in July 2022 after serving as Senior Vice President, Project Services. Previously he served as Vice President, International Operations with responsibility for acquiring projects, providing estimation data and leading field supervision of work in progress. Mr. Gunsten began his career with the Company as a field engineer in 1992. His career highlights include serving as Deputy Project Manager for Chevron’s Wheatstone LNG Project’s Engineering, Procure and Construct dredging subcontract in Onslow, WA, Australia valued at $1.2 billion AUD, as Project Manager executing a series of capital projects for the USACE New York District’s 45 and 50 Foot Harbor Deepening Programs and as Operations Manager for the Company's Øresund Fixed Link Project in Copenhagen, Denmark. He received his Bachelor of Science degree in Civil Engineering from Rutgers University and his MBA from Loyola University Chicago.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Eleni Beyko, Senior Vice President, Offshore Energy</w:t>
      </w:r>
    </w:p>
    <w:p>
      <w:pPr>
        <w:spacing w:after="0" w:line="80" w:lineRule="exact"/>
        <w:rPr>
          <w:sz w:val="20"/>
          <w:szCs w:val="20"/>
          <w:color w:val="auto"/>
        </w:rPr>
      </w:pPr>
    </w:p>
    <w:p>
      <w:pPr>
        <w:ind w:right="120" w:firstLine="512"/>
        <w:spacing w:after="0" w:line="256" w:lineRule="auto"/>
        <w:rPr>
          <w:sz w:val="20"/>
          <w:szCs w:val="20"/>
          <w:color w:val="auto"/>
        </w:rPr>
      </w:pPr>
      <w:r>
        <w:rPr>
          <w:rFonts w:ascii="Times New Roman" w:cs="Times New Roman" w:eastAsia="Times New Roman" w:hAnsi="Times New Roman"/>
          <w:sz w:val="12"/>
          <w:szCs w:val="12"/>
          <w:color w:val="auto"/>
        </w:rPr>
        <w:t>Dr. Beyko joined Great Lakes in January 2021 as Senior Vice President, Offshore Wind and currently serves as the Company’s Senior Vice President, Offshore Energy. She is responsible for Offshore Energy strategy, business development and operations. Dr. Beyko has over 20 years’ experience in program engineering, business leadership, and project execution for the automobile and offshore oil and gas markets. Her experience has also included Engineering, Technical Manager, Research &amp; Development – Offshore Technology, and offshore projects. She most recently served as Director, Energy Transition for Americas at TechnipFMC. At TechnipFMC, she was responsible for positioning TechnipFMC to support the transition into new and economically viable wind energy resources, and managing the Makani wind-borne energy spar offshore platform installation in partnership with Shell and Google X. Dr. Beyko graduated with a Diploma from National Technical University Athens in Mechanical Engineering, Naval Architecture &amp; Marine Engineering. She attended the University of Michigan where she earned her MSE, Naval Architecture and Marine Engineering, MSE Applied Mechanics, Mechanical Engineering, Master of Business Administration (MBA) and Ph.D., Naval Architecture and Marine Engineering.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Vivienne R. Schiffer, Senior Vice President, Chief Legal Officer, Chief Compliance Officer and Corporate Secretary</w:t>
      </w:r>
    </w:p>
    <w:p>
      <w:pPr>
        <w:spacing w:after="0" w:line="80" w:lineRule="exact"/>
        <w:rPr>
          <w:sz w:val="20"/>
          <w:szCs w:val="20"/>
          <w:color w:val="auto"/>
        </w:rPr>
      </w:pPr>
    </w:p>
    <w:p>
      <w:pPr>
        <w:ind w:firstLine="512"/>
        <w:spacing w:after="0" w:line="280" w:lineRule="auto"/>
        <w:rPr>
          <w:sz w:val="20"/>
          <w:szCs w:val="20"/>
          <w:color w:val="auto"/>
        </w:rPr>
      </w:pPr>
      <w:r>
        <w:rPr>
          <w:rFonts w:ascii="Times New Roman" w:cs="Times New Roman" w:eastAsia="Times New Roman" w:hAnsi="Times New Roman"/>
          <w:sz w:val="11"/>
          <w:szCs w:val="11"/>
          <w:color w:val="auto"/>
        </w:rPr>
        <w:t>Ms. Schiffer joined the Company in December 2020 as Senior Vice President, Chief Legal Officer, Chief Compliance Officer and Corporate Secretary. Ms. Schiffer leads the Company's legal, compliance and human resource organizations, providing legal and business counsel. Ms. Schiffer’s specific responsibilities include the oversight of corporate governance, policy and regulatory strategy development, litigation, environmental matters, intellectual property, global corporate compliance, cybersecurity and labor and employment laws. Ms. Schiffer was a corporate and securities partner in the global firm of Thompson &amp; Knight, LLP, now Holland &amp; Knight, LLP, from 2003 to</w:t>
      </w:r>
    </w:p>
    <w:p>
      <w:pPr>
        <w:ind w:right="160"/>
        <w:spacing w:after="0" w:line="255" w:lineRule="auto"/>
        <w:rPr>
          <w:sz w:val="20"/>
          <w:szCs w:val="20"/>
          <w:color w:val="auto"/>
        </w:rPr>
      </w:pPr>
      <w:r>
        <w:rPr>
          <w:rFonts w:ascii="Times New Roman" w:cs="Times New Roman" w:eastAsia="Times New Roman" w:hAnsi="Times New Roman"/>
          <w:sz w:val="12"/>
          <w:szCs w:val="12"/>
          <w:color w:val="auto"/>
        </w:rPr>
        <w:t>2010. She was of counsel in the firm’s corporate and securities section from 2011 until 2020. She has over 40 years of experience and has held significant legal, business and operational leadership roles in the industrials sector. Ms. Schiffer earned a Bachelor of Science degree from the University of Central Arkansas and a Juris Doctor degree from Tulane University. A member of the Asian American Journalists Association, Ms. Schiffer holds a certification in sustainability from Stanford University Graduate School of Business and a certification in Cybersecurity Governance for the Board of Directors from the Massachusetts Institute of Technology Sloan School of Management.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William </w:t>
      </w:r>
      <w:r>
        <w:rPr>
          <w:rFonts w:ascii="Times New Roman" w:cs="Times New Roman" w:eastAsia="Times New Roman" w:hAnsi="Times New Roman"/>
          <w:sz w:val="12"/>
          <w:szCs w:val="12"/>
          <w:i w:val="1"/>
          <w:iCs w:val="1"/>
          <w:color w:val="2E2E2E"/>
        </w:rPr>
        <w:t>H. Hanson, Senior Vice President, Market</w:t>
      </w:r>
      <w:r>
        <w:rPr>
          <w:rFonts w:ascii="Times New Roman" w:cs="Times New Roman" w:eastAsia="Times New Roman" w:hAnsi="Times New Roman"/>
          <w:sz w:val="12"/>
          <w:szCs w:val="12"/>
          <w:i w:val="1"/>
          <w:iCs w:val="1"/>
          <w:color w:val="auto"/>
        </w:rPr>
        <w:t xml:space="preserve"> Development</w:t>
      </w:r>
    </w:p>
    <w:p>
      <w:pPr>
        <w:spacing w:after="0" w:line="80"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 xml:space="preserve">Mr. </w:t>
      </w:r>
      <w:r>
        <w:rPr>
          <w:rFonts w:ascii="Times New Roman" w:cs="Times New Roman" w:eastAsia="Times New Roman" w:hAnsi="Times New Roman"/>
          <w:sz w:val="12"/>
          <w:szCs w:val="12"/>
          <w:color w:val="2E2E2E"/>
        </w:rPr>
        <w:t>Hanson was named Senior Vice President, Market Development in January 2023 after serving as Senior Vice President - Government Relations &amp; Business Development, a position he had held since March 2020. He was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E2E2E"/>
        </w:rPr>
        <w:t xml:space="preserve">named Vice President of the Company in 2004. Mr. Hanson worked for Connolly Pacific of Long Beach, California before joining GLDD in 1988. Prior to his work at Connolly Pacific, Mr. Hanson was with the U.S. Army Corps of Engineers. Mr. Hanson serves on several Federal Advisory Committees as well as on boards of groups with national and regional interest to the Company and several academic advisory boards related to ocean and coastal engineering. Mr. Hanson is an Ocean Engineering graduate of Texas A&amp;M University where he was named a distinguished alumnus in </w:t>
      </w:r>
      <w:r>
        <w:rPr>
          <w:rFonts w:ascii="Times New Roman" w:cs="Times New Roman" w:eastAsia="Times New Roman" w:hAnsi="Times New Roman"/>
          <w:sz w:val="12"/>
          <w:szCs w:val="12"/>
          <w:color w:val="000000"/>
        </w:rPr>
        <w:t>2013.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Availability of Information</w:t>
      </w:r>
    </w:p>
    <w:p>
      <w:pPr>
        <w:spacing w:after="0" w:line="82" w:lineRule="exact"/>
        <w:rPr>
          <w:sz w:val="20"/>
          <w:szCs w:val="20"/>
          <w:color w:val="auto"/>
        </w:rPr>
      </w:pPr>
    </w:p>
    <w:p>
      <w:pPr>
        <w:jc w:val="both"/>
        <w:ind w:right="20" w:firstLine="512"/>
        <w:spacing w:after="0" w:line="260" w:lineRule="auto"/>
        <w:rPr>
          <w:sz w:val="20"/>
          <w:szCs w:val="20"/>
          <w:color w:val="auto"/>
        </w:rPr>
      </w:pPr>
      <w:r>
        <w:rPr>
          <w:rFonts w:ascii="Times New Roman" w:cs="Times New Roman" w:eastAsia="Times New Roman" w:hAnsi="Times New Roman"/>
          <w:sz w:val="12"/>
          <w:szCs w:val="12"/>
          <w:color w:val="auto"/>
        </w:rPr>
        <w:t xml:space="preserve">You may read and obtain copies of any materials Great Lakes files with the SEC, including without limitation, the Company’s Annual Report on Form 10-K, quarterly reports on Form 10-Q, current reports on Form 8-K, and amendments to those reports, free of charge, at the SEC’s website, </w:t>
      </w:r>
      <w:r>
        <w:rPr>
          <w:rFonts w:ascii="Times New Roman" w:cs="Times New Roman" w:eastAsia="Times New Roman" w:hAnsi="Times New Roman"/>
          <w:sz w:val="12"/>
          <w:szCs w:val="12"/>
          <w:color w:val="0000FF"/>
        </w:rPr>
        <w:t>www.sec.gov</w:t>
      </w:r>
      <w:r>
        <w:rPr>
          <w:rFonts w:ascii="Times New Roman" w:cs="Times New Roman" w:eastAsia="Times New Roman" w:hAnsi="Times New Roman"/>
          <w:sz w:val="12"/>
          <w:szCs w:val="12"/>
          <w:color w:val="auto"/>
        </w:rPr>
        <w:t xml:space="preserve">. Great Lakes’ SEC filings are also available to the public, free of charge, on our corporate website, </w:t>
      </w:r>
      <w:r>
        <w:rPr>
          <w:rFonts w:ascii="Times New Roman" w:cs="Times New Roman" w:eastAsia="Times New Roman" w:hAnsi="Times New Roman"/>
          <w:sz w:val="12"/>
          <w:szCs w:val="12"/>
          <w:color w:val="0000FF"/>
        </w:rPr>
        <w:t>www.gldd.com</w:t>
      </w:r>
      <w:r>
        <w:rPr>
          <w:rFonts w:ascii="Times New Roman" w:cs="Times New Roman" w:eastAsia="Times New Roman" w:hAnsi="Times New Roman"/>
          <w:sz w:val="12"/>
          <w:szCs w:val="12"/>
          <w:color w:val="auto"/>
        </w:rPr>
        <w:t>, at “Investors – Financials &amp; Filings”, as soon as reasonably practicable after Great Lakes electronically files such material with, or furnishes it to, the SEC. The reference to the Company’s website does not constitute incorporation by reference of information contained on or accessible through such website.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82" w:lineRule="exact"/>
        <w:rPr>
          <w:sz w:val="20"/>
          <w:szCs w:val="20"/>
          <w:color w:val="auto"/>
        </w:rPr>
      </w:pPr>
    </w:p>
    <w:p>
      <w:pPr>
        <w:ind w:right="40" w:firstLine="512"/>
        <w:spacing w:after="0" w:line="260" w:lineRule="auto"/>
        <w:rPr>
          <w:sz w:val="20"/>
          <w:szCs w:val="20"/>
          <w:color w:val="auto"/>
        </w:rPr>
      </w:pPr>
      <w:r>
        <w:rPr>
          <w:rFonts w:ascii="Times New Roman" w:cs="Times New Roman" w:eastAsia="Times New Roman" w:hAnsi="Times New Roman"/>
          <w:sz w:val="12"/>
          <w:szCs w:val="12"/>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Risks not currently known to the Company or that the Company currently deems to be immaterial may also materially and adversely affect the Company's business, operating results, financial condition and the actual outcome of matters as to which forward-looking statements are made in this report.</w:t>
      </w:r>
    </w:p>
    <w:p>
      <w:pPr>
        <w:spacing w:after="0" w:line="50" w:lineRule="exact"/>
        <w:rPr>
          <w:sz w:val="20"/>
          <w:szCs w:val="20"/>
          <w:color w:val="auto"/>
        </w:rPr>
      </w:pPr>
    </w:p>
    <w:p>
      <w:pPr>
        <w:ind w:firstLine="512"/>
        <w:spacing w:after="0" w:line="279" w:lineRule="auto"/>
        <w:rPr>
          <w:sz w:val="20"/>
          <w:szCs w:val="20"/>
          <w:color w:val="auto"/>
        </w:rPr>
      </w:pPr>
      <w:r>
        <w:rPr>
          <w:rFonts w:ascii="Times New Roman" w:cs="Times New Roman" w:eastAsia="Times New Roman" w:hAnsi="Times New Roman"/>
          <w:sz w:val="12"/>
          <w:szCs w:val="12"/>
          <w:color w:val="auto"/>
        </w:rPr>
        <w:t>We have grouped our Risk Factors under captions that we believe describe various categories of potential risk. For the reader’s convenience, we have not duplicated risk factors that could be considered to be included in more than one category.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Factor Summary</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is a summary of the principal risks that could adversely affect, or have adversely affected, the Company’s business, operating results and financial condition:</w:t>
      </w:r>
    </w:p>
    <w:p>
      <w:pPr>
        <w:spacing w:after="0" w:line="78" w:lineRule="exact"/>
        <w:rPr>
          <w:sz w:val="20"/>
          <w:szCs w:val="20"/>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government funding for dredging and other contracts, or government cancellation of such contracts, or the inability of the Corps to let bids to market;</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qualify as an eligible bidder under government contract criteria and to compete successfully against other qualified bidders in order to obtain government dredging and other contracts;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political environment and governmental fiscal and monetary policies;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over-runs, operating cost inflation and potential claims for liquidated damages, particularly with respect to our fixed-price contracts;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our performance on contracts and new contracts being awarded to us;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liabilities that could be imposed were we to fail to comply with government contracting regulations;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Project delays related to the increasingly negative impacts of climate change or other unusual, non-historical weather patterns;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necessary to operate and maintain our existing vessels and the construction of new vessels, including with respect to changes in applicable regulations or standards;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Equipment or mechanical failures;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Pandemic, epidemic or outbreak of an infectious disease;</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to our supply chain for procurement of new vessel build materials or maintenance on our existing vessels;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and operational costs due to environmental regulations;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and regulatory responses to climate change, including proposed regulations concerning emissions reporting and future emissions reduction goals;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 penalties for any projects that are completed late;</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Force majeure events, including natural disasters, war and terrorists’ actions;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amount of our estimated backlog;</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negative changes attributable to large, single customer contracts;</w:t>
      </w:r>
    </w:p>
    <w:p>
      <w:pPr>
        <w:spacing w:after="0" w:line="78" w:lineRule="exact"/>
        <w:rPr>
          <w:rFonts w:ascii="Times New Roman" w:cs="Times New Roman" w:eastAsia="Times New Roman" w:hAnsi="Times New Roman"/>
          <w:sz w:val="12"/>
          <w:szCs w:val="12"/>
          <w:color w:val="auto"/>
        </w:rPr>
      </w:pPr>
    </w:p>
    <w:p>
      <w:pPr>
        <w:ind w:left="1260" w:hanging="378"/>
        <w:spacing w:after="0"/>
        <w:tabs>
          <w:tab w:leader="none" w:pos="1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financing for the construction of new vessels, including our new offshore energy vessel;</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13" w:name="page14"/>
    <w:bookmarkEnd w:id="13"/>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secure contracts to utilize our new offshore energy vessel;</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Unforeseen delays and cost overruns related to the construction of our new vessels;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comply with the Jones Act provisions on coastwise trade, or if those provisions were modified, repealed or interpreted differently;</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comply with anti-discrimination laws, including those pertaining to diversity, equity and inclusion programs;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fuel prices, particularly given our dependence on petroleum-based products;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Impacts of nationwide inflation on procurement of new build and vessel maintenance materials;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bonding or letters of credit and risks associated with draws by the surety on outstanding bonds or calls by the beneficiary on outstanding letters of credit;</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 integration and consolidation, including transaction expenses, unexpected liabilities and operational challenges and risks;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Divestitures and discontinued operations, including retained liabilities from businesses that we sell or discontinue;</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penalties and reputational damage as a result of legal and regulatory proceedings;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liabilities imposed on us for the obligations of joint ventures and similar arrangements and subcontractors;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costs of certain material used in our operations due to newly imposed tariffs;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Unionized labor force work stoppages;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liabilities for job-related claims under federal law, which does not provide for the liability limitations typically present under state law;</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 hazards, including any liabilities or losses relating to personal or property damage resulting from our operations;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substantial amount of indebtedness, which makes us more vulnerable to adverse economic and competitive conditions;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operation of our business imposed by financing terms and covenants;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Impacts of adverse capital and credit market conditions on our ability to meet liquidity needs and access capital;</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on our hedging strategy imposed by statutory and regulatory requirements for derivative transactions;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exchange risks, in particular, related to the new offshore energy vessel build;</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Losses attributable to our investments in privately financed projects;</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foreign ownership of our common stock;</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imposed by Delaware law and our charter on takeover transactions that stockholders may consider to be favorable;</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our ability to declare dividends imposed by our financing agreements or Delaware law;</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fluctuations in the market price of our common stock, which may make it difficult for holders to resell our common stock when they want or at prices that they find attractive;</w:t>
      </w:r>
    </w:p>
    <w:p>
      <w:pPr>
        <w:spacing w:after="0" w:line="89" w:lineRule="exact"/>
        <w:rPr>
          <w:rFonts w:ascii="Times New Roman" w:cs="Times New Roman" w:eastAsia="Times New Roman" w:hAnsi="Times New Roman"/>
          <w:sz w:val="11"/>
          <w:szCs w:val="11"/>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previously recorded net revenue and profit as a result of the significant estimates made in connection with our methods of accounting for recognized revenue;</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an adequate level of insurance coverage;</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find, attract and retain key personnel and skilled labor;</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failures, data corruptions, cyber-based attacks or security breaches of the information technology systems on which we rely to conduct our business; and</w:t>
      </w:r>
    </w:p>
    <w:p>
      <w:pPr>
        <w:spacing w:after="0" w:line="78" w:lineRule="exact"/>
        <w:rPr>
          <w:rFonts w:ascii="Times New Roman" w:cs="Times New Roman" w:eastAsia="Times New Roman" w:hAnsi="Times New Roman"/>
          <w:sz w:val="12"/>
          <w:szCs w:val="12"/>
          <w:color w:val="auto"/>
        </w:rPr>
      </w:pPr>
    </w:p>
    <w:p>
      <w:pPr>
        <w:ind w:left="378" w:hanging="378"/>
        <w:spacing w:after="0"/>
        <w:tabs>
          <w:tab w:leader="none" w:pos="3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Impairments of our goodwill or other intangible assets.</w:t>
      </w:r>
    </w:p>
    <w:p>
      <w:pPr>
        <w:spacing w:after="0" w:line="150" w:lineRule="exact"/>
        <w:rPr>
          <w:sz w:val="20"/>
          <w:szCs w:val="20"/>
          <w:color w:val="auto"/>
        </w:rPr>
      </w:pPr>
    </w:p>
    <w:p>
      <w:pPr>
        <w:jc w:val="center"/>
        <w:ind w:right="-21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318135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298"/>
          </w:cols>
          <w:pgMar w:left="1182" w:top="687" w:right="1419" w:bottom="1440" w:gutter="0" w:footer="0" w:header="0"/>
        </w:sectPr>
      </w:pPr>
    </w:p>
    <w:bookmarkStart w:id="14" w:name="page15"/>
    <w:bookmarkEnd w:id="14"/>
    <w:p>
      <w:pPr>
        <w:jc w:val="center"/>
        <w:ind w:left="500"/>
        <w:spacing w:after="0"/>
        <w:rPr>
          <w:sz w:val="20"/>
          <w:szCs w:val="20"/>
          <w:color w:val="auto"/>
        </w:rPr>
      </w:pPr>
      <w:r>
        <w:rPr>
          <w:rFonts w:ascii="Times New Roman" w:cs="Times New Roman" w:eastAsia="Times New Roman" w:hAnsi="Times New Roman"/>
          <w:sz w:val="12"/>
          <w:szCs w:val="12"/>
          <w:b w:val="1"/>
          <w:bCs w:val="1"/>
          <w:color w:val="auto"/>
        </w:rPr>
        <w:t>Risks Related to our Business</w:t>
      </w:r>
    </w:p>
    <w:p>
      <w:pPr>
        <w:spacing w:after="0" w:line="15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 reduction in government funding for dredging or other contracts, or government cancellation of such contracts, or the inability of the Corps to let bids to market could materially adversely affect our business operations, revenues and profits.</w:t>
      </w:r>
    </w:p>
    <w:p>
      <w:pPr>
        <w:spacing w:after="0" w:line="35" w:lineRule="exact"/>
        <w:rPr>
          <w:sz w:val="20"/>
          <w:szCs w:val="20"/>
          <w:color w:val="auto"/>
        </w:rPr>
      </w:pPr>
    </w:p>
    <w:p>
      <w:pPr>
        <w:ind w:right="200" w:firstLine="754"/>
        <w:spacing w:after="0" w:line="279" w:lineRule="auto"/>
        <w:rPr>
          <w:sz w:val="20"/>
          <w:szCs w:val="20"/>
          <w:color w:val="auto"/>
        </w:rPr>
      </w:pPr>
      <w:r>
        <w:rPr>
          <w:rFonts w:ascii="Times New Roman" w:cs="Times New Roman" w:eastAsia="Times New Roman" w:hAnsi="Times New Roman"/>
          <w:sz w:val="12"/>
          <w:szCs w:val="12"/>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2024, 2023 and 2022 were as follows:</w:t>
      </w:r>
    </w:p>
    <w:p>
      <w:pPr>
        <w:spacing w:after="0" w:line="106"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5260" w:type="dxa"/>
            <w:vAlign w:val="bottom"/>
          </w:tcPr>
          <w:p>
            <w:pPr>
              <w:spacing w:after="0"/>
              <w:rPr>
                <w:sz w:val="7"/>
                <w:szCs w:val="7"/>
                <w:color w:val="auto"/>
              </w:rPr>
            </w:pPr>
          </w:p>
        </w:tc>
        <w:tc>
          <w:tcPr>
            <w:tcW w:w="6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38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384"/>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7"/>
                <w:szCs w:val="7"/>
                <w:color w:val="auto"/>
              </w:rPr>
            </w:pPr>
          </w:p>
        </w:tc>
      </w:tr>
      <w:tr>
        <w:trPr>
          <w:trHeight w:val="133"/>
        </w:trPr>
        <w:tc>
          <w:tcPr>
            <w:tcW w:w="52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Federal government revenue (in US $1,000)</w:t>
            </w:r>
          </w:p>
        </w:tc>
        <w:tc>
          <w:tcPr>
            <w:tcW w:w="640" w:type="dxa"/>
            <w:vAlign w:val="bottom"/>
            <w:shd w:val="clear" w:color="auto" w:fill="CFF0FC"/>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430,980</w:t>
            </w: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jc w:val="right"/>
              <w:ind w:right="126"/>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438,790</w:t>
            </w: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431,705</w:t>
            </w:r>
          </w:p>
        </w:tc>
        <w:tc>
          <w:tcPr>
            <w:tcW w:w="120" w:type="dxa"/>
            <w:vAlign w:val="bottom"/>
            <w:shd w:val="clear" w:color="auto" w:fill="CFF0FC"/>
          </w:tcPr>
          <w:p>
            <w:pPr>
              <w:spacing w:after="0"/>
              <w:rPr>
                <w:sz w:val="11"/>
                <w:szCs w:val="11"/>
                <w:color w:val="auto"/>
              </w:rPr>
            </w:pPr>
          </w:p>
        </w:tc>
      </w:tr>
      <w:tr>
        <w:trPr>
          <w:trHeight w:val="155"/>
        </w:trPr>
        <w:tc>
          <w:tcPr>
            <w:tcW w:w="5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Percent of revenue from federal government</w:t>
            </w:r>
          </w:p>
        </w:tc>
        <w:tc>
          <w:tcPr>
            <w:tcW w:w="6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57 %</w:t>
            </w:r>
          </w:p>
        </w:tc>
        <w:tc>
          <w:tcPr>
            <w:tcW w:w="36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74 %</w:t>
            </w:r>
          </w:p>
        </w:tc>
        <w:tc>
          <w:tcPr>
            <w:tcW w:w="3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67 %</w:t>
            </w:r>
          </w:p>
        </w:tc>
      </w:tr>
    </w:tbl>
    <w:p>
      <w:pPr>
        <w:spacing w:after="0" w:line="194" w:lineRule="exact"/>
        <w:rPr>
          <w:sz w:val="20"/>
          <w:szCs w:val="20"/>
          <w:color w:val="auto"/>
        </w:rPr>
      </w:pPr>
    </w:p>
    <w:p>
      <w:pPr>
        <w:ind w:firstLine="512"/>
        <w:spacing w:after="0" w:line="255" w:lineRule="auto"/>
        <w:rPr>
          <w:sz w:val="20"/>
          <w:szCs w:val="20"/>
          <w:color w:val="auto"/>
        </w:rPr>
      </w:pPr>
      <w:r>
        <w:rPr>
          <w:rFonts w:ascii="Times New Roman" w:cs="Times New Roman" w:eastAsia="Times New Roman" w:hAnsi="Times New Roman"/>
          <w:sz w:val="12"/>
          <w:szCs w:val="12"/>
          <w:color w:val="auto"/>
        </w:rPr>
        <w:t>Amounts spent by the federal government on dredging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projects for any specified period. In addition, Congress must approve budgets that govern spending by many of the federal agencies we support. When Congress is unable to agree on budget priorities, and thus is unable to pass the annual budget on a timely basis, Congress typically enacts a continuing resolution. A continuing resolution allows U.S. federal government agencies to operate at spending levels approved in the previous budget cycle. Under a continuing resolution, funding may not be available for new projects or may be delayed on current projects. Any such funding delays would likely result in new projects being delayed or canceled and could have a material adverse effect on our revenue and operating results. Furthermore, a failure to complete the budget process and fund government operations pursuant to a continuing resolution may result in a U.S. federal government shutdown. An extended shutdown may result in us incurring substantial costs without reimbursement under our contracts and the delay or cancellation of key projects, which could have a material adverse effect on our revenue and operating results.</w:t>
      </w:r>
    </w:p>
    <w:p>
      <w:pPr>
        <w:spacing w:after="0" w:line="54" w:lineRule="exact"/>
        <w:rPr>
          <w:sz w:val="20"/>
          <w:szCs w:val="20"/>
          <w:color w:val="auto"/>
        </w:rPr>
      </w:pPr>
    </w:p>
    <w:p>
      <w:pPr>
        <w:ind w:right="40" w:firstLine="512"/>
        <w:spacing w:after="0" w:line="256" w:lineRule="auto"/>
        <w:rPr>
          <w:sz w:val="20"/>
          <w:szCs w:val="20"/>
          <w:color w:val="auto"/>
        </w:rPr>
      </w:pPr>
      <w:r>
        <w:rPr>
          <w:rFonts w:ascii="Times New Roman" w:cs="Times New Roman" w:eastAsia="Times New Roman" w:hAnsi="Times New Roman"/>
          <w:sz w:val="12"/>
          <w:szCs w:val="12"/>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There is no guarantee that the current presidential administration or Congress will not divert funds away from the Corps or from our other customers relying on funding from the federal government. There is also no guarantee that additional national emergencies will not be declared in the future. A significant reduction in government funding for dredging or remediation contracts could materially adversely affect our business, operations, revenues and profits.</w:t>
      </w:r>
    </w:p>
    <w:p>
      <w:pPr>
        <w:spacing w:after="0" w:line="53" w:lineRule="exact"/>
        <w:rPr>
          <w:sz w:val="20"/>
          <w:szCs w:val="20"/>
          <w:color w:val="auto"/>
        </w:rPr>
      </w:pPr>
    </w:p>
    <w:p>
      <w:pPr>
        <w:ind w:right="60" w:firstLine="512"/>
        <w:spacing w:after="0" w:line="279" w:lineRule="auto"/>
        <w:rPr>
          <w:sz w:val="20"/>
          <w:szCs w:val="20"/>
          <w:color w:val="auto"/>
        </w:rPr>
      </w:pPr>
      <w:r>
        <w:rPr>
          <w:rFonts w:ascii="Times New Roman" w:cs="Times New Roman" w:eastAsia="Times New Roman" w:hAnsi="Times New Roman"/>
          <w:sz w:val="12"/>
          <w:szCs w:val="12"/>
          <w:color w:val="auto"/>
        </w:rPr>
        <w:t>Further, if the Corps is unable to let bids to market, it could adversely affect our business, operations, revenues and profits. In 2022, our business was adversely impacted by the inability of the Corps to let bids to market, and that inability may continue and may adversely impact our results of operations. If the Corps does not bring higher margin capital projects to market, it may adversely impact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inability to qualify as an eligible bidder for government contracts or to compete successfully with other qualified bidders for certain contracts could materially adversely affect our business operations, revenues and profits.</w:t>
      </w:r>
    </w:p>
    <w:p>
      <w:pPr>
        <w:spacing w:after="0" w:line="154" w:lineRule="exact"/>
        <w:rPr>
          <w:sz w:val="20"/>
          <w:szCs w:val="20"/>
          <w:color w:val="auto"/>
        </w:rPr>
      </w:pPr>
    </w:p>
    <w:p>
      <w:pPr>
        <w:ind w:right="80" w:firstLine="512"/>
        <w:spacing w:after="0" w:line="256" w:lineRule="auto"/>
        <w:rPr>
          <w:sz w:val="20"/>
          <w:szCs w:val="20"/>
          <w:color w:val="auto"/>
        </w:rPr>
      </w:pPr>
      <w:r>
        <w:rPr>
          <w:rFonts w:ascii="Times New Roman" w:cs="Times New Roman" w:eastAsia="Times New Roman" w:hAnsi="Times New Roman"/>
          <w:sz w:val="12"/>
          <w:szCs w:val="12"/>
          <w:color w:val="auto"/>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Further, much of our work depends on our compliance with environmental and other regulations. Any claim by the government that we have violated any laws or regulations could result in our suspension or debarment from bidding for or being awarded government contracts.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Our business and operating </w:t>
      </w:r>
      <w:r>
        <w:rPr>
          <w:rFonts w:ascii="Times New Roman" w:cs="Times New Roman" w:eastAsia="Times New Roman" w:hAnsi="Times New Roman"/>
          <w:sz w:val="12"/>
          <w:szCs w:val="12"/>
          <w:b w:val="1"/>
          <w:bCs w:val="1"/>
          <w:color w:val="auto"/>
        </w:rPr>
        <w:t>results</w:t>
      </w:r>
      <w:r>
        <w:rPr>
          <w:rFonts w:ascii="Times New Roman" w:cs="Times New Roman" w:eastAsia="Times New Roman" w:hAnsi="Times New Roman"/>
          <w:sz w:val="12"/>
          <w:szCs w:val="12"/>
          <w:b w:val="1"/>
          <w:bCs w:val="1"/>
          <w:i w:val="1"/>
          <w:iCs w:val="1"/>
          <w:color w:val="auto"/>
        </w:rPr>
        <w:t xml:space="preserve"> could be adversely affected by the political environment and governmental fiscal and monetary policies</w:t>
      </w:r>
      <w:r>
        <w:rPr>
          <w:rFonts w:ascii="Times New Roman" w:cs="Times New Roman" w:eastAsia="Times New Roman" w:hAnsi="Times New Roman"/>
          <w:sz w:val="12"/>
          <w:szCs w:val="12"/>
          <w:b w:val="1"/>
          <w:bCs w:val="1"/>
          <w:color w:val="auto"/>
        </w:rPr>
        <w:t>.</w:t>
      </w:r>
    </w:p>
    <w:p>
      <w:pPr>
        <w:spacing w:after="0" w:line="82" w:lineRule="exact"/>
        <w:rPr>
          <w:sz w:val="20"/>
          <w:szCs w:val="20"/>
          <w:color w:val="auto"/>
        </w:rPr>
      </w:pPr>
    </w:p>
    <w:p>
      <w:pPr>
        <w:ind w:right="140" w:firstLine="512"/>
        <w:spacing w:after="0" w:line="255" w:lineRule="auto"/>
        <w:rPr>
          <w:sz w:val="20"/>
          <w:szCs w:val="20"/>
          <w:color w:val="auto"/>
        </w:rPr>
      </w:pPr>
      <w:r>
        <w:rPr>
          <w:rFonts w:ascii="Times New Roman" w:cs="Times New Roman" w:eastAsia="Times New Roman" w:hAnsi="Times New Roman"/>
          <w:sz w:val="12"/>
          <w:szCs w:val="12"/>
          <w:color w:val="auto"/>
        </w:rPr>
        <w:t>An unpredictable or volatile political environment in the United States, including any social unrest and uncertainty as a result of the 2024 U.S. presidential election, could negatively impact business and market conditions, economic growth, financial stability, and business, consumer, investor and regulatory sentiments, any one or more of which in turn could cause our business and financial results to be adversely impacted. It is difficult to predict the legislative and regulatory impacts that may result from the change in presidential administration or the change in the make-up of either the Senate or House of Representatives, and such changes may cause broader economic impacts due to shifts in governing ideology and governing style, and we may be subject to new or changing laws or regulations that may be promulgated in the future. There is no certainty that any presidential administration or Senate and/or the House of Representatives will maintain the level of federal spending and support for the dredging industry and offshore energy development. For example, President Trump has recently signed an Executive Order pausing the issuance of new or renewing offshore wind leases and permits that could have resulted in additional contracted work for the Company. A significant reduction in such funding or support could materially adversely affect our business and operating results.</w:t>
      </w:r>
    </w:p>
    <w:p>
      <w:pPr>
        <w:spacing w:after="0" w:line="1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significant number of fixed-price contracts subjects us to risks associated with cost over-runs, operating cost inflation and potential claims for liquidated damages. If we are unable to accurately estimate our project costs our profitability could suffer.</w:t>
      </w:r>
    </w:p>
    <w:p>
      <w:pPr>
        <w:spacing w:after="0" w:line="107" w:lineRule="exact"/>
        <w:rPr>
          <w:sz w:val="20"/>
          <w:szCs w:val="20"/>
          <w:color w:val="auto"/>
        </w:rPr>
      </w:pPr>
    </w:p>
    <w:p>
      <w:pPr>
        <w:ind w:firstLine="512"/>
        <w:spacing w:after="0" w:line="255" w:lineRule="auto"/>
        <w:rPr>
          <w:sz w:val="20"/>
          <w:szCs w:val="20"/>
          <w:color w:val="auto"/>
        </w:rPr>
      </w:pPr>
      <w:r>
        <w:rPr>
          <w:rFonts w:ascii="Times New Roman" w:cs="Times New Roman" w:eastAsia="Times New Roman" w:hAnsi="Times New Roman"/>
          <w:sz w:val="12"/>
          <w:szCs w:val="12"/>
          <w:color w:val="auto"/>
        </w:rPr>
        <w:t>We conduct our business under various types of contracts where costs are estimated in advance of our performance. Most dredging contracts are fixed-price contracts where the customer pays a fixed price per unit (e.g., cubic yard) of material dredged. Fixed-price contracts carry inherent risks, including risks of losses from underestimating costs, weather delays, operational difficulties and other changes that can occur over the contract period.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If we were to significantly underestimate the costs on one or more significant contracts, the resulting losses could have a material adverse effect on our business, operating results, cash flows or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quarterly and annual operating results may vary significantly based on the timing of contract awards and performance.</w:t>
      </w:r>
    </w:p>
    <w:p>
      <w:pPr>
        <w:spacing w:after="0" w:line="82" w:lineRule="exact"/>
        <w:rPr>
          <w:sz w:val="20"/>
          <w:szCs w:val="20"/>
          <w:color w:val="auto"/>
        </w:rPr>
      </w:pPr>
    </w:p>
    <w:p>
      <w:pPr>
        <w:ind w:right="60" w:firstLine="512"/>
        <w:spacing w:after="0" w:line="279" w:lineRule="auto"/>
        <w:rPr>
          <w:sz w:val="20"/>
          <w:szCs w:val="20"/>
          <w:color w:val="auto"/>
        </w:rPr>
      </w:pPr>
      <w:r>
        <w:rPr>
          <w:rFonts w:ascii="Times New Roman" w:cs="Times New Roman" w:eastAsia="Times New Roman" w:hAnsi="Times New Roman"/>
          <w:sz w:val="12"/>
          <w:szCs w:val="12"/>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39" w:lineRule="exact"/>
        <w:rPr>
          <w:sz w:val="20"/>
          <w:szCs w:val="20"/>
          <w:color w:val="auto"/>
        </w:rPr>
      </w:pPr>
    </w:p>
    <w:p>
      <w:pPr>
        <w:ind w:left="1020" w:hanging="516"/>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contract awards and the commencement or progress of work under awarded contracts;</w:t>
      </w:r>
    </w:p>
    <w:p>
      <w:pPr>
        <w:spacing w:after="0" w:line="78" w:lineRule="exact"/>
        <w:rPr>
          <w:rFonts w:ascii="Times New Roman" w:cs="Times New Roman" w:eastAsia="Times New Roman" w:hAnsi="Times New Roman"/>
          <w:sz w:val="12"/>
          <w:szCs w:val="12"/>
          <w:color w:val="auto"/>
        </w:rPr>
      </w:pPr>
    </w:p>
    <w:p>
      <w:pPr>
        <w:ind w:left="1020" w:right="400" w:hanging="516"/>
        <w:spacing w:after="0" w:line="279" w:lineRule="auto"/>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inclement or hazardous weather conditions, including non-historical weather patterns, particularly in the Northeastern United States, that may result in underestimated delays in dredging, disruption or early termination of projects, unanticipated recovery costs or liability exposure and additional contract expenses;</w:t>
      </w:r>
    </w:p>
    <w:p>
      <w:pPr>
        <w:spacing w:after="0" w:line="39"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site conditions that differ from those presented by our customers, which results in delays or slower than anticipated progress on projects;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planned and unplanned equipment downtime, or equipment mobilization to and from projects, including those due to the impacts of unplanned national health emergencies;</w:t>
      </w:r>
    </w:p>
    <w:p>
      <w:pPr>
        <w:spacing w:after="0" w:line="78" w:lineRule="exact"/>
        <w:rPr>
          <w:rFonts w:ascii="Times New Roman" w:cs="Times New Roman" w:eastAsia="Times New Roman" w:hAnsi="Times New Roman"/>
          <w:sz w:val="12"/>
          <w:szCs w:val="12"/>
          <w:color w:val="auto"/>
        </w:rPr>
      </w:pPr>
    </w:p>
    <w:p>
      <w:pPr>
        <w:ind w:left="1020" w:right="280" w:hanging="516"/>
        <w:spacing w:after="0" w:line="279" w:lineRule="auto"/>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recognize revenue from pending change orders, which is recognized only when the parties to a contract approve a modification that either creates new, or changes existing, enforceable rights and obligations of the parties to the contract; and</w:t>
      </w:r>
    </w:p>
    <w:p>
      <w:pPr>
        <w:spacing w:after="0" w:line="39"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environmental restrictions requiring that certain projects be performed in winter months to protect wildlife habitats.</w:t>
      </w:r>
    </w:p>
    <w:p>
      <w:pPr>
        <w:spacing w:after="0" w:line="150" w:lineRule="exact"/>
        <w:rPr>
          <w:sz w:val="20"/>
          <w:szCs w:val="20"/>
          <w:color w:val="auto"/>
        </w:rPr>
      </w:pPr>
    </w:p>
    <w:p>
      <w:pPr>
        <w:ind w:right="20" w:firstLine="512"/>
        <w:spacing w:after="0" w:line="279" w:lineRule="auto"/>
        <w:rPr>
          <w:sz w:val="20"/>
          <w:szCs w:val="20"/>
          <w:color w:val="auto"/>
        </w:rPr>
      </w:pPr>
      <w:r>
        <w:rPr>
          <w:rFonts w:ascii="Times New Roman" w:cs="Times New Roman" w:eastAsia="Times New Roman" w:hAnsi="Times New Roman"/>
          <w:sz w:val="12"/>
          <w:szCs w:val="12"/>
          <w:color w:val="auto"/>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comply with government contracting regulations, we could be subject to significant potential liabilities and loss of revenue.</w:t>
      </w:r>
    </w:p>
    <w:p>
      <w:pPr>
        <w:spacing w:after="0" w:line="82" w:lineRule="exact"/>
        <w:rPr>
          <w:sz w:val="20"/>
          <w:szCs w:val="20"/>
          <w:color w:val="auto"/>
        </w:rPr>
      </w:pPr>
    </w:p>
    <w:p>
      <w:pPr>
        <w:ind w:right="160" w:firstLine="512"/>
        <w:spacing w:after="0" w:line="260" w:lineRule="auto"/>
        <w:rPr>
          <w:sz w:val="20"/>
          <w:szCs w:val="20"/>
          <w:color w:val="auto"/>
        </w:rPr>
      </w:pPr>
      <w:r>
        <w:rPr>
          <w:rFonts w:ascii="Times New Roman" w:cs="Times New Roman" w:eastAsia="Times New Roman" w:hAnsi="Times New Roman"/>
          <w:sz w:val="12"/>
          <w:szCs w:val="12"/>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20" w:lineRule="exact"/>
        <w:rPr>
          <w:sz w:val="20"/>
          <w:szCs w:val="20"/>
          <w:color w:val="auto"/>
        </w:rPr>
      </w:pPr>
    </w:p>
    <w:p>
      <w:pPr>
        <w:jc w:val="both"/>
        <w:ind w:right="140" w:firstLine="512"/>
        <w:spacing w:after="0" w:line="266" w:lineRule="auto"/>
        <w:rPr>
          <w:sz w:val="20"/>
          <w:szCs w:val="20"/>
          <w:color w:val="auto"/>
        </w:rPr>
      </w:pPr>
      <w:r>
        <w:rPr>
          <w:rFonts w:ascii="Times New Roman" w:cs="Times New Roman" w:eastAsia="Times New Roman" w:hAnsi="Times New Roman"/>
          <w:sz w:val="12"/>
          <w:szCs w:val="12"/>
          <w:color w:val="auto"/>
        </w:rPr>
        <w:t xml:space="preserve">In addition, we may be subject to litigation brought by private individuals on behalf of the government relating to our government contracts, referred to in this annual report as </w:t>
      </w:r>
      <w:r>
        <w:rPr>
          <w:rFonts w:ascii="Times New Roman" w:cs="Times New Roman" w:eastAsia="Times New Roman" w:hAnsi="Times New Roman"/>
          <w:sz w:val="12"/>
          <w:szCs w:val="12"/>
          <w:i w:val="1"/>
          <w:iCs w:val="1"/>
          <w:color w:val="auto"/>
        </w:rPr>
        <w:t>“qui tam”</w:t>
      </w:r>
      <w:r>
        <w:rPr>
          <w:rFonts w:ascii="Times New Roman" w:cs="Times New Roman" w:eastAsia="Times New Roman" w:hAnsi="Times New Roman"/>
          <w:sz w:val="12"/>
          <w:szCs w:val="12"/>
          <w:color w:val="auto"/>
        </w:rPr>
        <w:t xml:space="preserve"> actions, which could include claims for up to treble damages. </w:t>
      </w:r>
      <w:r>
        <w:rPr>
          <w:rFonts w:ascii="Times New Roman" w:cs="Times New Roman" w:eastAsia="Times New Roman" w:hAnsi="Times New Roman"/>
          <w:sz w:val="12"/>
          <w:szCs w:val="12"/>
          <w:i w:val="1"/>
          <w:iCs w:val="1"/>
          <w:color w:val="auto"/>
        </w:rPr>
        <w:t>Qui tam</w:t>
      </w:r>
      <w:r>
        <w:rPr>
          <w:rFonts w:ascii="Times New Roman" w:cs="Times New Roman" w:eastAsia="Times New Roman" w:hAnsi="Times New Roman"/>
          <w:sz w:val="12"/>
          <w:szCs w:val="12"/>
          <w:color w:val="auto"/>
        </w:rPr>
        <w:t xml:space="preserve"> actions are sealed by the court at the time of filing. The only parties privy to the information in the complaint are the complainant, the U.S. government and the court. Therefore, it is possible that </w:t>
      </w:r>
      <w:r>
        <w:rPr>
          <w:rFonts w:ascii="Times New Roman" w:cs="Times New Roman" w:eastAsia="Times New Roman" w:hAnsi="Times New Roman"/>
          <w:sz w:val="12"/>
          <w:szCs w:val="12"/>
          <w:i w:val="1"/>
          <w:iCs w:val="1"/>
          <w:color w:val="auto"/>
        </w:rPr>
        <w:t>qui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tam </w:t>
      </w:r>
      <w:r>
        <w:rPr>
          <w:rFonts w:ascii="Times New Roman" w:cs="Times New Roman" w:eastAsia="Times New Roman" w:hAnsi="Times New Roman"/>
          <w:sz w:val="12"/>
          <w:szCs w:val="12"/>
          <w:color w:val="auto"/>
        </w:rPr>
        <w:t>actions have been filed against us and it is possible that we are subject to liability exposure arising out of</w:t>
      </w:r>
      <w:r>
        <w:rPr>
          <w:rFonts w:ascii="Times New Roman" w:cs="Times New Roman" w:eastAsia="Times New Roman" w:hAnsi="Times New Roman"/>
          <w:sz w:val="12"/>
          <w:szCs w:val="12"/>
          <w:i w:val="1"/>
          <w:iCs w:val="1"/>
          <w:color w:val="auto"/>
        </w:rPr>
        <w:t xml:space="preserve"> qui tam </w:t>
      </w:r>
      <w:r>
        <w:rPr>
          <w:rFonts w:ascii="Times New Roman" w:cs="Times New Roman" w:eastAsia="Times New Roman" w:hAnsi="Times New Roman"/>
          <w:sz w:val="12"/>
          <w:szCs w:val="12"/>
          <w:color w:val="auto"/>
        </w:rPr>
        <w:t>actions.</w:t>
      </w:r>
    </w:p>
    <w:p>
      <w:pPr>
        <w:spacing w:after="0" w:line="1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Project delays related to the increasingly negative impacts of climate change or other unusual, non-historical weather patterns have and may continue to impact our ability to perform projects on time and on budget and therefore could materially adversely affect our business operations, revenues and profits.</w:t>
      </w:r>
    </w:p>
    <w:p>
      <w:pPr>
        <w:spacing w:after="0" w:line="35" w:lineRule="exact"/>
        <w:rPr>
          <w:sz w:val="20"/>
          <w:szCs w:val="20"/>
          <w:color w:val="auto"/>
        </w:rPr>
      </w:pPr>
    </w:p>
    <w:p>
      <w:pPr>
        <w:ind w:right="80" w:firstLine="512"/>
        <w:spacing w:after="0" w:line="257" w:lineRule="auto"/>
        <w:rPr>
          <w:sz w:val="20"/>
          <w:szCs w:val="20"/>
          <w:color w:val="auto"/>
        </w:rPr>
      </w:pPr>
      <w:r>
        <w:rPr>
          <w:rFonts w:ascii="Times New Roman" w:cs="Times New Roman" w:eastAsia="Times New Roman" w:hAnsi="Times New Roman"/>
          <w:sz w:val="12"/>
          <w:szCs w:val="12"/>
          <w:color w:val="auto"/>
        </w:rPr>
        <w:t>The timely and efficient performance of our projects are dependent on weather conditions. Severe storms or other weather-related problems may deviate from expected historical weather patterns as a result of climate change or other factors, and can, and have, caused substantial delays on our projects. Delays, such as those we experienced in 2022, may affect our ability to perform on our projects or increase the cost of our performing certain projects, and may result in our inability to perform certain projects on time and on budget. We attempt to plan for all scenarios and assign risk when bidding on projects. For example, we have updated our modeling for current and future weather patterns to better estimate those costs. We expect that the severity of unusual storms and weather patterns will continue to fluctuate and may continue to adversely impact our ability to complete projects on time and on budget and therefore could materially adversely affect our business operations, revenues and profits.</w:t>
      </w:r>
    </w:p>
    <w:p>
      <w:pPr>
        <w:spacing w:after="0" w:line="1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Costs necessary to operate and maintain our vessels tend to increase with the age of the vessel, and costs of such maintenance, as well as costs associated with new build programs, may also increase due to changes in applicable regulations or standards, which could decrease our profits.</w:t>
      </w:r>
    </w:p>
    <w:p>
      <w:pPr>
        <w:spacing w:after="0" w:line="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Capital expenditures and other costs necessary to operate and maintain our vessels tend to increase with the age of the vessel. Accordingly, it is likely that the operating costs of our vessels will increase.</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average age of our more significant vessels as of December 31, 2024, by equipment type, is as follows:</w:t>
      </w:r>
    </w:p>
    <w:p>
      <w:pPr>
        <w:spacing w:after="0" w:line="144"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Type of Equipment</w:t>
            </w:r>
          </w:p>
        </w:tc>
        <w:tc>
          <w:tcPr>
            <w:tcW w:w="100" w:type="dxa"/>
            <w:vAlign w:val="bottom"/>
          </w:tcPr>
          <w:p>
            <w:pPr>
              <w:spacing w:after="0"/>
              <w:rPr>
                <w:sz w:val="10"/>
                <w:szCs w:val="10"/>
                <w:color w:val="auto"/>
              </w:rPr>
            </w:pPr>
          </w:p>
        </w:tc>
        <w:tc>
          <w:tcPr>
            <w:tcW w:w="11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Quantity</w:t>
            </w:r>
          </w:p>
        </w:tc>
        <w:tc>
          <w:tcPr>
            <w:tcW w:w="160" w:type="dxa"/>
            <w:vAlign w:val="bottom"/>
          </w:tcPr>
          <w:p>
            <w:pPr>
              <w:spacing w:after="0"/>
              <w:rPr>
                <w:sz w:val="10"/>
                <w:szCs w:val="10"/>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Average Age in Years</w:t>
            </w:r>
          </w:p>
        </w:tc>
        <w:tc>
          <w:tcPr>
            <w:tcW w:w="60" w:type="dxa"/>
            <w:vAlign w:val="bottom"/>
          </w:tcPr>
          <w:p>
            <w:pPr>
              <w:spacing w:after="0"/>
              <w:rPr>
                <w:sz w:val="10"/>
                <w:szCs w:val="10"/>
                <w:color w:val="auto"/>
              </w:rPr>
            </w:pPr>
          </w:p>
        </w:tc>
      </w:tr>
      <w:tr>
        <w:trPr>
          <w:trHeight w:val="133"/>
        </w:trPr>
        <w:tc>
          <w:tcPr>
            <w:tcW w:w="53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Hydraulic Dredges</w:t>
            </w:r>
          </w:p>
        </w:tc>
        <w:tc>
          <w:tcPr>
            <w:tcW w:w="124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13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47</w:t>
            </w:r>
          </w:p>
        </w:tc>
        <w:tc>
          <w:tcPr>
            <w:tcW w:w="60" w:type="dxa"/>
            <w:vAlign w:val="bottom"/>
            <w:shd w:val="clear" w:color="auto" w:fill="CFF0FC"/>
          </w:tcPr>
          <w:p>
            <w:pPr>
              <w:spacing w:after="0"/>
              <w:rPr>
                <w:sz w:val="11"/>
                <w:szCs w:val="11"/>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Hopper Dredges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2"/>
                <w:szCs w:val="12"/>
                <w:color w:val="auto"/>
              </w:rPr>
            </w:pPr>
          </w:p>
        </w:tc>
      </w:tr>
      <w:tr>
        <w:trPr>
          <w:trHeight w:val="144"/>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Mechanical Dredges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60" w:type="dxa"/>
            <w:vAlign w:val="bottom"/>
            <w:shd w:val="clear" w:color="auto" w:fill="CFF0FC"/>
          </w:tcPr>
          <w:p>
            <w:pPr>
              <w:spacing w:after="0"/>
              <w:rPr>
                <w:sz w:val="12"/>
                <w:szCs w:val="12"/>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Unloaders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tcPr>
          <w:p>
            <w:pPr>
              <w:spacing w:after="0"/>
              <w:rPr>
                <w:sz w:val="12"/>
                <w:szCs w:val="12"/>
                <w:color w:val="auto"/>
              </w:rPr>
            </w:pPr>
          </w:p>
        </w:tc>
      </w:tr>
      <w:tr>
        <w:trPr>
          <w:trHeight w:val="144"/>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Drillboats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FF0FC"/>
          </w:tcPr>
          <w:p>
            <w:pPr>
              <w:spacing w:after="0"/>
              <w:rPr>
                <w:sz w:val="12"/>
                <w:szCs w:val="12"/>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Material and Other Barges</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6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2"/>
                <w:szCs w:val="12"/>
                <w:color w:val="auto"/>
              </w:rPr>
            </w:pPr>
          </w:p>
        </w:tc>
      </w:tr>
      <w:tr>
        <w:trPr>
          <w:trHeight w:val="133"/>
        </w:trPr>
        <w:tc>
          <w:tcPr>
            <w:tcW w:w="5300" w:type="dxa"/>
            <w:vAlign w:val="bottom"/>
            <w:tcBorders>
              <w:bottom w:val="single" w:sz="8" w:color="CFF0FC"/>
            </w:tcBorders>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0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109</w:t>
            </w:r>
          </w:p>
        </w:tc>
        <w:tc>
          <w:tcPr>
            <w:tcW w:w="16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28</w:t>
            </w:r>
          </w:p>
        </w:tc>
        <w:tc>
          <w:tcPr>
            <w:tcW w:w="60" w:type="dxa"/>
            <w:vAlign w:val="bottom"/>
            <w:tcBorders>
              <w:bottom w:val="single" w:sz="8" w:color="CFF0FC"/>
            </w:tcBorders>
            <w:shd w:val="clear" w:color="auto" w:fill="CFF0F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5229860</wp:posOffset>
            </wp:positionH>
            <wp:positionV relativeFrom="paragraph">
              <wp:posOffset>-5080</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-5080</wp:posOffset>
            </wp:positionV>
            <wp:extent cx="457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185" w:lineRule="exact"/>
        <w:rPr>
          <w:sz w:val="20"/>
          <w:szCs w:val="20"/>
          <w:color w:val="auto"/>
        </w:rPr>
      </w:pPr>
    </w:p>
    <w:p>
      <w:pPr>
        <w:ind w:right="20" w:firstLine="512"/>
        <w:spacing w:after="0" w:line="265" w:lineRule="auto"/>
        <w:rPr>
          <w:sz w:val="20"/>
          <w:szCs w:val="20"/>
          <w:color w:val="auto"/>
        </w:rPr>
      </w:pPr>
      <w:r>
        <w:rPr>
          <w:rFonts w:ascii="Times New Roman" w:cs="Times New Roman" w:eastAsia="Times New Roman" w:hAnsi="Times New Roman"/>
          <w:sz w:val="12"/>
          <w:szCs w:val="12"/>
          <w:color w:val="auto"/>
        </w:rPr>
        <w:t>Remaining economic life has not been presented, because it is not reasonably quantifiable. That is because, to the extent that market conditions warrant the expenditures, we can prolong the vessels’ lives. In our domestic market, we operate in an industry where a significant portion of our competitors’ equipment is of a similar age. It is common in the dredging industry to make maintenance and capital expenditures in order to extend the economic life of equipment.</w:t>
      </w:r>
    </w:p>
    <w:p>
      <w:pPr>
        <w:spacing w:after="0" w:line="119"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significant additional expenditures. For example, if the U.S. Coast Guard enacts new standards, we may be required to incur expenditures for alterations or the addition of new equipment (e.g., more fuel-efficient engines). In order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auto"/>
        </w:rPr>
        <w:t>to satisfy any such requirements, we may need to take our vessels out of service for extended periods of time, with corresponding losses of revenues.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Equipment or mechanical failures could result in increased costs, project delays and reduced revenues.</w:t>
      </w:r>
    </w:p>
    <w:p>
      <w:pPr>
        <w:spacing w:after="0" w:line="154"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The successful performance of contracts requires a high degree of reliability of our vessels, barges and other equipment. The average age of our marine fleet as of December 31, 2024 was 28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 resulting in loss of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pandemic, epidemic or outbreak of an infectious disease affecting our markets or impacting our facilities or suppliers could adversely impact our business.</w:t>
      </w:r>
    </w:p>
    <w:p>
      <w:pPr>
        <w:spacing w:after="0" w:line="154" w:lineRule="exact"/>
        <w:rPr>
          <w:sz w:val="20"/>
          <w:szCs w:val="20"/>
          <w:color w:val="auto"/>
        </w:rPr>
      </w:pPr>
    </w:p>
    <w:p>
      <w:pPr>
        <w:ind w:firstLine="512"/>
        <w:spacing w:after="0" w:line="256" w:lineRule="auto"/>
        <w:rPr>
          <w:sz w:val="20"/>
          <w:szCs w:val="20"/>
          <w:color w:val="auto"/>
        </w:rPr>
      </w:pPr>
      <w:r>
        <w:rPr>
          <w:rFonts w:ascii="Times New Roman" w:cs="Times New Roman" w:eastAsia="Times New Roman" w:hAnsi="Times New Roman"/>
          <w:sz w:val="12"/>
          <w:szCs w:val="12"/>
          <w:color w:val="auto"/>
        </w:rPr>
        <w:t>If another pandemic, epidemic or outbreak of an infectious disease or other public health crisis were to affect our markets or facilities or those of our suppliers, our business could be adversely affected. Another pandemic could cause disruptions in and restrictions on our ability to travel, and in the future these disruptions and restrictions could restrict our ability to perform work for future projects in different locations. If an infectious disease were to have a widespread outbreak at one or more of our vessels or facilities, our operations may be affected significantly, our productivity may be affected, key personnel necessary to conduct our operations or replacement crew may be unavailable,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and our ability to perform our projects on time may be adversely affected.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125" w:lineRule="exact"/>
        <w:rPr>
          <w:sz w:val="20"/>
          <w:szCs w:val="20"/>
          <w:color w:val="auto"/>
        </w:rPr>
      </w:pPr>
    </w:p>
    <w:p>
      <w:pPr>
        <w:jc w:val="both"/>
        <w:ind w:right="140" w:firstLine="512"/>
        <w:spacing w:after="0" w:line="265" w:lineRule="auto"/>
        <w:rPr>
          <w:sz w:val="20"/>
          <w:szCs w:val="20"/>
          <w:color w:val="auto"/>
        </w:rPr>
      </w:pPr>
      <w:r>
        <w:rPr>
          <w:rFonts w:ascii="Times New Roman" w:cs="Times New Roman" w:eastAsia="Times New Roman" w:hAnsi="Times New Roman"/>
          <w:sz w:val="12"/>
          <w:szCs w:val="12"/>
          <w:color w:val="auto"/>
        </w:rPr>
        <w:t>Our clients, which are the Corps, private clients and other federal, state or local agencies, may be impacted by a pandemic, and if prolonged, these impacts may lead to cancelations or delays in projects. Funds for dredging projects may also be diverted for public health, economic or other priorities. Overall, the potential impact of a pandemic, epidemic or outbreak of an infectious disease with respect to our markets or our facilities is difficult to predict and could adversely impact our business.</w:t>
      </w:r>
    </w:p>
    <w:p>
      <w:pPr>
        <w:spacing w:after="0" w:line="1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Disruptions to our supply chain affecting our markets or impacting our facilities or suppliers could prohibit procurement of materials necessary for maintenance of our existing vessels and new vessel build materials and adversely impact our business.</w:t>
      </w:r>
    </w:p>
    <w:p>
      <w:pPr>
        <w:spacing w:after="0" w:line="107" w:lineRule="exact"/>
        <w:rPr>
          <w:sz w:val="20"/>
          <w:szCs w:val="20"/>
          <w:color w:val="auto"/>
        </w:rPr>
      </w:pPr>
    </w:p>
    <w:p>
      <w:pPr>
        <w:ind w:right="300" w:firstLine="512"/>
        <w:spacing w:after="0" w:line="260" w:lineRule="auto"/>
        <w:rPr>
          <w:sz w:val="20"/>
          <w:szCs w:val="20"/>
          <w:color w:val="auto"/>
        </w:rPr>
      </w:pPr>
      <w:r>
        <w:rPr>
          <w:rFonts w:ascii="Times New Roman" w:cs="Times New Roman" w:eastAsia="Times New Roman" w:hAnsi="Times New Roman"/>
          <w:sz w:val="12"/>
          <w:szCs w:val="12"/>
          <w:color w:val="auto"/>
        </w:rPr>
        <w:t>Supply chain issues could cause disruptions that restrict our ability to perform work for future projects. Our ability to complete projects in accordance with our contractual obligations may be affected, and we may incur increased labor and materials costs. If the shipyards with which we contract are affected, regulatory drydocking and repairs and general maintenance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Environmental regulations could force us to incur capital and operational costs.</w:t>
      </w:r>
    </w:p>
    <w:p>
      <w:pPr>
        <w:spacing w:after="0" w:line="154" w:lineRule="exact"/>
        <w:rPr>
          <w:sz w:val="20"/>
          <w:szCs w:val="20"/>
          <w:color w:val="auto"/>
        </w:rPr>
      </w:pPr>
    </w:p>
    <w:p>
      <w:pPr>
        <w:ind w:right="240" w:firstLine="512"/>
        <w:spacing w:after="0" w:line="257" w:lineRule="auto"/>
        <w:rPr>
          <w:sz w:val="20"/>
          <w:szCs w:val="20"/>
          <w:color w:val="auto"/>
        </w:rPr>
      </w:pPr>
      <w:r>
        <w:rPr>
          <w:rFonts w:ascii="Times New Roman" w:cs="Times New Roman" w:eastAsia="Times New Roman" w:hAnsi="Times New Roman"/>
          <w:sz w:val="12"/>
          <w:szCs w:val="12"/>
          <w:color w:val="auto"/>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 and suspension or debarment from future government contracting.</w:t>
      </w:r>
    </w:p>
    <w:p>
      <w:pPr>
        <w:spacing w:after="0" w:line="125" w:lineRule="exact"/>
        <w:rPr>
          <w:sz w:val="20"/>
          <w:szCs w:val="20"/>
          <w:color w:val="auto"/>
        </w:rPr>
      </w:pPr>
    </w:p>
    <w:p>
      <w:pPr>
        <w:ind w:right="220" w:firstLine="512"/>
        <w:spacing w:after="0" w:line="265" w:lineRule="auto"/>
        <w:rPr>
          <w:sz w:val="20"/>
          <w:szCs w:val="20"/>
          <w:color w:val="auto"/>
        </w:rPr>
      </w:pPr>
      <w:r>
        <w:rPr>
          <w:rFonts w:ascii="Times New Roman" w:cs="Times New Roman" w:eastAsia="Times New Roman" w:hAnsi="Times New Roman"/>
          <w:sz w:val="12"/>
          <w:szCs w:val="12"/>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18" w:name="page19"/>
    <w:bookmarkEnd w:id="18"/>
    <w:p>
      <w:pPr>
        <w:ind w:right="320"/>
        <w:spacing w:after="0" w:line="279" w:lineRule="auto"/>
        <w:rPr>
          <w:sz w:val="20"/>
          <w:szCs w:val="20"/>
          <w:color w:val="auto"/>
        </w:rPr>
      </w:pPr>
      <w:r>
        <w:rPr>
          <w:rFonts w:ascii="Times New Roman" w:cs="Times New Roman" w:eastAsia="Times New Roman" w:hAnsi="Times New Roman"/>
          <w:sz w:val="12"/>
          <w:szCs w:val="12"/>
          <w:color w:val="auto"/>
        </w:rPr>
        <w:t>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11" w:lineRule="exact"/>
        <w:rPr>
          <w:sz w:val="20"/>
          <w:szCs w:val="20"/>
          <w:color w:val="auto"/>
        </w:rPr>
      </w:pPr>
    </w:p>
    <w:p>
      <w:pPr>
        <w:ind w:right="120" w:firstLine="512"/>
        <w:spacing w:after="0" w:line="256" w:lineRule="auto"/>
        <w:rPr>
          <w:sz w:val="20"/>
          <w:szCs w:val="20"/>
          <w:color w:val="auto"/>
        </w:rPr>
      </w:pPr>
      <w:r>
        <w:rPr>
          <w:rFonts w:ascii="Times New Roman" w:cs="Times New Roman" w:eastAsia="Times New Roman" w:hAnsi="Times New Roman"/>
          <w:sz w:val="12"/>
          <w:szCs w:val="12"/>
          <w:color w:val="auto"/>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25" w:lineRule="exact"/>
        <w:rPr>
          <w:sz w:val="20"/>
          <w:szCs w:val="20"/>
          <w:color w:val="auto"/>
        </w:rPr>
      </w:pPr>
    </w:p>
    <w:p>
      <w:pPr>
        <w:ind w:right="220" w:firstLine="512"/>
        <w:spacing w:after="0" w:line="279" w:lineRule="auto"/>
        <w:rPr>
          <w:sz w:val="20"/>
          <w:szCs w:val="20"/>
          <w:color w:val="auto"/>
        </w:rPr>
      </w:pPr>
      <w:r>
        <w:rPr>
          <w:rFonts w:ascii="Times New Roman" w:cs="Times New Roman" w:eastAsia="Times New Roman" w:hAnsi="Times New Roman"/>
          <w:sz w:val="12"/>
          <w:szCs w:val="12"/>
          <w:color w:val="auto"/>
        </w:rPr>
        <w:t>Environmental requirements have generally become more stringent over time, for example in the areas of air emissions controls for vessels and ballast treatment and handling. New laws or stricter enforcement of existing laws or the discovery of currently unknown conditions or accidental discharges of regulated materials in the future could cause us to incur additional costs for environmental matters which might be significant.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affected by market or regulatory responses to climate change.</w:t>
      </w:r>
    </w:p>
    <w:p>
      <w:pPr>
        <w:spacing w:after="0" w:line="154" w:lineRule="exact"/>
        <w:rPr>
          <w:sz w:val="20"/>
          <w:szCs w:val="20"/>
          <w:color w:val="auto"/>
        </w:rPr>
      </w:pPr>
    </w:p>
    <w:p>
      <w:pPr>
        <w:jc w:val="both"/>
        <w:ind w:right="140" w:firstLine="512"/>
        <w:spacing w:after="0" w:line="260" w:lineRule="auto"/>
        <w:rPr>
          <w:sz w:val="20"/>
          <w:szCs w:val="20"/>
          <w:color w:val="auto"/>
        </w:rPr>
      </w:pPr>
      <w:r>
        <w:rPr>
          <w:rFonts w:ascii="Times New Roman" w:cs="Times New Roman" w:eastAsia="Times New Roman" w:hAnsi="Times New Roman"/>
          <w:sz w:val="12"/>
          <w:szCs w:val="12"/>
          <w:color w:val="auto"/>
        </w:rPr>
        <w:t>Increased concern about the potential impact of greenhouse gases (“GHG”), such as carbon dioxide resulting from combustion of fossil fuels, on climate change has resulted in efforts to regulate their emission.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122" w:lineRule="exact"/>
        <w:rPr>
          <w:sz w:val="20"/>
          <w:szCs w:val="20"/>
          <w:color w:val="auto"/>
        </w:rPr>
      </w:pPr>
    </w:p>
    <w:p>
      <w:pPr>
        <w:ind w:firstLine="512"/>
        <w:spacing w:after="0" w:line="279" w:lineRule="auto"/>
        <w:rPr>
          <w:sz w:val="20"/>
          <w:szCs w:val="20"/>
          <w:color w:val="auto"/>
        </w:rPr>
      </w:pPr>
      <w:r>
        <w:rPr>
          <w:rFonts w:ascii="Times New Roman" w:cs="Times New Roman" w:eastAsia="Times New Roman" w:hAnsi="Times New Roman"/>
          <w:sz w:val="12"/>
          <w:szCs w:val="12"/>
          <w:color w:val="auto"/>
        </w:rPr>
        <w:t>Many jurisdictions, including the European Union and California, have regulations which would require us to report emissions data from our operations. If we were to perform projects in jurisdictions with emissions reporting requirements, it may require a substantial outlay of capital by the Company, as well as management time and attention to ensure the Company's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Penalties for late completion of contracts could reduce our profits.</w:t>
      </w:r>
    </w:p>
    <w:p>
      <w:pPr>
        <w:spacing w:after="0" w:line="154" w:lineRule="exact"/>
        <w:rPr>
          <w:sz w:val="20"/>
          <w:szCs w:val="20"/>
          <w:color w:val="auto"/>
        </w:rPr>
      </w:pPr>
    </w:p>
    <w:p>
      <w:pPr>
        <w:ind w:right="60" w:firstLine="512"/>
        <w:spacing w:after="0" w:line="265" w:lineRule="auto"/>
        <w:rPr>
          <w:sz w:val="20"/>
          <w:szCs w:val="20"/>
          <w:color w:val="auto"/>
        </w:rPr>
      </w:pPr>
      <w:r>
        <w:rPr>
          <w:rFonts w:ascii="Times New Roman" w:cs="Times New Roman" w:eastAsia="Times New Roman" w:hAnsi="Times New Roman"/>
          <w:sz w:val="12"/>
          <w:szCs w:val="12"/>
          <w:color w:val="auto"/>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Force majeure events could negatively impact our business, operations, revenues, cash flows and profits.</w:t>
      </w:r>
    </w:p>
    <w:p>
      <w:pPr>
        <w:spacing w:after="0" w:line="154" w:lineRule="exact"/>
        <w:rPr>
          <w:sz w:val="20"/>
          <w:szCs w:val="20"/>
          <w:color w:val="auto"/>
        </w:rPr>
      </w:pPr>
    </w:p>
    <w:p>
      <w:pPr>
        <w:ind w:right="280" w:firstLine="512"/>
        <w:spacing w:after="0" w:line="265" w:lineRule="auto"/>
        <w:rPr>
          <w:sz w:val="20"/>
          <w:szCs w:val="20"/>
          <w:color w:val="auto"/>
        </w:rPr>
      </w:pPr>
      <w:r>
        <w:rPr>
          <w:rFonts w:ascii="Times New Roman" w:cs="Times New Roman" w:eastAsia="Times New Roman" w:hAnsi="Times New Roman"/>
          <w:sz w:val="12"/>
          <w:szCs w:val="12"/>
          <w:color w:val="auto"/>
        </w:rPr>
        <w:t>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w:t>
      </w:r>
    </w:p>
    <w:p>
      <w:pPr>
        <w:spacing w:after="0" w:line="119" w:lineRule="exact"/>
        <w:rPr>
          <w:sz w:val="20"/>
          <w:szCs w:val="20"/>
          <w:color w:val="auto"/>
        </w:rPr>
      </w:pPr>
    </w:p>
    <w:p>
      <w:pPr>
        <w:ind w:right="120" w:firstLine="512"/>
        <w:spacing w:after="0" w:line="257" w:lineRule="auto"/>
        <w:rPr>
          <w:sz w:val="20"/>
          <w:szCs w:val="20"/>
          <w:color w:val="auto"/>
        </w:rPr>
      </w:pPr>
      <w:r>
        <w:rPr>
          <w:rFonts w:ascii="Times New Roman" w:cs="Times New Roman" w:eastAsia="Times New Roman" w:hAnsi="Times New Roman"/>
          <w:sz w:val="12"/>
          <w:szCs w:val="12"/>
          <w:color w:val="auto"/>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i w:val="1"/>
          <w:iCs w:val="1"/>
          <w:color w:val="auto"/>
        </w:rPr>
        <w:t>The amount of our estimated backlog may change and may not be indicative of future revenues.</w:t>
      </w:r>
    </w:p>
    <w:p>
      <w:pPr>
        <w:spacing w:after="0" w:line="154" w:lineRule="exact"/>
        <w:rPr>
          <w:sz w:val="20"/>
          <w:szCs w:val="20"/>
          <w:color w:val="auto"/>
        </w:rPr>
      </w:pPr>
    </w:p>
    <w:p>
      <w:pPr>
        <w:ind w:right="40" w:firstLine="512"/>
        <w:spacing w:after="0" w:line="260" w:lineRule="auto"/>
        <w:rPr>
          <w:sz w:val="20"/>
          <w:szCs w:val="20"/>
          <w:color w:val="auto"/>
        </w:rPr>
      </w:pPr>
      <w:r>
        <w:rPr>
          <w:rFonts w:ascii="Times New Roman" w:cs="Times New Roman" w:eastAsia="Times New Roman" w:hAnsi="Times New Roman"/>
          <w:sz w:val="12"/>
          <w:szCs w:val="12"/>
          <w:color w:val="auto"/>
        </w:rPr>
        <w:t>Our contract backlog represents our estimate of the revenues that we will realize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22" w:lineRule="exact"/>
        <w:rPr>
          <w:sz w:val="20"/>
          <w:szCs w:val="20"/>
          <w:color w:val="auto"/>
        </w:rPr>
      </w:pPr>
    </w:p>
    <w:p>
      <w:pPr>
        <w:jc w:val="both"/>
        <w:ind w:right="20" w:firstLine="512"/>
        <w:spacing w:after="0" w:line="265" w:lineRule="auto"/>
        <w:rPr>
          <w:sz w:val="20"/>
          <w:szCs w:val="20"/>
          <w:color w:val="auto"/>
        </w:rPr>
      </w:pPr>
      <w:r>
        <w:rPr>
          <w:rFonts w:ascii="Times New Roman" w:cs="Times New Roman" w:eastAsia="Times New Roman" w:hAnsi="Times New Roman"/>
          <w:sz w:val="12"/>
          <w:szCs w:val="12"/>
          <w:color w:val="auto"/>
        </w:rPr>
        <w:t>Because of these factors, as well as factors affecting the time required to complete each job, backlog is not necessarily indicative of future revenues or profitability. In addition, a significant amount of our total backlog (53% as of December 31, 2024) relates to federal government contracts, which can be canceled at any time without penalty to the government, subject, in most cases, to our contractual right to recover our actual committed costs and profit on work performed up to the date of cancellation.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Below is our backlog from federal government contracts as of December 31, 2024, 2023, and 2022 and the percentage of those contracts to total backlog as of the same date.</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5260" w:type="dxa"/>
            <w:vAlign w:val="bottom"/>
          </w:tcPr>
          <w:p>
            <w:pPr>
              <w:spacing w:after="0"/>
              <w:rPr>
                <w:sz w:val="7"/>
                <w:szCs w:val="7"/>
                <w:color w:val="auto"/>
              </w:rPr>
            </w:pPr>
          </w:p>
        </w:tc>
        <w:tc>
          <w:tcPr>
            <w:tcW w:w="6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38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384"/>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7"/>
                <w:szCs w:val="7"/>
                <w:color w:val="auto"/>
              </w:rPr>
            </w:pPr>
          </w:p>
        </w:tc>
      </w:tr>
      <w:tr>
        <w:trPr>
          <w:trHeight w:val="133"/>
        </w:trPr>
        <w:tc>
          <w:tcPr>
            <w:tcW w:w="52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Federal government backlog (in US $1,000)</w:t>
            </w:r>
          </w:p>
        </w:tc>
        <w:tc>
          <w:tcPr>
            <w:tcW w:w="640" w:type="dxa"/>
            <w:vAlign w:val="bottom"/>
            <w:shd w:val="clear" w:color="auto" w:fill="CFF0FC"/>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662,933</w:t>
            </w: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jc w:val="right"/>
              <w:ind w:right="126"/>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350,242</w:t>
            </w: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290,694</w:t>
            </w:r>
          </w:p>
        </w:tc>
        <w:tc>
          <w:tcPr>
            <w:tcW w:w="120" w:type="dxa"/>
            <w:vAlign w:val="bottom"/>
            <w:shd w:val="clear" w:color="auto" w:fill="CFF0FC"/>
          </w:tcPr>
          <w:p>
            <w:pPr>
              <w:spacing w:after="0"/>
              <w:rPr>
                <w:sz w:val="11"/>
                <w:szCs w:val="11"/>
                <w:color w:val="auto"/>
              </w:rPr>
            </w:pPr>
          </w:p>
        </w:tc>
      </w:tr>
      <w:tr>
        <w:trPr>
          <w:trHeight w:val="155"/>
        </w:trPr>
        <w:tc>
          <w:tcPr>
            <w:tcW w:w="5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Percentage of total backlog from federal government</w:t>
            </w:r>
          </w:p>
        </w:tc>
        <w:tc>
          <w:tcPr>
            <w:tcW w:w="6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53 %</w:t>
            </w:r>
          </w:p>
        </w:tc>
        <w:tc>
          <w:tcPr>
            <w:tcW w:w="36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32 %</w:t>
            </w:r>
          </w:p>
        </w:tc>
        <w:tc>
          <w:tcPr>
            <w:tcW w:w="3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77 %</w:t>
            </w:r>
          </w:p>
        </w:tc>
      </w:tr>
    </w:tbl>
    <w:p>
      <w:pPr>
        <w:spacing w:after="0" w:line="194" w:lineRule="exact"/>
        <w:rPr>
          <w:sz w:val="20"/>
          <w:szCs w:val="20"/>
          <w:color w:val="auto"/>
        </w:rPr>
      </w:pPr>
    </w:p>
    <w:p>
      <w:pPr>
        <w:ind w:right="20" w:firstLine="512"/>
        <w:spacing w:after="0" w:line="260" w:lineRule="auto"/>
        <w:rPr>
          <w:sz w:val="20"/>
          <w:szCs w:val="20"/>
          <w:color w:val="auto"/>
        </w:rPr>
      </w:pPr>
      <w:r>
        <w:rPr>
          <w:rFonts w:ascii="Times New Roman" w:cs="Times New Roman" w:eastAsia="Times New Roman" w:hAnsi="Times New Roman"/>
          <w:sz w:val="12"/>
          <w:szCs w:val="12"/>
          <w:color w:val="auto"/>
        </w:rPr>
        <w:t>Although we do not currently have any international projects, if we were to engage in a new foreign project, we may have backlog with foreign governments that use local laws and regulations to change the terms of a contract in backlog or to limit our ability to receive payment on a timely basis. In addition to our United States federal contracts, our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 As of December 31, 2024, approximately 29% of the Company’s total backlog is from two private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Loss of a single customer contract could significantly decrease revenue.</w:t>
      </w:r>
    </w:p>
    <w:p>
      <w:pPr>
        <w:spacing w:after="0" w:line="154"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Our individual customer contracts may relate to large-scale projects that can be responsible for a significant portion of our revenue and/or backlog. Loss of any current customer contract could significantly decrease our revenue or expected revenue. Lower utilization, workforce reductions or asset relocations, resulting from the loss of a customer contract or otherwise, could have a material adverse effect on our business, operating results, cash flows or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Inability to obtain secure financing or financing on favorable terms for our new vessels could negatively impact our business, financial position and/or results of operations.</w:t>
      </w:r>
    </w:p>
    <w:p>
      <w:pPr>
        <w:spacing w:after="0" w:line="154" w:lineRule="exact"/>
        <w:rPr>
          <w:sz w:val="20"/>
          <w:szCs w:val="20"/>
          <w:color w:val="auto"/>
        </w:rPr>
      </w:pPr>
    </w:p>
    <w:p>
      <w:pPr>
        <w:ind w:right="120" w:firstLine="512"/>
        <w:spacing w:after="0" w:line="265" w:lineRule="auto"/>
        <w:rPr>
          <w:sz w:val="20"/>
          <w:szCs w:val="20"/>
          <w:color w:val="auto"/>
        </w:rPr>
      </w:pPr>
      <w:r>
        <w:rPr>
          <w:rFonts w:ascii="Times New Roman" w:cs="Times New Roman" w:eastAsia="Times New Roman" w:hAnsi="Times New Roman"/>
          <w:sz w:val="12"/>
          <w:szCs w:val="12"/>
          <w:color w:val="auto"/>
        </w:rPr>
        <w:t>We have previously disclosed our plans to build new vessels which requires significant capital expenditures. Unforeseen issues could arise in our ability to obtain secure financing or to obtain secure financing on terms favorable to us for building such vessels. This includes our new offshore energy vessel, the second new build hopper dredge, and other potential future vessels. The inability to obtain favorable financing may also impact our ability to bring the new vessels into service within the timeline anticipated by the Company, which may have an adverse effect on our business, financial position and/or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Inability to secure contracts to utilize new offshore energy vessel could adversely impact our business strategy and have a material adverse effect on our operating results, cash flows or financial condition.</w:t>
      </w:r>
    </w:p>
    <w:p>
      <w:pPr>
        <w:spacing w:after="0" w:line="154" w:lineRule="exact"/>
        <w:rPr>
          <w:sz w:val="20"/>
          <w:szCs w:val="20"/>
          <w:color w:val="auto"/>
        </w:rPr>
      </w:pPr>
    </w:p>
    <w:p>
      <w:pPr>
        <w:ind w:right="60" w:firstLine="512"/>
        <w:spacing w:after="0" w:line="257" w:lineRule="auto"/>
        <w:rPr>
          <w:sz w:val="20"/>
          <w:szCs w:val="20"/>
          <w:color w:val="auto"/>
        </w:rPr>
      </w:pPr>
      <w:r>
        <w:rPr>
          <w:rFonts w:ascii="Times New Roman" w:cs="Times New Roman" w:eastAsia="Times New Roman" w:hAnsi="Times New Roman"/>
          <w:sz w:val="12"/>
          <w:szCs w:val="12"/>
          <w:color w:val="auto"/>
        </w:rPr>
        <w:t>We have previously disclosed the build of our new offshore energy vessel that is in progress. Our ability to obtain customers and/or contracts on terms favorable to the Company to utilize this new vessel for subsea rock installation for wind turbines could be impacted by unforeseen market conditions or changing political climates. As the costs to build this new vessel have already been incurred, the lack of a secure customer base and favorable secure contracts could have a material adverse effect on the Company’s business, financial position and results of operations. Towards the end of 2023, the Company saw several cancellations of Power Purchase Agreements (“PPAs”) that were entered into in 2018 and 2019, as inflation and interest rate hikes eroded the profitability of these PPAs. This led our clients, Equinor and bp, to terminate our Empire Wind II contract and reset their plan for the related wind farm. Great Lakes may have the opportunity to re-tender this project if Equinor re-bids their PPA for this development. If there are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20" w:name="page21"/>
    <w:bookmarkEnd w:id="20"/>
    <w:p>
      <w:pPr>
        <w:ind w:right="80"/>
        <w:spacing w:after="0" w:line="257" w:lineRule="auto"/>
        <w:rPr>
          <w:sz w:val="20"/>
          <w:szCs w:val="20"/>
          <w:color w:val="auto"/>
        </w:rPr>
      </w:pPr>
      <w:r>
        <w:rPr>
          <w:rFonts w:ascii="Times New Roman" w:cs="Times New Roman" w:eastAsia="Times New Roman" w:hAnsi="Times New Roman"/>
          <w:sz w:val="12"/>
          <w:szCs w:val="12"/>
          <w:color w:val="auto"/>
        </w:rPr>
        <w:t>additional cancellations of PPAs, the Company’s ability to utilize its new offshore energy vessel may be adversely impacted. On January 20, 2025, President Trump issued an Executive Order that temporarily prevents consideration of any area in the Outer Continental Shelf for any new or renewed wind energy leasing for the purposes of generation of electricity until the Executive Order is revoked. The Executive Order also requires an immediate review of federal wind leasing and permitting practices. The inability or unwillingness of our clients and potential clients to commit to or invest in new or existing offshore wind projects due to this policy change could have a material adverse effect on the Company’s business, financial position and results of operations. Further, the possibility of future changes to environmental requirements and regulations and changes in the policies of the U.S. presidential administration could delay or halt plans for U.S. offshore wind projects, which would adversely impact our business strategy and could have a material adverse effect on the Company’s operating results, cash flows or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Unforeseen delays and cost overruns could postpone delivery of or halt plans to build new vessels and, as a result, negatively impact our business strategy.</w:t>
      </w:r>
    </w:p>
    <w:p>
      <w:pPr>
        <w:spacing w:after="0" w:line="154" w:lineRule="exact"/>
        <w:rPr>
          <w:sz w:val="20"/>
          <w:szCs w:val="20"/>
          <w:color w:val="auto"/>
        </w:rPr>
      </w:pPr>
    </w:p>
    <w:p>
      <w:pPr>
        <w:ind w:firstLine="512"/>
        <w:spacing w:after="0" w:line="253" w:lineRule="auto"/>
        <w:rPr>
          <w:sz w:val="20"/>
          <w:szCs w:val="20"/>
          <w:color w:val="auto"/>
        </w:rPr>
      </w:pPr>
      <w:r>
        <w:rPr>
          <w:rFonts w:ascii="Times New Roman" w:cs="Times New Roman" w:eastAsia="Times New Roman" w:hAnsi="Times New Roman"/>
          <w:sz w:val="12"/>
          <w:szCs w:val="12"/>
          <w:color w:val="auto"/>
        </w:rPr>
        <w:t>We have previously disclosed our plans to build new vessels. Unknown mechanical or engineering issues involving new vessels could adversely affect the Company’s business, operating results, cash flows or financial condition. Our future revenues and profitability will also be impacted to some extent by our ability to secure financing for new vessels and bring them into service within the timeline anticipated by the Company.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Delays may also occur as a result of a shipyard giving priority to other customers.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For example, the Company has experienced delays from the shipyard in the build of its in process SRI vessel, now expected to be operational in the first half of 2026. The Company is in discussions with the shipyard to limit any additional delays and are working with our customers to evaluate and limit any potential negative impacts of such delays, which may include loss of revenues, delays in completion of Company work under previously negotiated contracts, or increased costs to the Company. Our future revenues and profitability will also be impacted to some extent if we are unable to bring our new offshore energy vessels into service within the timeline anticipated by the Company as a result of an inability to obtain favorable steel prices or secure appropriate financing. Changes in governmental regulations, safety or other equipment standards, as well as compliance with standards imposed by maritime self-regulatory organizations and customer requirements or competition, could also substantially increase the cost of such construction beyond what we currently expect such costs to be.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would be adversely affected if we failed to comply with Jones Act provisions on coastwise trade, or if those provisions were modified, repealed or interpreted differently.</w:t>
      </w:r>
    </w:p>
    <w:p>
      <w:pPr>
        <w:spacing w:after="0" w:line="154" w:lineRule="exact"/>
        <w:rPr>
          <w:sz w:val="20"/>
          <w:szCs w:val="20"/>
          <w:color w:val="auto"/>
        </w:rPr>
      </w:pPr>
    </w:p>
    <w:p>
      <w:pPr>
        <w:ind w:right="40" w:firstLine="512"/>
        <w:spacing w:after="0" w:line="260" w:lineRule="auto"/>
        <w:rPr>
          <w:sz w:val="20"/>
          <w:szCs w:val="20"/>
          <w:color w:val="auto"/>
        </w:rPr>
      </w:pPr>
      <w:r>
        <w:rPr>
          <w:rFonts w:ascii="Times New Roman" w:cs="Times New Roman" w:eastAsia="Times New Roman" w:hAnsi="Times New Roman"/>
          <w:sz w:val="12"/>
          <w:szCs w:val="12"/>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22" w:lineRule="exact"/>
        <w:rPr>
          <w:sz w:val="20"/>
          <w:szCs w:val="20"/>
          <w:color w:val="auto"/>
        </w:rPr>
      </w:pPr>
    </w:p>
    <w:p>
      <w:pPr>
        <w:jc w:val="both"/>
        <w:ind w:right="60" w:firstLine="512"/>
        <w:spacing w:after="0" w:line="265" w:lineRule="auto"/>
        <w:rPr>
          <w:sz w:val="20"/>
          <w:szCs w:val="20"/>
          <w:color w:val="auto"/>
        </w:rPr>
      </w:pPr>
      <w:r>
        <w:rPr>
          <w:rFonts w:ascii="Times New Roman" w:cs="Times New Roman" w:eastAsia="Times New Roman" w:hAnsi="Times New Roman"/>
          <w:sz w:val="12"/>
          <w:szCs w:val="12"/>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119" w:lineRule="exact"/>
        <w:rPr>
          <w:sz w:val="20"/>
          <w:szCs w:val="20"/>
          <w:color w:val="auto"/>
        </w:rPr>
      </w:pPr>
    </w:p>
    <w:p>
      <w:pPr>
        <w:ind w:right="60" w:firstLine="512"/>
        <w:spacing w:after="0" w:line="257" w:lineRule="auto"/>
        <w:rPr>
          <w:sz w:val="20"/>
          <w:szCs w:val="20"/>
          <w:color w:val="auto"/>
        </w:rPr>
      </w:pPr>
      <w:r>
        <w:rPr>
          <w:rFonts w:ascii="Times New Roman" w:cs="Times New Roman" w:eastAsia="Times New Roman" w:hAnsi="Times New Roman"/>
          <w:sz w:val="12"/>
          <w:szCs w:val="12"/>
          <w:color w:val="auto"/>
        </w:rPr>
        <w:t>In addition, Customs and Border Protection (“CBP”), the federal agency that interprets the Jones Act, may issue letter rulings which adversely impact our business. In the past, CBP has issued letter rulings which have the potential to adversely impact Jones Act qualified vessels to be the exclusive operators in certain sectors of the new United States offshore energy industry. The Company challenged these CBP letter rulings in federal court in Houston, Texas, citing the “Plain Language” of the Jones Act. The challenge was rejected at the District Court level and at the 5th Circuit based upon the courts’ findings that the Company lacked standing. These adverse rulings, as well as other adverse letter rulings by CBP, may adversely impact our competitive advantage in the United States offshore energy industry, which could have a material adverse effect on our business, results of operations, cash flows or financial condition.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comply with anti-discrimination laws, including those pertaining to diversity, equity and inclusion programs, we could be subject to legal action and reputational risk.</w:t>
      </w:r>
    </w:p>
    <w:p>
      <w:pPr>
        <w:spacing w:after="0" w:line="154" w:lineRule="exact"/>
        <w:rPr>
          <w:sz w:val="20"/>
          <w:szCs w:val="20"/>
          <w:color w:val="auto"/>
        </w:rPr>
      </w:pPr>
    </w:p>
    <w:p>
      <w:pPr>
        <w:ind w:firstLine="512"/>
        <w:spacing w:after="0" w:line="255" w:lineRule="auto"/>
        <w:rPr>
          <w:sz w:val="20"/>
          <w:szCs w:val="20"/>
          <w:color w:val="auto"/>
        </w:rPr>
      </w:pPr>
      <w:r>
        <w:rPr>
          <w:rFonts w:ascii="Times New Roman" w:cs="Times New Roman" w:eastAsia="Times New Roman" w:hAnsi="Times New Roman"/>
          <w:sz w:val="12"/>
          <w:szCs w:val="12"/>
          <w:color w:val="auto"/>
        </w:rPr>
        <w:t>On January 21, 2025, President Trump issued an Executive Order prohibiting diversity, equity and inclusion initiatives at companies that are party to federal contracts to the extent that such initiatives violate applicable federal anti-discrimination laws. The Executive Order requires federal contractors, including the Company, to agree that such federal contractor’s compliance with federal anti-discrimination laws is material to the government’s payment decisions and to certify that such federal contractor does not operate any illegal programs promoting diversity, equity and inclusion that violate any applicable federal anti-discrimination laws. The Executive Order also provides that the Office of Federal Contract Compliance Programs within the Department of Labor may not allow federal contractors, including the Company, to engage in workforce balancing on the basis of certain protected characteristics. While we believe we are in compliance with the Executive Order, if we are not, or if the federal government believes we are not in compliance, then we could be subject to legal action, including under the False Claims Act, or debarment. Any such action could have a material adverse effect on our business, results of operations, cash flows or financial condition, as well as impact our ability to secure contracts with our customers and to hire and retain employees, distract our management team and negatively impact our reputation in the market and our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operating costs depend significantly on the price of petroleum-based products, and price increases could adversely affect our profits.</w:t>
      </w:r>
    </w:p>
    <w:p>
      <w:pPr>
        <w:spacing w:after="0" w:line="154" w:lineRule="exact"/>
        <w:rPr>
          <w:sz w:val="20"/>
          <w:szCs w:val="20"/>
          <w:color w:val="auto"/>
        </w:rPr>
      </w:pPr>
    </w:p>
    <w:p>
      <w:pPr>
        <w:ind w:firstLine="512"/>
        <w:spacing w:after="0" w:line="257" w:lineRule="auto"/>
        <w:rPr>
          <w:sz w:val="20"/>
          <w:szCs w:val="20"/>
          <w:color w:val="auto"/>
        </w:rPr>
      </w:pPr>
      <w:r>
        <w:rPr>
          <w:rFonts w:ascii="Times New Roman" w:cs="Times New Roman" w:eastAsia="Times New Roman" w:hAnsi="Times New Roman"/>
          <w:sz w:val="12"/>
          <w:szCs w:val="12"/>
          <w:color w:val="auto"/>
        </w:rPr>
        <w:t>Fuel prices fluctuate based on market events outside of our control. We use diesel fuel and other petroleum-based products to operate our equipment used in our dredging contracts. Fluctuations in supplies relative to 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In addition, the International Maritime Organization issued regulations regarding use of low sulfur fuel, which has increased the demand for low sulfur fuel. We use low sulfur fuel in many of our domestic operations, and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investing and operating costs depend significantly on the prices of new build and general maintenance and repair materials, and price increases due to high nationwide inflation could adversely affect our profits.</w:t>
      </w:r>
    </w:p>
    <w:p>
      <w:pPr>
        <w:spacing w:after="0" w:line="154" w:lineRule="exact"/>
        <w:rPr>
          <w:sz w:val="20"/>
          <w:szCs w:val="20"/>
          <w:color w:val="auto"/>
        </w:rPr>
      </w:pPr>
    </w:p>
    <w:p>
      <w:pPr>
        <w:ind w:right="40" w:firstLine="512"/>
        <w:spacing w:after="0" w:line="257" w:lineRule="auto"/>
        <w:rPr>
          <w:sz w:val="20"/>
          <w:szCs w:val="20"/>
          <w:color w:val="auto"/>
        </w:rPr>
      </w:pPr>
      <w:r>
        <w:rPr>
          <w:rFonts w:ascii="Times New Roman" w:cs="Times New Roman" w:eastAsia="Times New Roman" w:hAnsi="Times New Roman"/>
          <w:sz w:val="12"/>
          <w:szCs w:val="12"/>
          <w:color w:val="auto"/>
        </w:rPr>
        <w:t>The prices of steel and other materials to build and develop new vessels, as well as to maintain and/or repair our existing vessels, fluctuate based on market events outside of our control. This had an adverse effect on our results of operations in 2022, however did not have a material adverse effect on our results of operations in 2023 or 2024. Most of our new build contracts do not allow us to adjust our pricing for higher material costs during a contract term. When renewing contracts, we may be unable to secure price increases reflecting the rising costs of inflation or the impact of tariffs. Such future increases in the costs of steel and other materials used to build new vessels, particularly if a bid or renewal has been submitted for a contract and the costs of the required products have been estimated at amounts less than the actual costs incurred, could result in a lower profit, or even a loss, on one or more contracts. Additionally, the increased cost of steel and other materials may adversely impact the cost of general maintenance and/or repairs of our existing vessels.</w:t>
      </w:r>
    </w:p>
    <w:p>
      <w:pPr>
        <w:spacing w:after="0" w:line="121" w:lineRule="exact"/>
        <w:rPr>
          <w:sz w:val="20"/>
          <w:szCs w:val="20"/>
          <w:color w:val="auto"/>
        </w:rPr>
      </w:pPr>
    </w:p>
    <w:p>
      <w:pPr>
        <w:ind w:right="200" w:firstLine="51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 inability to obtain bonding or letters of credit would limit our ability to obtain future contracts, which could, along with any draws on existing arrangements, adversely affect our business, operating results, cash flows and financial condition.</w:t>
      </w:r>
    </w:p>
    <w:p>
      <w:pPr>
        <w:spacing w:after="0" w:line="107" w:lineRule="exact"/>
        <w:rPr>
          <w:sz w:val="20"/>
          <w:szCs w:val="20"/>
          <w:color w:val="auto"/>
        </w:rPr>
      </w:pPr>
    </w:p>
    <w:p>
      <w:pPr>
        <w:ind w:firstLine="512"/>
        <w:spacing w:after="0" w:line="256" w:lineRule="auto"/>
        <w:rPr>
          <w:sz w:val="20"/>
          <w:szCs w:val="20"/>
          <w:color w:val="auto"/>
        </w:rPr>
      </w:pPr>
      <w:r>
        <w:rPr>
          <w:rFonts w:ascii="Times New Roman" w:cs="Times New Roman" w:eastAsia="Times New Roman" w:hAnsi="Times New Roman"/>
          <w:sz w:val="12"/>
          <w:szCs w:val="12"/>
          <w:color w:val="auto"/>
        </w:rPr>
        <w:t>We are generally required to post bonds in connection with our domestic dredging contracts and bonds or letters of credit with our foreign dredging contracts, certain private domestic dredging contracts, and offshore energy contracts to ensure job completion if we ever fail to finish a project. We have entered into bonding agreements with the sureties, or the “Sureties”, pursuant to which the Sureties issue bid bonds, performance bonds and payment bonds, and provide guarantees required by us in the day-to-day operations of our dredging business. Historically, we have had a strong bonding capacity, but surety companies issue bonds on a project-by-project basis and can decline to issue bonds at any time or require the posting of collateral as a condition to issuing any bonds. With respect to our foreign dredging, certain private domestic dredging and our offshore energy business, we generally obtain letters of credit under our ABL Credit Agreement. However, access to our senior credit facility under our ABL Credit Agreement may be limited by failure to meet certain levels of availability or other defined financial or other requirements. If we are unable to obtain bonds or letters of credit on terms reasonably acceptable to us, our ability to take on future work would be severely limited.</w:t>
      </w:r>
    </w:p>
    <w:p>
      <w:pPr>
        <w:spacing w:after="0" w:line="125"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In connection with the sale of our historical demolition business, we were obligated to keep in place the surety bonds on pending demolition projects for the period required under the respective contract for a project. In 2017, we were notified by Zurich of an alleged default triggered on a historical demolition surety performance bond in the aggregate amount of approximately $20 million for failure of the contractor to perform in accordance with the terms of a project. Zurich drew upon the letter of credit in the amount of $20.9 million. In order to fund the draw on the letter of credit, we had to increase the borrowings on our revolving credit facility. As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27" w:right="359" w:bottom="1440" w:gutter="0" w:footer="0" w:header="0"/>
        </w:sectPr>
      </w:pPr>
    </w:p>
    <w:bookmarkStart w:id="22" w:name="page23"/>
    <w:bookmarkEnd w:id="22"/>
    <w:p>
      <w:pPr>
        <w:ind w:right="140"/>
        <w:spacing w:after="0" w:line="279" w:lineRule="auto"/>
        <w:rPr>
          <w:sz w:val="20"/>
          <w:szCs w:val="20"/>
          <w:color w:val="auto"/>
        </w:rPr>
      </w:pPr>
      <w:r>
        <w:rPr>
          <w:rFonts w:ascii="Times New Roman" w:cs="Times New Roman" w:eastAsia="Times New Roman" w:hAnsi="Times New Roman"/>
          <w:sz w:val="12"/>
          <w:szCs w:val="12"/>
          <w:color w:val="auto"/>
        </w:rPr>
        <w:t>the outstanding letters of credit previously reduced our availability under the revolving credit facility, this draw down on our letter of credit did not impact our liquidity or capital availability. However, in the future, other defaults (or alleged defaults) triggered under any of our surety bonds could have a material adverse effect on our business, results of operations, cash flows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Acquisitions involve integration, consolidation and strategic risks and may involve significant transaction expenses and unexpected liabilities, which could adversely affect our business and results of operations.</w:t>
      </w:r>
    </w:p>
    <w:p>
      <w:pPr>
        <w:spacing w:after="0" w:line="154" w:lineRule="exact"/>
        <w:rPr>
          <w:sz w:val="20"/>
          <w:szCs w:val="20"/>
          <w:color w:val="auto"/>
        </w:rPr>
      </w:pPr>
    </w:p>
    <w:p>
      <w:pPr>
        <w:ind w:right="140" w:firstLine="512"/>
        <w:spacing w:after="0" w:line="279" w:lineRule="auto"/>
        <w:rPr>
          <w:sz w:val="20"/>
          <w:szCs w:val="20"/>
          <w:color w:val="auto"/>
        </w:rPr>
      </w:pPr>
      <w:r>
        <w:rPr>
          <w:rFonts w:ascii="Times New Roman" w:cs="Times New Roman" w:eastAsia="Times New Roman" w:hAnsi="Times New Roman"/>
          <w:sz w:val="12"/>
          <w:szCs w:val="12"/>
          <w:color w:val="auto"/>
        </w:rPr>
        <w:t>We may seek business acquisition activities in the future as a means of broadening our offerings and capturing additional market opportunities by our business units. We may be exposed to certain additional risks resulting from these activities. Acquisitions may expose us to operational challenges and risks, including:</w:t>
      </w:r>
    </w:p>
    <w:p>
      <w:pPr>
        <w:spacing w:after="0" w:line="111" w:lineRule="exact"/>
        <w:rPr>
          <w:sz w:val="20"/>
          <w:szCs w:val="20"/>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valuation methodologies which may not accurately capture the value proposition;</w:t>
      </w:r>
    </w:p>
    <w:p>
      <w:pPr>
        <w:spacing w:after="0" w:line="78" w:lineRule="exact"/>
        <w:rPr>
          <w:rFonts w:ascii="Times New Roman" w:cs="Times New Roman" w:eastAsia="Times New Roman" w:hAnsi="Times New Roman"/>
          <w:sz w:val="12"/>
          <w:szCs w:val="12"/>
          <w:color w:val="auto"/>
        </w:rPr>
      </w:pPr>
    </w:p>
    <w:p>
      <w:pPr>
        <w:ind w:left="1020" w:right="60" w:hanging="516"/>
        <w:spacing w:after="0" w:line="279" w:lineRule="auto"/>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spacing w:after="0" w:line="39"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management of the growth resulting from acquisition activities;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capitalize on expected synergies;</w:t>
      </w:r>
    </w:p>
    <w:p>
      <w:pPr>
        <w:spacing w:after="0" w:line="78" w:lineRule="exact"/>
        <w:rPr>
          <w:rFonts w:ascii="Times New Roman" w:cs="Times New Roman" w:eastAsia="Times New Roman" w:hAnsi="Times New Roman"/>
          <w:sz w:val="12"/>
          <w:szCs w:val="12"/>
          <w:color w:val="auto"/>
        </w:rPr>
      </w:pPr>
    </w:p>
    <w:p>
      <w:pPr>
        <w:ind w:left="1020" w:hanging="516"/>
        <w:spacing w:after="0" w:line="279" w:lineRule="auto"/>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spacing w:after="0" w:line="39"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assumption of unprofitable projects that pose future risks to our working capital needs, cash flows and the profitability of related operations;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risks associated with entering new markets;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diversion of management’s attention from our existing business;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retain key personnel, customers or contracts of any acquired business;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adverse effects on our ability to comply with terms and covenants in our existing debt financing;</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impairment of acquired intangible assets;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debt financing, which may not be available on attractive terms.</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Divestitures and discontinued operations could negatively impact our business, and any retained liabilities could adversely affect our financial results.</w:t>
      </w:r>
    </w:p>
    <w:p>
      <w:pPr>
        <w:spacing w:after="0" w:line="154" w:lineRule="exact"/>
        <w:rPr>
          <w:sz w:val="20"/>
          <w:szCs w:val="20"/>
          <w:color w:val="auto"/>
        </w:rPr>
      </w:pPr>
    </w:p>
    <w:p>
      <w:pPr>
        <w:ind w:right="40" w:firstLine="512"/>
        <w:spacing w:after="0" w:line="255" w:lineRule="auto"/>
        <w:rPr>
          <w:sz w:val="20"/>
          <w:szCs w:val="20"/>
          <w:color w:val="auto"/>
        </w:rPr>
      </w:pPr>
      <w:r>
        <w:rPr>
          <w:rFonts w:ascii="Times New Roman" w:cs="Times New Roman" w:eastAsia="Times New Roman" w:hAnsi="Times New Roman"/>
          <w:sz w:val="12"/>
          <w:szCs w:val="12"/>
          <w:color w:val="auto"/>
        </w:rPr>
        <w:t>As part of our strategic process, we review our operations for assets and businesses which may no longer be aligned with our strategic initiatives and long-term objectives. For example, we have divested our historical environmental &amp; infrastructure business and historical demolition business. We continue to review our assets and strategy and may pursue additional divestitures.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or fail to close a transaction at all. Dispositions may also involve continued financial involvement, as we may be required to retain responsibility for, or agree to indemnify buyers against contingent liabilities related to businesses sold, such as lawsuits, surety obligations, tax liabilities or environmental matters. It may also be difficult to determine whether a claim from a third party stemmed from actions taken by us or by another party and we may expend substantial resources trying to determine which party has responsibility for the claim. Under these types of arrangements, performance by the divested businesses or other conditions outside of our control could affect future financial results and such claims or conditions may divert management attention from our continuing business.</w:t>
      </w:r>
    </w:p>
    <w:p>
      <w:pPr>
        <w:spacing w:after="0" w:line="126" w:lineRule="exact"/>
        <w:rPr>
          <w:sz w:val="20"/>
          <w:szCs w:val="20"/>
          <w:color w:val="auto"/>
        </w:rPr>
      </w:pPr>
    </w:p>
    <w:p>
      <w:pPr>
        <w:ind w:right="20" w:firstLine="512"/>
        <w:spacing w:after="0" w:line="265" w:lineRule="auto"/>
        <w:rPr>
          <w:sz w:val="20"/>
          <w:szCs w:val="20"/>
          <w:color w:val="auto"/>
        </w:rPr>
      </w:pPr>
      <w:r>
        <w:rPr>
          <w:rFonts w:ascii="Times New Roman" w:cs="Times New Roman" w:eastAsia="Times New Roman" w:hAnsi="Times New Roman"/>
          <w:sz w:val="12"/>
          <w:szCs w:val="12"/>
          <w:color w:val="auto"/>
        </w:rPr>
        <w:t>During the second quarter of 2014, the Company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by virtue of the agreement pursuant to which the Company’s historical demolition business was sold. In connection with the sale of our historical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23" w:name="page24"/>
    <w:bookmarkEnd w:id="23"/>
    <w:p>
      <w:pPr>
        <w:ind w:right="20"/>
        <w:spacing w:after="0" w:line="279" w:lineRule="auto"/>
        <w:rPr>
          <w:sz w:val="20"/>
          <w:szCs w:val="20"/>
          <w:color w:val="auto"/>
        </w:rPr>
      </w:pPr>
      <w:r>
        <w:rPr>
          <w:rFonts w:ascii="Times New Roman" w:cs="Times New Roman" w:eastAsia="Times New Roman" w:hAnsi="Times New Roman"/>
          <w:sz w:val="12"/>
          <w:szCs w:val="12"/>
          <w:color w:val="auto"/>
        </w:rPr>
        <w:t>demolition business, we were obligated to keep in place the surety bonds on pending demolition projects for the period required under the respective contract for a project. As noted above, if there should be a default (or alleged default) triggered under any of the surety bonds for the historical demolition business, it could have a material adverse effect on our ability to obtain bonds and on our business, results of operations, cash flows or financial condition.</w:t>
      </w:r>
    </w:p>
    <w:p>
      <w:pPr>
        <w:spacing w:after="0" w:line="111" w:lineRule="exact"/>
        <w:rPr>
          <w:sz w:val="20"/>
          <w:szCs w:val="20"/>
          <w:color w:val="auto"/>
        </w:rPr>
      </w:pPr>
    </w:p>
    <w:p>
      <w:pPr>
        <w:jc w:val="both"/>
        <w:ind w:right="80" w:firstLine="512"/>
        <w:spacing w:after="0" w:line="265" w:lineRule="auto"/>
        <w:rPr>
          <w:sz w:val="20"/>
          <w:szCs w:val="20"/>
          <w:color w:val="auto"/>
        </w:rPr>
      </w:pPr>
      <w:r>
        <w:rPr>
          <w:rFonts w:ascii="Times New Roman" w:cs="Times New Roman" w:eastAsia="Times New Roman" w:hAnsi="Times New Roman"/>
          <w:sz w:val="12"/>
          <w:szCs w:val="12"/>
          <w:color w:val="auto"/>
        </w:rPr>
        <w:t>During the second quarter of 2019, the Company completed the sale of the historical environmental &amp; infrastructure business. The Company retained responsibility for pre-closing liabilities and indemnification for breaches of our representations and warranties in the sale agreement. If the buyer made a claim against any of our indemnifications or if any payments became due in connection with any pre-closing liability, they could be material to results of operations, cash flows or financial condition.</w:t>
      </w:r>
    </w:p>
    <w:p>
      <w:pPr>
        <w:spacing w:after="0" w:line="119"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If we do not realize the expected benefits or synergies of any divestiture transaction or if we underestimated the valuation of the charge related to placing an asset held for sale in discontinued operations, our consolidated financial position, results of operations and cash flows could be negatively impacted. Any divestiture may result in a dilutive impact to our future earnings if we are unable to offset the dilutive impact from the loss of revenue associated with the divestiture, as well as significant write-offs, including those related to goodwill and other intangible assets, which could have a material adverse effect on our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face liabilities and/or damage to our reputation as a result of legal and regulatory proceedings.</w:t>
      </w:r>
    </w:p>
    <w:p>
      <w:pPr>
        <w:spacing w:after="0" w:line="154" w:lineRule="exact"/>
        <w:rPr>
          <w:sz w:val="20"/>
          <w:szCs w:val="20"/>
          <w:color w:val="auto"/>
        </w:rPr>
      </w:pPr>
    </w:p>
    <w:p>
      <w:pPr>
        <w:ind w:right="180" w:firstLine="512"/>
        <w:spacing w:after="0" w:line="279" w:lineRule="auto"/>
        <w:rPr>
          <w:sz w:val="20"/>
          <w:szCs w:val="20"/>
          <w:color w:val="auto"/>
        </w:rPr>
      </w:pPr>
      <w:r>
        <w:rPr>
          <w:rFonts w:ascii="Times New Roman" w:cs="Times New Roman" w:eastAsia="Times New Roman" w:hAnsi="Times New Roman"/>
          <w:sz w:val="12"/>
          <w:szCs w:val="12"/>
          <w:color w:val="auto"/>
        </w:rPr>
        <w:t>We operate in a highly regulated environment with constantly evolving legal and regulatory frameworks. From time to time, we are subject to legal and regulatory proceedings in the ordinary course of our business. These include proceedings relating to aspects of our businesses that are specific to us and proceedings that are typical in the businesses in which we operate.</w:t>
      </w:r>
    </w:p>
    <w:p>
      <w:pPr>
        <w:spacing w:after="0" w:line="111" w:lineRule="exact"/>
        <w:rPr>
          <w:sz w:val="20"/>
          <w:szCs w:val="20"/>
          <w:color w:val="auto"/>
        </w:rPr>
      </w:pPr>
    </w:p>
    <w:p>
      <w:pPr>
        <w:jc w:val="both"/>
        <w:ind w:right="60" w:firstLine="512"/>
        <w:spacing w:after="0" w:line="265" w:lineRule="auto"/>
        <w:rPr>
          <w:sz w:val="20"/>
          <w:szCs w:val="20"/>
          <w:color w:val="auto"/>
        </w:rPr>
      </w:pPr>
      <w:r>
        <w:rPr>
          <w:rFonts w:ascii="Times New Roman" w:cs="Times New Roman" w:eastAsia="Times New Roman" w:hAnsi="Times New Roman"/>
          <w:sz w:val="12"/>
          <w:szCs w:val="12"/>
          <w:color w:val="auto"/>
        </w:rPr>
        <w:t>We are currently a defendant in a number of litigation matters, including those described in Item 3. “Legal Proceedings” of this Annual Report on Form 10-K. In certain of these matters, the plaintiffs are seeking large and/or indeterminate amounts of damages. These matters are also subject to many uncertainties, and it is possible that some of these matters could ultimately be decided, resolved or settled adversely to the Company. An adverse outcome in a legal or regulatory matter could, depending on the facts, have an adverse effect on our business, results of operations, cash flows or financial condition.</w:t>
      </w:r>
    </w:p>
    <w:p>
      <w:pPr>
        <w:spacing w:after="0" w:line="119" w:lineRule="exact"/>
        <w:rPr>
          <w:sz w:val="20"/>
          <w:szCs w:val="20"/>
          <w:color w:val="auto"/>
        </w:rPr>
      </w:pPr>
    </w:p>
    <w:p>
      <w:pPr>
        <w:ind w:firstLine="512"/>
        <w:spacing w:after="0" w:line="279" w:lineRule="auto"/>
        <w:rPr>
          <w:sz w:val="20"/>
          <w:szCs w:val="20"/>
          <w:color w:val="auto"/>
        </w:rPr>
      </w:pPr>
      <w:r>
        <w:rPr>
          <w:rFonts w:ascii="Times New Roman" w:cs="Times New Roman" w:eastAsia="Times New Roman" w:hAnsi="Times New Roman"/>
          <w:sz w:val="12"/>
          <w:szCs w:val="12"/>
          <w:color w:val="auto"/>
        </w:rPr>
        <w:t>Furthermore, whether the ultimate outcomes are favorable or unfavorable, these matters can also have significant adverse reputational impacts, including negative publicity and press speculation about us, whether valid or not, which may be damaging to our business, results of operations, cash flows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Liabilities for the obligations of our joint ventures and similar arrangements and subcontractors could materially decrease our profitability and liquidity.</w:t>
      </w:r>
    </w:p>
    <w:p>
      <w:pPr>
        <w:spacing w:after="0" w:line="154" w:lineRule="exact"/>
        <w:rPr>
          <w:sz w:val="20"/>
          <w:szCs w:val="20"/>
          <w:color w:val="auto"/>
        </w:rPr>
      </w:pPr>
    </w:p>
    <w:p>
      <w:pPr>
        <w:ind w:right="20" w:firstLine="512"/>
        <w:spacing w:after="0" w:line="255" w:lineRule="auto"/>
        <w:rPr>
          <w:sz w:val="20"/>
          <w:szCs w:val="20"/>
          <w:color w:val="auto"/>
        </w:rPr>
      </w:pPr>
      <w:r>
        <w:rPr>
          <w:rFonts w:ascii="Times New Roman" w:cs="Times New Roman" w:eastAsia="Times New Roman" w:hAnsi="Times New Roman"/>
          <w:sz w:val="12"/>
          <w:szCs w:val="12"/>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spacing w:after="0" w:line="126" w:lineRule="exact"/>
        <w:rPr>
          <w:sz w:val="20"/>
          <w:szCs w:val="20"/>
          <w:color w:val="auto"/>
        </w:rPr>
      </w:pPr>
    </w:p>
    <w:p>
      <w:pPr>
        <w:ind w:right="100" w:firstLine="512"/>
        <w:spacing w:after="0" w:line="300" w:lineRule="auto"/>
        <w:rPr>
          <w:sz w:val="20"/>
          <w:szCs w:val="20"/>
          <w:color w:val="auto"/>
        </w:rPr>
      </w:pPr>
      <w:r>
        <w:rPr>
          <w:rFonts w:ascii="Times New Roman" w:cs="Times New Roman" w:eastAsia="Times New Roman" w:hAnsi="Times New Roman"/>
          <w:sz w:val="11"/>
          <w:szCs w:val="11"/>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risks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i w:val="1"/>
          <w:iCs w:val="1"/>
          <w:color w:val="auto"/>
        </w:rPr>
        <w:t>New tariffs have increased our costs and could adversely affect our business operations, revenues and profits.</w:t>
      </w:r>
    </w:p>
    <w:p>
      <w:pPr>
        <w:spacing w:after="0" w:line="154" w:lineRule="exact"/>
        <w:rPr>
          <w:sz w:val="20"/>
          <w:szCs w:val="20"/>
          <w:color w:val="auto"/>
        </w:rPr>
      </w:pPr>
    </w:p>
    <w:p>
      <w:pPr>
        <w:ind w:firstLine="512"/>
        <w:spacing w:after="0" w:line="255" w:lineRule="auto"/>
        <w:rPr>
          <w:sz w:val="20"/>
          <w:szCs w:val="20"/>
          <w:color w:val="auto"/>
        </w:rPr>
      </w:pPr>
      <w:r>
        <w:rPr>
          <w:rFonts w:ascii="Times New Roman" w:cs="Times New Roman" w:eastAsia="Times New Roman" w:hAnsi="Times New Roman"/>
          <w:sz w:val="12"/>
          <w:szCs w:val="12"/>
          <w:color w:val="auto"/>
        </w:rPr>
        <w:t>In recent years, the United States has imposed Section 232 tariffs and other import taxes on certain steel and aluminum products, such as imported dredge-related machinery and pipes. These tariffs and other import taxes have increased the prices of these inputs. Increased prices for imported steel and aluminum products have led domestic sellers to respond with market-based increases to prices for such inputs as well. We cannot be sure of the ultimate effect such tariffs or any additional import taxes will have on our operating profits. If we are not able to pass these price increases on to our customers or to secure adequate alternative sources for such inputs on a timely basis, the tariffs and other import taxes may have a material adverse effect on our business operations, revenues and profits. The current U.S. presidential administration has increased tariffs on certain imported products and generally on imports from certain countries. For example, on February 10, 2025, President Trump imposed a 25% tariff on imported steel and aluminum. The Company does not currently expect a material adverse impact to its operating results, cash flows or financial condition from the tariffs imposed during the first few weeks of President Trump’s administration. However, any future tariffs imposed could have a material adverse impact to our operating results, cash flows or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could suffer in the event of a work stoppage by our unionized labor force.</w:t>
      </w:r>
    </w:p>
    <w:p>
      <w:pPr>
        <w:spacing w:after="0" w:line="154" w:lineRule="exact"/>
        <w:rPr>
          <w:sz w:val="20"/>
          <w:szCs w:val="20"/>
          <w:color w:val="auto"/>
        </w:rPr>
      </w:pPr>
    </w:p>
    <w:p>
      <w:pPr>
        <w:ind w:right="60" w:firstLine="512"/>
        <w:spacing w:after="0" w:line="260" w:lineRule="auto"/>
        <w:rPr>
          <w:sz w:val="20"/>
          <w:szCs w:val="20"/>
          <w:color w:val="auto"/>
        </w:rPr>
      </w:pPr>
      <w:r>
        <w:rPr>
          <w:rFonts w:ascii="Times New Roman" w:cs="Times New Roman" w:eastAsia="Times New Roman" w:hAnsi="Times New Roman"/>
          <w:sz w:val="12"/>
          <w:szCs w:val="12"/>
          <w:color w:val="auto"/>
        </w:rPr>
        <w:t>We are a party to numerous collective bargaining agreements in the U.S. that govern our industry’s relationships with our unionized hourly workforce. Two unions represent approximately 73% of our hourly dredging employees—the IUOE Local 25 and the Seafarers International Union. The Company’s master and ancillary contracts with IUOE Local 25 expire on September 30, 2027. Our agreements with the Seafarers International Union expire on February 28, 2026. While we expect that the membership will have a tentative agreement before expiration of the current agreement, we cannot be certain that will occur.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Liabilities imposed by federal laws for job-related claims by seagoing employees could increase our costs and reduce our profitability.</w:t>
      </w:r>
    </w:p>
    <w:p>
      <w:pPr>
        <w:spacing w:after="0" w:line="154" w:lineRule="exact"/>
        <w:rPr>
          <w:sz w:val="20"/>
          <w:szCs w:val="20"/>
          <w:color w:val="auto"/>
        </w:rPr>
      </w:pPr>
    </w:p>
    <w:p>
      <w:pPr>
        <w:ind w:right="120" w:firstLine="512"/>
        <w:spacing w:after="0" w:line="257" w:lineRule="auto"/>
        <w:rPr>
          <w:sz w:val="20"/>
          <w:szCs w:val="20"/>
          <w:color w:val="auto"/>
        </w:rPr>
      </w:pPr>
      <w:r>
        <w:rPr>
          <w:rFonts w:ascii="Times New Roman" w:cs="Times New Roman" w:eastAsia="Times New Roman" w:hAnsi="Times New Roman"/>
          <w:sz w:val="12"/>
          <w:szCs w:val="12"/>
          <w:color w:val="auto"/>
        </w:rPr>
        <w:t>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 Successful claims could materially increase our costs and reduce our profitability. Further, the number and resolution of these claims could increase our insurance costs.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significant operating risks and hazards inherent in the operation of our business could result in personal or property damage, which could result in losses or liabilities to us.</w:t>
      </w:r>
    </w:p>
    <w:p>
      <w:pPr>
        <w:spacing w:after="0" w:line="154" w:lineRule="exact"/>
        <w:rPr>
          <w:sz w:val="20"/>
          <w:szCs w:val="20"/>
          <w:color w:val="auto"/>
        </w:rPr>
      </w:pPr>
    </w:p>
    <w:p>
      <w:pPr>
        <w:ind w:right="20" w:firstLine="512"/>
        <w:spacing w:after="0" w:line="260" w:lineRule="auto"/>
        <w:rPr>
          <w:sz w:val="20"/>
          <w:szCs w:val="20"/>
          <w:color w:val="auto"/>
        </w:rPr>
      </w:pPr>
      <w:r>
        <w:rPr>
          <w:rFonts w:ascii="Times New Roman" w:cs="Times New Roman" w:eastAsia="Times New Roman" w:hAnsi="Times New Roman"/>
          <w:sz w:val="12"/>
          <w:szCs w:val="12"/>
          <w:color w:val="auto"/>
        </w:rPr>
        <w:t>The dredging business is generally subject to a number of risks and hazards, including environmental hazards, industrial accidents, encountering unusual or unexpected geological formations, cave-ins below water levels, collisions, disruption of transportation services, flooding and unexploded ordnance.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spacing w:after="0" w:line="122" w:lineRule="exact"/>
        <w:rPr>
          <w:sz w:val="20"/>
          <w:szCs w:val="20"/>
          <w:color w:val="auto"/>
        </w:rPr>
      </w:pPr>
    </w:p>
    <w:p>
      <w:pPr>
        <w:ind w:right="240" w:firstLine="512"/>
        <w:spacing w:after="0" w:line="260" w:lineRule="auto"/>
        <w:rPr>
          <w:sz w:val="20"/>
          <w:szCs w:val="20"/>
          <w:color w:val="auto"/>
        </w:rPr>
      </w:pPr>
      <w:r>
        <w:rPr>
          <w:rFonts w:ascii="Times New Roman" w:cs="Times New Roman" w:eastAsia="Times New Roman" w:hAnsi="Times New Roman"/>
          <w:sz w:val="12"/>
          <w:szCs w:val="12"/>
          <w:color w:val="auto"/>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were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Risks Related to our Financing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substantial indebtedness, which makes us more vulnerable to adverse economic and competitive conditions.</w:t>
      </w:r>
    </w:p>
    <w:p>
      <w:pPr>
        <w:spacing w:after="0" w:line="154" w:lineRule="exact"/>
        <w:rPr>
          <w:sz w:val="20"/>
          <w:szCs w:val="20"/>
          <w:color w:val="auto"/>
        </w:rPr>
      </w:pPr>
    </w:p>
    <w:p>
      <w:pPr>
        <w:ind w:right="20" w:firstLine="512"/>
        <w:spacing w:after="0" w:line="265" w:lineRule="auto"/>
        <w:rPr>
          <w:sz w:val="20"/>
          <w:szCs w:val="20"/>
          <w:color w:val="auto"/>
        </w:rPr>
      </w:pPr>
      <w:r>
        <w:rPr>
          <w:rFonts w:ascii="Times New Roman" w:cs="Times New Roman" w:eastAsia="Times New Roman" w:hAnsi="Times New Roman"/>
          <w:sz w:val="12"/>
          <w:szCs w:val="12"/>
          <w:color w:val="auto"/>
        </w:rPr>
        <w:t>We currently have a substantial amount of indebtedness. As of December 31, 2024, we had indebtedness of $460.0 million, consisting of our senior subordinated notes, our second lien credit agreement and borrowings on our revolving credit facility. As of December 31, 2024, we had approximately $43.5 million of undrawn letters of credit, leaving $221.2 million of additional borrowing capacity under our revolving credit facility. These figures exclude contingent obligations, including $1.32 billion of performance bonds outstanding under the Company’s agreements with the Sureties and other bonding agreements. Our level of indebtedness could:</w:t>
      </w:r>
    </w:p>
    <w:p>
      <w:pPr>
        <w:spacing w:after="0" w:line="119" w:lineRule="exact"/>
        <w:rPr>
          <w:sz w:val="20"/>
          <w:szCs w:val="20"/>
          <w:color w:val="auto"/>
        </w:rPr>
      </w:pPr>
    </w:p>
    <w:p>
      <w:pPr>
        <w:ind w:left="1020" w:right="60" w:hanging="516"/>
        <w:spacing w:after="0" w:line="279" w:lineRule="auto"/>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39"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 our flexibility in planning for, or reacting to, changes in our business and our industries;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affect our competitiveness compared to our less leveraged competitors;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our exposure to both general and industry-specific adverse economic conditions;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 among other things, our ability to borrow additional funds and issue performance letters of credit.</w:t>
      </w:r>
    </w:p>
    <w:p>
      <w:pPr>
        <w:spacing w:after="0" w:line="150" w:lineRule="exact"/>
        <w:rPr>
          <w:sz w:val="20"/>
          <w:szCs w:val="20"/>
          <w:color w:val="auto"/>
        </w:rPr>
      </w:pPr>
    </w:p>
    <w:p>
      <w:pPr>
        <w:ind w:right="140" w:firstLine="512"/>
        <w:spacing w:after="0" w:line="279" w:lineRule="auto"/>
        <w:rPr>
          <w:sz w:val="20"/>
          <w:szCs w:val="20"/>
          <w:color w:val="auto"/>
        </w:rPr>
      </w:pPr>
      <w:r>
        <w:rPr>
          <w:rFonts w:ascii="Times New Roman" w:cs="Times New Roman" w:eastAsia="Times New Roman" w:hAnsi="Times New Roman"/>
          <w:sz w:val="12"/>
          <w:szCs w:val="12"/>
          <w:color w:val="auto"/>
        </w:rPr>
        <w:t>We and our subsidiaries also may be able to incur substantial additional indebtedness in the future. The terms of our revolving credit facility and the indenture under which our senior subordinated notes are issued limit, but do not prohibit, us or our subsidiaries from incurring additional indebtedness. If new indebtedness is added to our current debt levels, the related risks that we and our subsidiaries now face could intensify.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Terms and covenants in our financing arrangements limit, and other future financing agreements may limit, our ability to operate our business.</w:t>
      </w:r>
    </w:p>
    <w:p>
      <w:pPr>
        <w:spacing w:after="0" w:line="154" w:lineRule="exact"/>
        <w:rPr>
          <w:sz w:val="20"/>
          <w:szCs w:val="20"/>
          <w:color w:val="auto"/>
        </w:rPr>
      </w:pPr>
    </w:p>
    <w:p>
      <w:pPr>
        <w:ind w:right="100" w:firstLine="512"/>
        <w:spacing w:after="0" w:line="279" w:lineRule="auto"/>
        <w:rPr>
          <w:sz w:val="20"/>
          <w:szCs w:val="20"/>
          <w:color w:val="auto"/>
        </w:rPr>
      </w:pPr>
      <w:r>
        <w:rPr>
          <w:rFonts w:ascii="Times New Roman" w:cs="Times New Roman" w:eastAsia="Times New Roman" w:hAnsi="Times New Roman"/>
          <w:sz w:val="12"/>
          <w:szCs w:val="12"/>
          <w:color w:val="auto"/>
        </w:rPr>
        <w:t>The credit agreements governing our senior revolving credit facility and second lien credit facility, as well as the indenture governing our senior notes, contain, and any of our other future financing agreements may contain, terms and covenants imposing operating and financial restrictions on our business.</w:t>
      </w:r>
    </w:p>
    <w:p>
      <w:pPr>
        <w:spacing w:after="0" w:line="111" w:lineRule="exact"/>
        <w:rPr>
          <w:sz w:val="20"/>
          <w:szCs w:val="20"/>
          <w:color w:val="auto"/>
        </w:rPr>
      </w:pPr>
    </w:p>
    <w:p>
      <w:pPr>
        <w:ind w:firstLine="512"/>
        <w:spacing w:after="0" w:line="257" w:lineRule="auto"/>
        <w:rPr>
          <w:sz w:val="20"/>
          <w:szCs w:val="20"/>
          <w:color w:val="auto"/>
        </w:rPr>
      </w:pPr>
      <w:r>
        <w:rPr>
          <w:rFonts w:ascii="Times New Roman" w:cs="Times New Roman" w:eastAsia="Times New Roman" w:hAnsi="Times New Roman"/>
          <w:sz w:val="12"/>
          <w:szCs w:val="12"/>
          <w:color w:val="auto"/>
        </w:rPr>
        <w:t>For example, the maximum borrowing capacity under the ABL Amendment is determined by a formula and may fluctuate depending on the value of the collateral included in such formula at the time of determination. If the value of our collateral were to decrease, our borrowing capacity on which we are able to draw additional funds or issue letters of credit could be limited. In addition, the credit agreement governing our senior revolving credit facility requires us to satisfy a fixed charge coverage ratio under certain circumstances. If we fail to satisfy such covenant, we would be in default and the lenders (through the administrative agent or collateral agent, as applicable) could elect to declare all amounts outstanding to be immediately due and payable, enforce their interests in the collateral pledged and/or restrict our ability to make additional borrowings, as applicable. The covenants in the credit agreements governing our senior revolving credit facility and second lien credit facility, as well as the indenture governing our senior notes, subject to specified exceptions and to varying degrees, restrict our ability to, among other things:</w:t>
      </w:r>
    </w:p>
    <w:p>
      <w:pPr>
        <w:spacing w:after="0" w:line="125" w:lineRule="exact"/>
        <w:rPr>
          <w:sz w:val="20"/>
          <w:szCs w:val="20"/>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additional indebtedness;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incur, assume or permit to exist any liens;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sale and leaseback transactions;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operating and finance leases;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investments, loans and advancements;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 consolidate or reorganize with, or dispose of all or substantially all assets to, a third party;</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assets;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acquisitions;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dividends;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transactions with affiliates;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26" w:name="page27"/>
    <w:bookmarkEnd w:id="26"/>
    <w:p>
      <w:pPr>
        <w:ind w:left="1020" w:hanging="516"/>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prepay or redeem other indebtedness;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certain types of capital stock.</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These restrictions may interfere with our ability to obtain financings or to engage in other business activities, which could have a material adverse effect on our results of operations, cash flows or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Adverse capital and credit market conditions may affect our ability to access capital and meet liquidity needs.</w:t>
      </w:r>
    </w:p>
    <w:p>
      <w:pPr>
        <w:spacing w:after="0" w:line="154" w:lineRule="exact"/>
        <w:rPr>
          <w:sz w:val="20"/>
          <w:szCs w:val="20"/>
          <w:color w:val="auto"/>
        </w:rPr>
      </w:pPr>
    </w:p>
    <w:p>
      <w:pPr>
        <w:ind w:right="320" w:firstLine="512"/>
        <w:spacing w:after="0" w:line="279" w:lineRule="auto"/>
        <w:rPr>
          <w:sz w:val="20"/>
          <w:szCs w:val="20"/>
          <w:color w:val="auto"/>
        </w:rPr>
      </w:pPr>
      <w:r>
        <w:rPr>
          <w:rFonts w:ascii="Times New Roman" w:cs="Times New Roman" w:eastAsia="Times New Roman" w:hAnsi="Times New Roman"/>
          <w:sz w:val="12"/>
          <w:szCs w:val="12"/>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or refinancing on acceptable terms, or at all.</w:t>
      </w:r>
    </w:p>
    <w:p>
      <w:pPr>
        <w:spacing w:after="0" w:line="111" w:lineRule="exact"/>
        <w:rPr>
          <w:sz w:val="20"/>
          <w:szCs w:val="20"/>
          <w:color w:val="auto"/>
        </w:rPr>
      </w:pPr>
    </w:p>
    <w:p>
      <w:pPr>
        <w:ind w:right="60" w:firstLine="512"/>
        <w:spacing w:after="0" w:line="257" w:lineRule="auto"/>
        <w:rPr>
          <w:sz w:val="20"/>
          <w:szCs w:val="20"/>
          <w:color w:val="auto"/>
        </w:rPr>
      </w:pPr>
      <w:r>
        <w:rPr>
          <w:rFonts w:ascii="Times New Roman" w:cs="Times New Roman" w:eastAsia="Times New Roman" w:hAnsi="Times New Roman"/>
          <w:sz w:val="12"/>
          <w:szCs w:val="12"/>
          <w:color w:val="auto"/>
        </w:rPr>
        <w:t>We need liquidity to pay our operating and capital expenses, interest on our debt and remaining obligations on our new build program.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While we manage cash requirements for working capital and capital expenditure needs, unpredictability in cash collections and payments has required us in the past and may in the future require us to borrow on our line of credit from time to time to meet the needs of our operations.</w:t>
      </w:r>
    </w:p>
    <w:p>
      <w:pPr>
        <w:spacing w:after="0" w:line="125" w:lineRule="exact"/>
        <w:rPr>
          <w:sz w:val="20"/>
          <w:szCs w:val="20"/>
          <w:color w:val="auto"/>
        </w:rPr>
      </w:pPr>
    </w:p>
    <w:p>
      <w:pPr>
        <w:ind w:right="120" w:firstLine="512"/>
        <w:spacing w:after="0" w:line="256" w:lineRule="auto"/>
        <w:rPr>
          <w:sz w:val="20"/>
          <w:szCs w:val="20"/>
          <w:color w:val="auto"/>
        </w:rPr>
      </w:pPr>
      <w:r>
        <w:rPr>
          <w:rFonts w:ascii="Times New Roman" w:cs="Times New Roman" w:eastAsia="Times New Roman" w:hAnsi="Times New Roman"/>
          <w:sz w:val="12"/>
          <w:szCs w:val="12"/>
          <w:color w:val="auto"/>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 During the second quarter of 2024, Moody’s Investor Services changed our outlook from negative to stable and reaffirmed our corporate credit rating at B2. In the third quarter of 2024, S&amp;P Global Ratings upgraded our corporate credit rating from CCC+ to B- and reaffirmed our outlook as stable.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Regulatory requirements for derivative transactions could adversely impact our ability to hedge interest rate, currency or commodity risks.</w:t>
      </w:r>
    </w:p>
    <w:p>
      <w:pPr>
        <w:spacing w:after="0" w:line="154" w:lineRule="exact"/>
        <w:rPr>
          <w:sz w:val="20"/>
          <w:szCs w:val="20"/>
          <w:color w:val="auto"/>
        </w:rPr>
      </w:pPr>
    </w:p>
    <w:p>
      <w:pPr>
        <w:ind w:firstLine="512"/>
        <w:spacing w:after="0" w:line="254" w:lineRule="auto"/>
        <w:rPr>
          <w:sz w:val="20"/>
          <w:szCs w:val="20"/>
          <w:color w:val="auto"/>
        </w:rPr>
      </w:pPr>
      <w:r>
        <w:rPr>
          <w:rFonts w:ascii="Times New Roman" w:cs="Times New Roman" w:eastAsia="Times New Roman" w:hAnsi="Times New Roman"/>
          <w:sz w:val="12"/>
          <w:szCs w:val="12"/>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(“Dodd-Frank”) and regulations adopted by a number of U.S. federal regulatory agencies created a comprehensive statutory and regulatory framework for derivative transactions, including foreign currency and other over-the-counter derivative hedging transactions. While a number of provisions of Dodd-Frank have been implemented, certain key provisions have not yet been implemented or remain subject to uncertainty. Furthermore, certain provisions of Dodd-Frank may be modified or repealed in the future. Any substantial change in the financial regulatory environment could create additional new compliance costs for us or cause us to alter the manner in which we manage risk, which could have a materially adverse effect on our business. The rules adopted or to be adopted under Dodd-Frank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regulation under Dodd-Frank. The cost of our counterparties’ compliance will likely be passed on to customers such as ourselves, thus potentially decreasing the benefits to us of hedging transactions and potentially reducing our profitability.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foreign exchange risks, which could result in large cash losses.</w:t>
      </w:r>
    </w:p>
    <w:p>
      <w:pPr>
        <w:spacing w:after="0" w:line="154" w:lineRule="exact"/>
        <w:rPr>
          <w:sz w:val="20"/>
          <w:szCs w:val="20"/>
          <w:color w:val="auto"/>
        </w:rPr>
      </w:pPr>
    </w:p>
    <w:p>
      <w:pPr>
        <w:ind w:right="40" w:firstLine="512"/>
        <w:spacing w:after="0" w:line="265" w:lineRule="auto"/>
        <w:rPr>
          <w:sz w:val="20"/>
          <w:szCs w:val="20"/>
          <w:color w:val="auto"/>
        </w:rPr>
      </w:pPr>
      <w:r>
        <w:rPr>
          <w:rFonts w:ascii="Times New Roman" w:cs="Times New Roman" w:eastAsia="Times New Roman" w:hAnsi="Times New Roman"/>
          <w:sz w:val="12"/>
          <w:szCs w:val="12"/>
          <w:color w:val="auto"/>
        </w:rPr>
        <w:t>We are exposed to market risk associated with changes in foreign currency exchange rates. The primary foreign currencies to which the Company has exposure are the Bahraini Dinar and the Euro. We have unhedged foreign currency exposure related to the new inclined fall-pipe vessel for subsea rock installation build.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87"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color w:val="auto"/>
        </w:rPr>
        <w:t>revenues from, our foreign operations. Any increased costs or reduced revenues as a result of foreign currency fluctuations could affect our profits.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investments in, and extensions of payment terms for, privately financed projects could result in significant losses.</w:t>
      </w:r>
    </w:p>
    <w:p>
      <w:pPr>
        <w:spacing w:after="0" w:line="154" w:lineRule="exact"/>
        <w:rPr>
          <w:sz w:val="20"/>
          <w:szCs w:val="20"/>
          <w:color w:val="auto"/>
        </w:rPr>
      </w:pPr>
    </w:p>
    <w:p>
      <w:pPr>
        <w:ind w:firstLine="512"/>
        <w:spacing w:after="0" w:line="255" w:lineRule="auto"/>
        <w:rPr>
          <w:sz w:val="20"/>
          <w:szCs w:val="20"/>
          <w:color w:val="auto"/>
        </w:rPr>
      </w:pPr>
      <w:r>
        <w:rPr>
          <w:rFonts w:ascii="Times New Roman" w:cs="Times New Roman" w:eastAsia="Times New Roman" w:hAnsi="Times New Roman"/>
          <w:sz w:val="12"/>
          <w:szCs w:val="12"/>
          <w:color w:val="auto"/>
        </w:rPr>
        <w:t>We have participated and may continue to participate in privately financed projects that enable state and local governments and other customers to finance dredging, such as dredging of local navigable waterways and lakes, coastal protection and infrastructure projects. These projects typically include the facilitation of non-recourse financing and the provision of dredging, environmental, infrastructure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Risks Related to our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common stock is subject to restrictions on foreign ownership.</w:t>
      </w:r>
    </w:p>
    <w:p>
      <w:pPr>
        <w:spacing w:after="0" w:line="154" w:lineRule="exact"/>
        <w:rPr>
          <w:sz w:val="20"/>
          <w:szCs w:val="20"/>
          <w:color w:val="auto"/>
        </w:rPr>
      </w:pPr>
    </w:p>
    <w:p>
      <w:pPr>
        <w:ind w:right="20" w:firstLine="512"/>
        <w:spacing w:after="0" w:line="255" w:lineRule="auto"/>
        <w:rPr>
          <w:sz w:val="20"/>
          <w:szCs w:val="20"/>
          <w:color w:val="auto"/>
        </w:rPr>
      </w:pPr>
      <w:r>
        <w:rPr>
          <w:rFonts w:ascii="Times New Roman" w:cs="Times New Roman" w:eastAsia="Times New Roman" w:hAnsi="Times New Roman"/>
          <w:sz w:val="12"/>
          <w:szCs w:val="12"/>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they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Delaware law and our charter documents may impede or discourage a takeover that our stockholders may consider favorable.</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provisions of our certificate of incorporation and bylaws may deter, delay or prevent a third-party from acquiring us. These provisions include:</w:t>
      </w:r>
    </w:p>
    <w:p>
      <w:pPr>
        <w:spacing w:after="0" w:line="78" w:lineRule="exact"/>
        <w:rPr>
          <w:sz w:val="20"/>
          <w:szCs w:val="20"/>
          <w:color w:val="auto"/>
        </w:rPr>
      </w:pPr>
    </w:p>
    <w:p>
      <w:pPr>
        <w:ind w:left="1020" w:hanging="516"/>
        <w:spacing w:after="0"/>
        <w:tabs>
          <w:tab w:leader="none" w:pos="10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on the ability of stockholders to amend our charter documents, including stockholder supermajority voting requirements;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of stockholders to call special meetings;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requirements for nominations for election to the board of directors and for stockholder proposals; and</w:t>
      </w:r>
    </w:p>
    <w:p>
      <w:pPr>
        <w:spacing w:after="0" w:line="78" w:lineRule="exact"/>
        <w:rPr>
          <w:rFonts w:ascii="Times New Roman" w:cs="Times New Roman" w:eastAsia="Times New Roman" w:hAnsi="Times New Roman"/>
          <w:sz w:val="12"/>
          <w:szCs w:val="12"/>
          <w:color w:val="auto"/>
        </w:rPr>
      </w:pPr>
    </w:p>
    <w:p>
      <w:pPr>
        <w:ind w:left="1020" w:right="100" w:hanging="516"/>
        <w:spacing w:after="0" w:line="279" w:lineRule="auto"/>
        <w:tabs>
          <w:tab w:leader="none" w:pos="10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11" w:lineRule="exact"/>
        <w:rPr>
          <w:sz w:val="20"/>
          <w:szCs w:val="20"/>
          <w:color w:val="auto"/>
        </w:rPr>
      </w:pPr>
    </w:p>
    <w:p>
      <w:pPr>
        <w:ind w:right="20" w:firstLine="512"/>
        <w:spacing w:after="0" w:line="279" w:lineRule="auto"/>
        <w:rPr>
          <w:sz w:val="20"/>
          <w:szCs w:val="20"/>
          <w:color w:val="auto"/>
        </w:rPr>
      </w:pPr>
      <w:r>
        <w:rPr>
          <w:rFonts w:ascii="Times New Roman" w:cs="Times New Roman" w:eastAsia="Times New Roman" w:hAnsi="Times New Roman"/>
          <w:sz w:val="12"/>
          <w:szCs w:val="12"/>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11" w:lineRule="exact"/>
        <w:rPr>
          <w:sz w:val="20"/>
          <w:szCs w:val="20"/>
          <w:color w:val="auto"/>
        </w:rPr>
      </w:pPr>
    </w:p>
    <w:p>
      <w:pPr>
        <w:ind w:right="140" w:firstLine="512"/>
        <w:spacing w:after="0" w:line="279" w:lineRule="auto"/>
        <w:rPr>
          <w:sz w:val="20"/>
          <w:szCs w:val="20"/>
          <w:color w:val="auto"/>
        </w:rPr>
      </w:pPr>
      <w:r>
        <w:rPr>
          <w:rFonts w:ascii="Times New Roman" w:cs="Times New Roman" w:eastAsia="Times New Roman" w:hAnsi="Times New Roman"/>
          <w:sz w:val="12"/>
          <w:szCs w:val="12"/>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i w:val="1"/>
          <w:iCs w:val="1"/>
          <w:color w:val="auto"/>
        </w:rPr>
        <w:t>Our stockholders may not receive dividends because of restrictions in our debt agreements or Delaware law.</w:t>
      </w:r>
    </w:p>
    <w:p>
      <w:pPr>
        <w:spacing w:after="0" w:line="154"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Our ability to pay dividends is restricted by the agreements governing our debt, including our ABL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fluctuations in the market price of our common stock may affect the ability of holders to resell our common stock at prices that they find attractive.</w:t>
      </w:r>
    </w:p>
    <w:p>
      <w:pPr>
        <w:spacing w:after="0" w:line="154" w:lineRule="exact"/>
        <w:rPr>
          <w:sz w:val="20"/>
          <w:szCs w:val="20"/>
          <w:color w:val="auto"/>
        </w:rPr>
      </w:pPr>
    </w:p>
    <w:p>
      <w:pPr>
        <w:ind w:firstLine="512"/>
        <w:spacing w:after="0" w:line="279" w:lineRule="auto"/>
        <w:rPr>
          <w:sz w:val="20"/>
          <w:szCs w:val="20"/>
          <w:color w:val="auto"/>
        </w:rPr>
      </w:pPr>
      <w:r>
        <w:rPr>
          <w:rFonts w:ascii="Times New Roman" w:cs="Times New Roman" w:eastAsia="Times New Roman" w:hAnsi="Times New Roman"/>
          <w:sz w:val="12"/>
          <w:szCs w:val="12"/>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39" w:lineRule="exact"/>
        <w:rPr>
          <w:sz w:val="20"/>
          <w:szCs w:val="20"/>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market conditions;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variations in our operating results;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results that vary from the expectations of management, securities analysts and investors;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expectations as to our future financial performance;</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of strategic developments, significant contracts, acquisitions and other material events by us or our competitors;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operating and securities price performance of other companies that investors believe are comparable to us;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sales of our equity or equity-related securities;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economy and the financial markets;</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departures of key personnel;</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governmental regulations;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geopolitical conditions, such as acts or threats of terrorism, political instability, civil unrest or military conflicts.</w:t>
      </w:r>
    </w:p>
    <w:p>
      <w:pPr>
        <w:spacing w:after="0" w:line="150" w:lineRule="exact"/>
        <w:rPr>
          <w:sz w:val="20"/>
          <w:szCs w:val="20"/>
          <w:color w:val="auto"/>
        </w:rPr>
      </w:pPr>
    </w:p>
    <w:p>
      <w:pPr>
        <w:ind w:right="160" w:firstLine="512"/>
        <w:spacing w:after="0" w:line="279" w:lineRule="auto"/>
        <w:rPr>
          <w:sz w:val="20"/>
          <w:szCs w:val="20"/>
          <w:color w:val="auto"/>
        </w:rPr>
      </w:pPr>
      <w:r>
        <w:rPr>
          <w:rFonts w:ascii="Times New Roman" w:cs="Times New Roman" w:eastAsia="Times New Roman" w:hAnsi="Times New Roman"/>
          <w:sz w:val="12"/>
          <w:szCs w:val="12"/>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111" w:lineRule="exact"/>
        <w:rPr>
          <w:sz w:val="20"/>
          <w:szCs w:val="20"/>
          <w:color w:val="auto"/>
        </w:rPr>
      </w:pPr>
    </w:p>
    <w:p>
      <w:pPr>
        <w:ind w:right="180" w:firstLine="512"/>
        <w:spacing w:after="0" w:line="260" w:lineRule="auto"/>
        <w:rPr>
          <w:sz w:val="20"/>
          <w:szCs w:val="20"/>
          <w:color w:val="auto"/>
        </w:rPr>
      </w:pPr>
      <w:r>
        <w:rPr>
          <w:rFonts w:ascii="Times New Roman" w:cs="Times New Roman" w:eastAsia="Times New Roman" w:hAnsi="Times New Roman"/>
          <w:sz w:val="12"/>
          <w:szCs w:val="12"/>
          <w:color w:val="auto"/>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 Additionally, volatility or a lack of positive performance in our stock price may adversely affect our ability to retain key employees, many of whom are awarded equity securities, the value of which is dependent on the performance of our stock price.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General Risk Factors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methods of accounting for recognized revenue involve significant estimates and could result in a change in previously recorded revenue and profit.</w:t>
      </w:r>
    </w:p>
    <w:p>
      <w:pPr>
        <w:spacing w:after="0" w:line="154" w:lineRule="exact"/>
        <w:rPr>
          <w:sz w:val="20"/>
          <w:szCs w:val="20"/>
          <w:color w:val="auto"/>
        </w:rPr>
      </w:pPr>
    </w:p>
    <w:p>
      <w:pPr>
        <w:jc w:val="both"/>
        <w:ind w:firstLine="512"/>
        <w:spacing w:after="0" w:line="265" w:lineRule="auto"/>
        <w:rPr>
          <w:sz w:val="20"/>
          <w:szCs w:val="20"/>
          <w:color w:val="auto"/>
        </w:rPr>
      </w:pPr>
      <w:r>
        <w:rPr>
          <w:rFonts w:ascii="Times New Roman" w:cs="Times New Roman" w:eastAsia="Times New Roman" w:hAnsi="Times New Roman"/>
          <w:sz w:val="12"/>
          <w:szCs w:val="12"/>
          <w:color w:val="auto"/>
        </w:rPr>
        <w:t>We recognize revenue on our projects using generally accepted accounting principles in the United States (“GAAP”) including guidance from Revenue from Contracts with Customers, as amended (commonly referred to as ASC 606). The majority of our work is performed on a fixed-price basis. Contract revenue is recorded over time based on estimates which we develop from information known to us at the time of recording, but which may change. The cumulative impact of revisions to estimates is reflected in the period in which these changes are experienced or become known. Given the risks associated with the variables in these types of estimates, it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2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color w:val="auto"/>
        </w:rPr>
        <w:t>is possible for actual costs to vary from estimates previously made, which may result in reductions or reversals of previously recorded net revenues and profits.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current insurance coverage may not be adequate, and we may not be able to obtain insurance at acceptable rates, or at all.</w:t>
      </w:r>
    </w:p>
    <w:p>
      <w:pPr>
        <w:spacing w:after="0" w:line="154" w:lineRule="exact"/>
        <w:rPr>
          <w:sz w:val="20"/>
          <w:szCs w:val="20"/>
          <w:color w:val="auto"/>
        </w:rPr>
      </w:pPr>
    </w:p>
    <w:p>
      <w:pPr>
        <w:ind w:firstLine="512"/>
        <w:spacing w:after="0" w:line="256" w:lineRule="auto"/>
        <w:rPr>
          <w:sz w:val="20"/>
          <w:szCs w:val="20"/>
          <w:color w:val="auto"/>
        </w:rPr>
      </w:pPr>
      <w:r>
        <w:rPr>
          <w:rFonts w:ascii="Times New Roman" w:cs="Times New Roman" w:eastAsia="Times New Roman" w:hAnsi="Times New Roman"/>
          <w:sz w:val="12"/>
          <w:szCs w:val="12"/>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find, attract and retain skilled labor and key personnel, including governance personnel, our business, results of operations, cash flows or financial condition could be materially and adversely affected.</w:t>
      </w:r>
    </w:p>
    <w:p>
      <w:pPr>
        <w:spacing w:after="0" w:line="154" w:lineRule="exact"/>
        <w:rPr>
          <w:sz w:val="20"/>
          <w:szCs w:val="20"/>
          <w:color w:val="auto"/>
        </w:rPr>
      </w:pPr>
    </w:p>
    <w:p>
      <w:pPr>
        <w:ind w:right="60" w:firstLine="512"/>
        <w:spacing w:after="0" w:line="255" w:lineRule="auto"/>
        <w:rPr>
          <w:sz w:val="20"/>
          <w:szCs w:val="20"/>
          <w:color w:val="auto"/>
        </w:rPr>
      </w:pPr>
      <w:r>
        <w:rPr>
          <w:rFonts w:ascii="Times New Roman" w:cs="Times New Roman" w:eastAsia="Times New Roman" w:hAnsi="Times New Roman"/>
          <w:sz w:val="12"/>
          <w:szCs w:val="12"/>
          <w:color w:val="auto"/>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We have experienced, and may continue to experience, some difficulty finding skilled labor in the current labor shortage market.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spacing w:after="0" w:line="126" w:lineRule="exact"/>
        <w:rPr>
          <w:sz w:val="20"/>
          <w:szCs w:val="20"/>
          <w:color w:val="auto"/>
        </w:rPr>
      </w:pPr>
    </w:p>
    <w:p>
      <w:pPr>
        <w:ind w:right="160" w:firstLine="512"/>
        <w:spacing w:after="0" w:line="257" w:lineRule="auto"/>
        <w:rPr>
          <w:sz w:val="20"/>
          <w:szCs w:val="20"/>
          <w:color w:val="auto"/>
        </w:rPr>
      </w:pPr>
      <w:r>
        <w:rPr>
          <w:rFonts w:ascii="Times New Roman" w:cs="Times New Roman" w:eastAsia="Times New Roman" w:hAnsi="Times New Roman"/>
          <w:sz w:val="12"/>
          <w:szCs w:val="12"/>
          <w:color w:val="auto"/>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could be time-consuming, result in significant additional costs to us and could be disruptive of our operations and divert the time and attention of management and our employees away from our business operations and executing on our strategic plan. The unexpected loss of members of our board of directors or senior management team could be disruptive to our operations, jeopardize our ability to raise additional funding and have an adverse effect on our business. The failure of our directors or any new members of our board of directors or management to perform effectively could have a significant negative impact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Disruption, failure, data corruption, cyber-based attacks or security breaches of our IT systems could adversely affect our business and results of operations.</w:t>
      </w:r>
    </w:p>
    <w:p>
      <w:pPr>
        <w:spacing w:after="0" w:line="154" w:lineRule="exact"/>
        <w:rPr>
          <w:sz w:val="20"/>
          <w:szCs w:val="20"/>
          <w:color w:val="auto"/>
        </w:rPr>
      </w:pPr>
    </w:p>
    <w:p>
      <w:pPr>
        <w:ind w:firstLine="512"/>
        <w:spacing w:after="0" w:line="254" w:lineRule="auto"/>
        <w:rPr>
          <w:sz w:val="20"/>
          <w:szCs w:val="20"/>
          <w:color w:val="auto"/>
        </w:rPr>
      </w:pPr>
      <w:r>
        <w:rPr>
          <w:rFonts w:ascii="Times New Roman" w:cs="Times New Roman" w:eastAsia="Times New Roman" w:hAnsi="Times New Roman"/>
          <w:sz w:val="12"/>
          <w:szCs w:val="12"/>
          <w:color w:val="auto"/>
        </w:rPr>
        <w:t>We rely on information technology (“IT”) systems in order to achieve our business objectives, including to transmit and store electronic information, to capture knowledge of our business including vessel operation systems containing information about production, efficiency and vessel positioning, to conduct our accounting, financial and treasury activities, to store historical financial, project and proprietary information, to monitor our vessel maintenance and engine systems and to communicate within the organization and with customers, suppliers, partners and other third parties. Our portfolio of hardware and software products, solutions and services and our enterprise IT systems may be vulnerable to damage or disruption caused by circumstances beyond our control such as catastrophic events, power outages, natural disasters and computer system or network failures. The Company’s IT systems may also be subject to cybersecurity attacks including malware, other computer viruses or malicious software, spoofing or phishing email attacks, attempts to gain unauthorized access to our data, the unauthorized release, corruption or loss of our data, loss or damage to our data delivery systems and other electronic security breaches.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the loss of customers or suppliers and enforcement actions by regulatory agencies. A significant disruption or failure could have a material adverse effect on our business, operating results, cash flows or financial condition.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0" w:name="page31"/>
    <w:bookmarkEnd w:id="30"/>
    <w:p>
      <w:pPr>
        <w:ind w:firstLine="512"/>
        <w:spacing w:after="0" w:line="257" w:lineRule="auto"/>
        <w:rPr>
          <w:sz w:val="20"/>
          <w:szCs w:val="20"/>
          <w:color w:val="auto"/>
        </w:rPr>
      </w:pPr>
      <w:r>
        <w:rPr>
          <w:rFonts w:ascii="Times New Roman" w:cs="Times New Roman" w:eastAsia="Times New Roman" w:hAnsi="Times New Roman"/>
          <w:sz w:val="12"/>
          <w:szCs w:val="12"/>
          <w:color w:val="auto"/>
        </w:rPr>
        <w:t>In addition, on January 17, 2025, the U. S. Coast Guard released final rules, to be effective July 16, 2025, on maritime security regulations by establishing minimum cybersecurity requirements for U.S. flagged vessels. The final rule addresses current and emerging cybersecurity threats in the marine transportation systems by adding minimum cybersecurity requirements to help detect risks and respond to and recover from cybersecurity incidents. These include requirements to develop and maintain a Cybersecurity Plan, designate a Cybersecurity Officer, and take various measures to maintain cybersecurity within the marine transportation system. As we operate our vessels under the jurisdiction of the U.S. Coast Guard, we are subject to these new regulations. If we do not satisfactorily comply with the regulations, we may suffer penalties which could have a material adverse effect on our business, operating results, cash flows or financial condition.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Impairments to our goodwill or other intangible assets could negatively affect our financial condition and results of operations.</w:t>
      </w:r>
    </w:p>
    <w:p>
      <w:pPr>
        <w:spacing w:after="0" w:line="154" w:lineRule="exact"/>
        <w:rPr>
          <w:sz w:val="20"/>
          <w:szCs w:val="20"/>
          <w:color w:val="auto"/>
        </w:rPr>
      </w:pPr>
    </w:p>
    <w:p>
      <w:pPr>
        <w:ind w:right="60" w:firstLine="512"/>
        <w:spacing w:after="0" w:line="257" w:lineRule="auto"/>
        <w:rPr>
          <w:sz w:val="20"/>
          <w:szCs w:val="20"/>
          <w:color w:val="auto"/>
        </w:rPr>
      </w:pPr>
      <w:r>
        <w:rPr>
          <w:rFonts w:ascii="Times New Roman" w:cs="Times New Roman" w:eastAsia="Times New Roman" w:hAnsi="Times New Roman"/>
          <w:sz w:val="12"/>
          <w:szCs w:val="12"/>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154" w:lineRule="exact"/>
        <w:rPr>
          <w:sz w:val="20"/>
          <w:szCs w:val="20"/>
          <w:color w:val="auto"/>
        </w:rPr>
      </w:pPr>
    </w:p>
    <w:p>
      <w:pPr>
        <w:ind w:right="40" w:firstLine="512"/>
        <w:spacing w:after="0" w:line="261" w:lineRule="auto"/>
        <w:rPr>
          <w:sz w:val="20"/>
          <w:szCs w:val="20"/>
          <w:color w:val="auto"/>
        </w:rPr>
      </w:pPr>
      <w:r>
        <w:rPr>
          <w:rFonts w:ascii="Times New Roman" w:cs="Times New Roman" w:eastAsia="Times New Roman" w:hAnsi="Times New Roman"/>
          <w:sz w:val="12"/>
          <w:szCs w:val="12"/>
          <w:color w:val="auto"/>
        </w:rPr>
        <w:t>Our process of assessing, identifying and managing material risks from cybersecurity threats is integrated into our overall enterprise risk management (“ERM”) process. The audit committee of the board of directors (the “Audit Committee”) oversees our ERM framework, including cybersecurity and other information technology risks. This involves collaboration with key personnel, including the Chief Financial Officer (“CFO”), the Chief Information Security Officer (“CISO”), IT operational management and Internal Audit. We also have a cross-functional team led by the CISO, which meets weekly with a fixed agenda to discuss mitigation and action-items related to ERM cyber risk updates, cyber statistics dashboards and threat vectors. Our CISO has a comprehensive background in various enterprise-wide information technology and cybersecurity leadership roles within the global energy and oil and gas sectors and strategy consulting. The Audit Committee receives a report from our Director of Internal Audit on the ERM risk register at least three times a year.</w:t>
      </w:r>
    </w:p>
    <w:p>
      <w:pPr>
        <w:spacing w:after="0" w:line="123" w:lineRule="exact"/>
        <w:rPr>
          <w:sz w:val="20"/>
          <w:szCs w:val="20"/>
          <w:color w:val="auto"/>
        </w:rPr>
      </w:pPr>
    </w:p>
    <w:p>
      <w:pPr>
        <w:ind w:right="80" w:firstLine="512"/>
        <w:spacing w:after="0" w:line="260" w:lineRule="auto"/>
        <w:rPr>
          <w:sz w:val="20"/>
          <w:szCs w:val="20"/>
          <w:color w:val="auto"/>
        </w:rPr>
      </w:pPr>
      <w:r>
        <w:rPr>
          <w:rFonts w:ascii="Times New Roman" w:cs="Times New Roman" w:eastAsia="Times New Roman" w:hAnsi="Times New Roman"/>
          <w:sz w:val="12"/>
          <w:szCs w:val="12"/>
          <w:color w:val="auto"/>
        </w:rPr>
        <w:t>The CISO and Chief Legal Officer (“CLO”) are key members of management responsible for strategic cybersecurity leadership. They lead tactical threat assessment, keep an updated risk register and develop and maintain governance and procedures. The CISO reports to the CFO and presents at least annually to the Audit Committee and the full board of directors on cybersecurity processes. The CLO reports to the CEO, and to the Audit Committee and the full board of directors with regard to significant cybersecurity incidents, as further described below. Our CLO has specific training in cybersecurity awareness and holds a certificate of Cybersecurity Governance for the Board of Directors from the Massachusetts Institute of Technology Sloan School of Management.</w:t>
      </w:r>
    </w:p>
    <w:p>
      <w:pPr>
        <w:spacing w:after="0" w:line="122" w:lineRule="exact"/>
        <w:rPr>
          <w:sz w:val="20"/>
          <w:szCs w:val="20"/>
          <w:color w:val="auto"/>
        </w:rPr>
      </w:pPr>
    </w:p>
    <w:p>
      <w:pPr>
        <w:ind w:right="280" w:firstLine="512"/>
        <w:spacing w:after="0" w:line="265" w:lineRule="auto"/>
        <w:rPr>
          <w:sz w:val="20"/>
          <w:szCs w:val="20"/>
          <w:color w:val="auto"/>
        </w:rPr>
      </w:pPr>
      <w:r>
        <w:rPr>
          <w:rFonts w:ascii="Times New Roman" w:cs="Times New Roman" w:eastAsia="Times New Roman" w:hAnsi="Times New Roman"/>
          <w:sz w:val="12"/>
          <w:szCs w:val="12"/>
          <w:color w:val="auto"/>
        </w:rPr>
        <w:t>To help manage cybersecurity risks, we have implemented a cybersecurity program consisting of security risk assessments, testing, continuous surveillance, dynamic incident response services and business continuity planning. Our cybersecurity program utilizes the guidelines of the National Institute of Standards and Technology Cybersecurity Framework to define material risks and establish controls designed to protect, detect, respond to and recover from cybersecurity incidents. In addition, we engage consultants to assess our resilience against applicable practices and standards for our industry.</w:t>
      </w:r>
    </w:p>
    <w:p>
      <w:pPr>
        <w:spacing w:after="0" w:line="119" w:lineRule="exact"/>
        <w:rPr>
          <w:sz w:val="20"/>
          <w:szCs w:val="20"/>
          <w:color w:val="auto"/>
        </w:rPr>
      </w:pPr>
    </w:p>
    <w:p>
      <w:pPr>
        <w:ind w:right="20" w:firstLine="512"/>
        <w:spacing w:after="0" w:line="256" w:lineRule="auto"/>
        <w:rPr>
          <w:sz w:val="20"/>
          <w:szCs w:val="20"/>
          <w:color w:val="auto"/>
        </w:rPr>
      </w:pPr>
      <w:r>
        <w:rPr>
          <w:rFonts w:ascii="Times New Roman" w:cs="Times New Roman" w:eastAsia="Times New Roman" w:hAnsi="Times New Roman"/>
          <w:sz w:val="12"/>
          <w:szCs w:val="12"/>
          <w:color w:val="auto"/>
        </w:rPr>
        <w:t>We use threat intelligence, vulnerability scanning and security assessments to identify and classify risks and impact. We engage multiple third-party cybersecurity services and experts who collaborate with our internal team to provide a multilayered approach for real-time threat detection across cloud services, networks and endpoints. Our security measures are under continuous scrutiny, with regular enhancements and updates to our policies and operational protocols integrated with a feedback loop from tabletop exercises. Our business continuity and response plan outlines our plans, procedures and policies governing our general information security program. As part of our business continuity plan and security awareness, we conduct tabletop exercises and regular mandatory training for all employees. We have also implemented a cybersecurity enhancement program, focusing on special initiatives which include automating security incident response, including systems that can provide quicker business recovery from multi-geographical locations, strengthening the governance framework, upgrading the hybrid server environment on our vessels and improving wireless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1" w:name="page32"/>
    <w:bookmarkEnd w:id="31"/>
    <w:p>
      <w:pPr>
        <w:ind w:right="20"/>
        <w:spacing w:after="0" w:line="279" w:lineRule="auto"/>
        <w:rPr>
          <w:sz w:val="20"/>
          <w:szCs w:val="20"/>
          <w:color w:val="auto"/>
        </w:rPr>
      </w:pPr>
      <w:r>
        <w:rPr>
          <w:rFonts w:ascii="Times New Roman" w:cs="Times New Roman" w:eastAsia="Times New Roman" w:hAnsi="Times New Roman"/>
          <w:sz w:val="12"/>
          <w:szCs w:val="12"/>
          <w:color w:val="auto"/>
        </w:rPr>
        <w:t>communication system resilience. In addition, we have a process in place to manage cybersecurity risks associated with third-party service providers. We are in the process of imposing the new regulatory security requirements upon our suppliers, which will include: maintaining an effective security management program, abiding by information handling and asset management requirements and notifying us in the event of any known or suspected cyber incident.</w:t>
      </w:r>
    </w:p>
    <w:p>
      <w:pPr>
        <w:spacing w:after="0" w:line="111" w:lineRule="exact"/>
        <w:rPr>
          <w:sz w:val="20"/>
          <w:szCs w:val="20"/>
          <w:color w:val="auto"/>
        </w:rPr>
      </w:pPr>
    </w:p>
    <w:p>
      <w:pPr>
        <w:jc w:val="both"/>
        <w:ind w:right="300" w:firstLine="512"/>
        <w:spacing w:after="0" w:line="265" w:lineRule="auto"/>
        <w:rPr>
          <w:sz w:val="20"/>
          <w:szCs w:val="20"/>
          <w:color w:val="auto"/>
        </w:rPr>
      </w:pPr>
      <w:r>
        <w:rPr>
          <w:rFonts w:ascii="Times New Roman" w:cs="Times New Roman" w:eastAsia="Times New Roman" w:hAnsi="Times New Roman"/>
          <w:sz w:val="12"/>
          <w:szCs w:val="12"/>
          <w:color w:val="auto"/>
        </w:rPr>
        <w:t>The status of our cybersecurity is reported to senior management as needed, and formal incident reports are made for incidents with risk of significant impact to the Company. Such incidents are escalated to our Incident Response Team, led by the Business Continuity Coordinator (“BCC”), which follows our business continuity plan and includes executive summary for management, along with compliance reports to regulators within the required timeframes. The BCC is responsible for providing timely information to the CLO, who reports to the Audit Committee and the full board of directors.</w:t>
      </w:r>
    </w:p>
    <w:p>
      <w:pPr>
        <w:spacing w:after="0" w:line="119" w:lineRule="exact"/>
        <w:rPr>
          <w:sz w:val="20"/>
          <w:szCs w:val="20"/>
          <w:color w:val="auto"/>
        </w:rPr>
      </w:pPr>
    </w:p>
    <w:p>
      <w:pPr>
        <w:jc w:val="both"/>
        <w:ind w:right="80" w:firstLine="512"/>
        <w:spacing w:after="0" w:line="265" w:lineRule="auto"/>
        <w:rPr>
          <w:sz w:val="20"/>
          <w:szCs w:val="20"/>
          <w:color w:val="auto"/>
        </w:rPr>
      </w:pPr>
      <w:r>
        <w:rPr>
          <w:rFonts w:ascii="Times New Roman" w:cs="Times New Roman" w:eastAsia="Times New Roman" w:hAnsi="Times New Roman"/>
          <w:sz w:val="12"/>
          <w:szCs w:val="12"/>
          <w:color w:val="auto"/>
        </w:rPr>
        <w:t>Although we have not experienced any material cybersecurity events to date, new advanced cybersecurity threats and attack vectors could materially affect our business strategy, results of operation or financial condition, as further discussed in the risk factors “Disruption, failure, data corruption, cyber-based attacks or security breaches of our IT systems could adversely affect our business and results of operations” in Part I, Item 1A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owns or leases the properties described below. The Company believes that its existing facilities are adequate for its operations.</w:t>
      </w:r>
    </w:p>
    <w:p>
      <w:pPr>
        <w:spacing w:after="0" w:line="78" w:lineRule="exact"/>
        <w:rPr>
          <w:sz w:val="20"/>
          <w:szCs w:val="20"/>
          <w:color w:val="auto"/>
        </w:rPr>
      </w:pPr>
    </w:p>
    <w:p>
      <w:pPr>
        <w:ind w:right="60" w:firstLine="512"/>
        <w:spacing w:after="0" w:line="279" w:lineRule="auto"/>
        <w:rPr>
          <w:sz w:val="20"/>
          <w:szCs w:val="20"/>
          <w:color w:val="auto"/>
        </w:rPr>
      </w:pPr>
      <w:r>
        <w:rPr>
          <w:rFonts w:ascii="Times New Roman" w:cs="Times New Roman" w:eastAsia="Times New Roman" w:hAnsi="Times New Roman"/>
          <w:sz w:val="12"/>
          <w:szCs w:val="12"/>
          <w:color w:val="auto"/>
        </w:rPr>
        <w:t>The Company’s headquarters are located at 9811 Katy Freeway, Suite 1200, Houston, Texas 77024 with approximately 31,336 square feet of office space that it leases with a term expiring in 2030. As of December 31, 2024, the Company owns or leases the following additional facilities: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40" w:type="dxa"/>
            <w:vAlign w:val="bottom"/>
            <w:vMerge w:val="restart"/>
          </w:tcPr>
          <w:p>
            <w:pPr>
              <w:ind w:left="2040"/>
              <w:spacing w:after="0"/>
              <w:rPr>
                <w:sz w:val="20"/>
                <w:szCs w:val="20"/>
                <w:color w:val="auto"/>
              </w:rPr>
            </w:pPr>
            <w:r>
              <w:rPr>
                <w:rFonts w:ascii="Times New Roman" w:cs="Times New Roman" w:eastAsia="Times New Roman" w:hAnsi="Times New Roman"/>
                <w:sz w:val="10"/>
                <w:szCs w:val="10"/>
                <w:b w:val="1"/>
                <w:bCs w:val="1"/>
                <w:color w:val="auto"/>
              </w:rPr>
              <w:t>Location</w:t>
            </w:r>
          </w:p>
        </w:tc>
        <w:tc>
          <w:tcPr>
            <w:tcW w:w="220" w:type="dxa"/>
            <w:vAlign w:val="bottom"/>
          </w:tcPr>
          <w:p>
            <w:pPr>
              <w:spacing w:after="0"/>
              <w:rPr>
                <w:sz w:val="10"/>
                <w:szCs w:val="10"/>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0"/>
                <w:szCs w:val="10"/>
                <w:b w:val="1"/>
                <w:bCs w:val="1"/>
                <w:color w:val="auto"/>
              </w:rPr>
              <w:t>Type of</w:t>
            </w: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Size</w:t>
            </w:r>
          </w:p>
        </w:tc>
        <w:tc>
          <w:tcPr>
            <w:tcW w:w="28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Leased or</w:t>
            </w:r>
          </w:p>
        </w:tc>
        <w:tc>
          <w:tcPr>
            <w:tcW w:w="0" w:type="dxa"/>
            <w:vAlign w:val="bottom"/>
          </w:tcPr>
          <w:p>
            <w:pPr>
              <w:spacing w:after="0"/>
              <w:rPr>
                <w:sz w:val="1"/>
                <w:szCs w:val="1"/>
                <w:color w:val="auto"/>
              </w:rPr>
            </w:pPr>
          </w:p>
        </w:tc>
      </w:tr>
      <w:tr>
        <w:trPr>
          <w:trHeight w:val="115"/>
        </w:trPr>
        <w:tc>
          <w:tcPr>
            <w:tcW w:w="444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Facility</w:t>
            </w:r>
          </w:p>
        </w:tc>
        <w:tc>
          <w:tcPr>
            <w:tcW w:w="22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0" w:type="dxa"/>
            <w:vAlign w:val="bottom"/>
          </w:tcPr>
          <w:p>
            <w:pPr>
              <w:spacing w:after="0"/>
              <w:rPr>
                <w:sz w:val="1"/>
                <w:szCs w:val="1"/>
                <w:color w:val="auto"/>
              </w:rPr>
            </w:pPr>
          </w:p>
        </w:tc>
      </w:tr>
      <w:tr>
        <w:trPr>
          <w:trHeight w:val="133"/>
        </w:trPr>
        <w:tc>
          <w:tcPr>
            <w:tcW w:w="44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Staten Island, NY</w:t>
            </w:r>
          </w:p>
        </w:tc>
        <w:tc>
          <w:tcPr>
            <w:tcW w:w="220" w:type="dxa"/>
            <w:vAlign w:val="bottom"/>
            <w:shd w:val="clear" w:color="auto" w:fill="CFF0FC"/>
          </w:tcPr>
          <w:p>
            <w:pPr>
              <w:spacing w:after="0"/>
              <w:rPr>
                <w:sz w:val="11"/>
                <w:szCs w:val="11"/>
                <w:color w:val="auto"/>
              </w:rPr>
            </w:pPr>
          </w:p>
        </w:tc>
        <w:tc>
          <w:tcPr>
            <w:tcW w:w="1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Yard</w:t>
            </w:r>
          </w:p>
        </w:tc>
        <w:tc>
          <w:tcPr>
            <w:tcW w:w="162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176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2"/>
                <w:szCs w:val="12"/>
                <w:color w:val="auto"/>
              </w:rPr>
              <w:t>Acres</w:t>
            </w:r>
          </w:p>
        </w:tc>
        <w:tc>
          <w:tcPr>
            <w:tcW w:w="280" w:type="dxa"/>
            <w:vAlign w:val="bottom"/>
            <w:shd w:val="clear" w:color="auto" w:fill="CFF0FC"/>
          </w:tcPr>
          <w:p>
            <w:pPr>
              <w:spacing w:after="0"/>
              <w:rPr>
                <w:sz w:val="11"/>
                <w:szCs w:val="11"/>
                <w:color w:val="auto"/>
              </w:rPr>
            </w:pPr>
          </w:p>
        </w:tc>
        <w:tc>
          <w:tcPr>
            <w:tcW w:w="154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Morgan City, LA</w:t>
            </w:r>
          </w:p>
        </w:tc>
        <w:tc>
          <w:tcPr>
            <w:tcW w:w="220" w:type="dxa"/>
            <w:vAlign w:val="bottom"/>
          </w:tcPr>
          <w:p>
            <w:pPr>
              <w:spacing w:after="0"/>
              <w:rPr>
                <w:sz w:val="12"/>
                <w:szCs w:val="1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Yard</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6.4</w:t>
            </w:r>
          </w:p>
        </w:tc>
        <w:tc>
          <w:tcPr>
            <w:tcW w:w="1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Acres</w:t>
            </w:r>
          </w:p>
        </w:tc>
        <w:tc>
          <w:tcPr>
            <w:tcW w:w="2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4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Norfolk, VA</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Yard</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15.3</w:t>
            </w:r>
          </w:p>
        </w:tc>
        <w:tc>
          <w:tcPr>
            <w:tcW w:w="1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Acres</w:t>
            </w:r>
          </w:p>
        </w:tc>
        <w:tc>
          <w:tcPr>
            <w:tcW w:w="280" w:type="dxa"/>
            <w:vAlign w:val="bottom"/>
            <w:shd w:val="clear" w:color="auto" w:fill="CFF0FC"/>
          </w:tcPr>
          <w:p>
            <w:pPr>
              <w:spacing w:after="0"/>
              <w:rPr>
                <w:sz w:val="12"/>
                <w:szCs w:val="12"/>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Norfolk, VA</w:t>
            </w:r>
          </w:p>
        </w:tc>
        <w:tc>
          <w:tcPr>
            <w:tcW w:w="220" w:type="dxa"/>
            <w:vAlign w:val="bottom"/>
          </w:tcPr>
          <w:p>
            <w:pPr>
              <w:spacing w:after="0"/>
              <w:rPr>
                <w:sz w:val="12"/>
                <w:szCs w:val="1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Yard</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16.2</w:t>
            </w:r>
          </w:p>
        </w:tc>
        <w:tc>
          <w:tcPr>
            <w:tcW w:w="1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Acres</w:t>
            </w:r>
          </w:p>
        </w:tc>
        <w:tc>
          <w:tcPr>
            <w:tcW w:w="2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4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Little Rock, AR</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Yard</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11.8</w:t>
            </w:r>
          </w:p>
        </w:tc>
        <w:tc>
          <w:tcPr>
            <w:tcW w:w="1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Acres</w:t>
            </w:r>
          </w:p>
        </w:tc>
        <w:tc>
          <w:tcPr>
            <w:tcW w:w="280" w:type="dxa"/>
            <w:vAlign w:val="bottom"/>
            <w:shd w:val="clear" w:color="auto" w:fill="CFF0FC"/>
          </w:tcPr>
          <w:p>
            <w:pPr>
              <w:spacing w:after="0"/>
              <w:rPr>
                <w:sz w:val="12"/>
                <w:szCs w:val="12"/>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Cape Girardeau, MO</w:t>
            </w:r>
          </w:p>
        </w:tc>
        <w:tc>
          <w:tcPr>
            <w:tcW w:w="220" w:type="dxa"/>
            <w:vAlign w:val="bottom"/>
          </w:tcPr>
          <w:p>
            <w:pPr>
              <w:spacing w:after="0"/>
              <w:rPr>
                <w:sz w:val="12"/>
                <w:szCs w:val="1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Office</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726</w:t>
            </w:r>
          </w:p>
        </w:tc>
        <w:tc>
          <w:tcPr>
            <w:tcW w:w="1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Square feet</w:t>
            </w:r>
          </w:p>
        </w:tc>
        <w:tc>
          <w:tcPr>
            <w:tcW w:w="2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4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Cape Girardeau, MO</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Storage</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7,200</w:t>
            </w:r>
          </w:p>
        </w:tc>
        <w:tc>
          <w:tcPr>
            <w:tcW w:w="1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Square feet</w:t>
            </w:r>
          </w:p>
        </w:tc>
        <w:tc>
          <w:tcPr>
            <w:tcW w:w="280" w:type="dxa"/>
            <w:vAlign w:val="bottom"/>
            <w:shd w:val="clear" w:color="auto" w:fill="CFF0FC"/>
          </w:tcPr>
          <w:p>
            <w:pPr>
              <w:spacing w:after="0"/>
              <w:rPr>
                <w:sz w:val="12"/>
                <w:szCs w:val="12"/>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Cape Girardeau, MO</w:t>
            </w:r>
          </w:p>
        </w:tc>
        <w:tc>
          <w:tcPr>
            <w:tcW w:w="220" w:type="dxa"/>
            <w:vAlign w:val="bottom"/>
          </w:tcPr>
          <w:p>
            <w:pPr>
              <w:spacing w:after="0"/>
              <w:rPr>
                <w:sz w:val="12"/>
                <w:szCs w:val="1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Yard</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18.4</w:t>
            </w:r>
          </w:p>
        </w:tc>
        <w:tc>
          <w:tcPr>
            <w:tcW w:w="1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Acres</w:t>
            </w:r>
          </w:p>
        </w:tc>
        <w:tc>
          <w:tcPr>
            <w:tcW w:w="2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Owned</w:t>
            </w:r>
          </w:p>
        </w:tc>
        <w:tc>
          <w:tcPr>
            <w:tcW w:w="0" w:type="dxa"/>
            <w:vAlign w:val="bottom"/>
          </w:tcPr>
          <w:p>
            <w:pPr>
              <w:spacing w:after="0"/>
              <w:rPr>
                <w:sz w:val="1"/>
                <w:szCs w:val="1"/>
                <w:color w:val="auto"/>
              </w:rPr>
            </w:pPr>
          </w:p>
        </w:tc>
      </w:tr>
      <w:tr>
        <w:trPr>
          <w:trHeight w:val="14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Jacksonville, FL</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Office</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4,171</w:t>
            </w:r>
          </w:p>
        </w:tc>
        <w:tc>
          <w:tcPr>
            <w:tcW w:w="1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Square feet</w:t>
            </w:r>
          </w:p>
        </w:tc>
        <w:tc>
          <w:tcPr>
            <w:tcW w:w="280" w:type="dxa"/>
            <w:vAlign w:val="bottom"/>
            <w:shd w:val="clear" w:color="auto" w:fill="CFF0FC"/>
          </w:tcPr>
          <w:p>
            <w:pPr>
              <w:spacing w:after="0"/>
              <w:rPr>
                <w:sz w:val="12"/>
                <w:szCs w:val="12"/>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Oakbrook Terrace, IL</w:t>
            </w:r>
          </w:p>
        </w:tc>
        <w:tc>
          <w:tcPr>
            <w:tcW w:w="220" w:type="dxa"/>
            <w:vAlign w:val="bottom"/>
          </w:tcPr>
          <w:p>
            <w:pPr>
              <w:spacing w:after="0"/>
              <w:rPr>
                <w:sz w:val="13"/>
                <w:szCs w:val="1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Office</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30,448</w:t>
            </w:r>
          </w:p>
        </w:tc>
        <w:tc>
          <w:tcPr>
            <w:tcW w:w="1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Square feet</w:t>
            </w:r>
          </w:p>
        </w:tc>
        <w:tc>
          <w:tcPr>
            <w:tcW w:w="2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Leased</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154" w:lineRule="exact"/>
        <w:rPr>
          <w:sz w:val="20"/>
          <w:szCs w:val="20"/>
          <w:color w:val="auto"/>
        </w:rPr>
      </w:pPr>
    </w:p>
    <w:p>
      <w:pPr>
        <w:ind w:right="180" w:firstLine="512"/>
        <w:spacing w:after="0" w:line="279" w:lineRule="auto"/>
        <w:rPr>
          <w:sz w:val="20"/>
          <w:szCs w:val="20"/>
          <w:color w:val="auto"/>
        </w:rPr>
      </w:pPr>
      <w:r>
        <w:rPr>
          <w:rFonts w:ascii="Times New Roman" w:cs="Times New Roman" w:eastAsia="Times New Roman" w:hAnsi="Times New Roman"/>
          <w:sz w:val="12"/>
          <w:szCs w:val="12"/>
          <w:color w:val="auto"/>
        </w:rPr>
        <w:t>For additional discussion of certain litigation involving the Company, see the disclosures under “Legal proceedings and other contingencies” included within Note 12, “Commitments and contingencies,” to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Information</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Our common stock is traded under the symbol “GLDD” on the NASDAQ Global Market.</w:t>
      </w:r>
    </w:p>
    <w:p>
      <w:pPr>
        <w:spacing w:after="0" w:line="150" w:lineRule="exact"/>
        <w:rPr>
          <w:sz w:val="20"/>
          <w:szCs w:val="20"/>
          <w:color w:val="auto"/>
        </w:rPr>
      </w:pPr>
    </w:p>
    <w:p>
      <w:pPr>
        <w:ind w:right="100" w:firstLine="512"/>
        <w:spacing w:after="0" w:line="265" w:lineRule="auto"/>
        <w:rPr>
          <w:sz w:val="20"/>
          <w:szCs w:val="20"/>
          <w:color w:val="auto"/>
        </w:rPr>
      </w:pPr>
      <w:r>
        <w:rPr>
          <w:rFonts w:ascii="Times New Roman" w:cs="Times New Roman" w:eastAsia="Times New Roman" w:hAnsi="Times New Roman"/>
          <w:sz w:val="12"/>
          <w:szCs w:val="12"/>
          <w:color w:val="auto"/>
        </w:rPr>
        <w:t>The graph below shows the cumulative total return to stockholders of the Company’s common stock during a five year period ended December 31, 2024, the last trading day of our 2024 fiscal year, compared with the return on the NASDAQ Composite Index and a group of our peers which we use internally as a benchmark for our performance. The graph assumes initial investments of $100 each on December 31, 2019, in GLDD stock (assuming reinvestment of all dividends paid during the period), the NASDAQ Composite Index and the peer group companies,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82550</wp:posOffset>
            </wp:positionV>
            <wp:extent cx="4114800" cy="2983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480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12/31/2019</w:t>
            </w: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12/31/2020</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12/31/2021</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12/31/2022</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12/31/2023</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12/31/2024</w:t>
            </w:r>
          </w:p>
        </w:tc>
        <w:tc>
          <w:tcPr>
            <w:tcW w:w="120" w:type="dxa"/>
            <w:vAlign w:val="bottom"/>
          </w:tcPr>
          <w:p>
            <w:pPr>
              <w:spacing w:after="0"/>
              <w:rPr>
                <w:sz w:val="10"/>
                <w:szCs w:val="10"/>
                <w:color w:val="auto"/>
              </w:rPr>
            </w:pPr>
          </w:p>
        </w:tc>
      </w:tr>
      <w:tr>
        <w:trPr>
          <w:trHeight w:val="133"/>
        </w:trPr>
        <w:tc>
          <w:tcPr>
            <w:tcW w:w="43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Great Lakes Dredge &amp; Dock Corp</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100.00</w:t>
            </w:r>
          </w:p>
        </w:tc>
        <w:tc>
          <w:tcPr>
            <w:tcW w:w="440" w:type="dxa"/>
            <w:vAlign w:val="bottom"/>
            <w:gridSpan w:val="2"/>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116.24</w:t>
            </w:r>
          </w:p>
        </w:tc>
        <w:tc>
          <w:tcPr>
            <w:tcW w:w="42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138.75</w:t>
            </w:r>
          </w:p>
        </w:tc>
        <w:tc>
          <w:tcPr>
            <w:tcW w:w="42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52.52</w:t>
            </w:r>
          </w:p>
        </w:tc>
        <w:tc>
          <w:tcPr>
            <w:tcW w:w="36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67.78</w:t>
            </w:r>
          </w:p>
        </w:tc>
        <w:tc>
          <w:tcPr>
            <w:tcW w:w="36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99.65</w:t>
            </w:r>
          </w:p>
        </w:tc>
        <w:tc>
          <w:tcPr>
            <w:tcW w:w="120" w:type="dxa"/>
            <w:vAlign w:val="bottom"/>
            <w:shd w:val="clear" w:color="auto" w:fill="CFF0FC"/>
          </w:tcPr>
          <w:p>
            <w:pPr>
              <w:spacing w:after="0"/>
              <w:rPr>
                <w:sz w:val="11"/>
                <w:szCs w:val="11"/>
                <w:color w:val="auto"/>
              </w:rPr>
            </w:pP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Peer Average (see below)</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153.26</w:t>
            </w:r>
          </w:p>
        </w:tc>
        <w:tc>
          <w:tcPr>
            <w:tcW w:w="120" w:type="dxa"/>
            <w:vAlign w:val="bottom"/>
          </w:tcPr>
          <w:p>
            <w:pPr>
              <w:spacing w:after="0"/>
              <w:rPr>
                <w:sz w:val="12"/>
                <w:szCs w:val="12"/>
                <w:color w:val="auto"/>
              </w:rPr>
            </w:pPr>
          </w:p>
        </w:tc>
      </w:tr>
      <w:tr>
        <w:trPr>
          <w:trHeight w:val="14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NASDAQ Composite Index</w:t>
            </w: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143.64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174.36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116.65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167.30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215.22</w:t>
            </w:r>
          </w:p>
        </w:tc>
        <w:tc>
          <w:tcPr>
            <w:tcW w:w="120" w:type="dxa"/>
            <w:vAlign w:val="bottom"/>
            <w:shd w:val="clear" w:color="auto" w:fill="CFF0FC"/>
          </w:tcPr>
          <w:p>
            <w:pPr>
              <w:spacing w:after="0"/>
              <w:rPr>
                <w:sz w:val="12"/>
                <w:szCs w:val="12"/>
                <w:color w:val="auto"/>
              </w:rPr>
            </w:pPr>
          </w:p>
        </w:tc>
      </w:tr>
      <w:tr>
        <w:trPr>
          <w:trHeight w:val="432"/>
        </w:trPr>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31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4"/>
        </w:trPr>
        <w:tc>
          <w:tcPr>
            <w:tcW w:w="4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33" w:name="page34"/>
    <w:bookmarkEnd w:id="33"/>
    <w:p>
      <w:pPr>
        <w:ind w:left="500"/>
        <w:spacing w:after="0"/>
        <w:rPr>
          <w:sz w:val="20"/>
          <w:szCs w:val="20"/>
          <w:color w:val="auto"/>
        </w:rPr>
      </w:pPr>
      <w:r>
        <w:rPr>
          <w:rFonts w:ascii="Times New Roman" w:cs="Times New Roman" w:eastAsia="Times New Roman" w:hAnsi="Times New Roman"/>
          <w:sz w:val="12"/>
          <w:szCs w:val="12"/>
          <w:color w:val="auto"/>
        </w:rPr>
        <w:t>The peer group in the graph above is composed of the following member companies:</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7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180" w:type="dxa"/>
            <w:vAlign w:val="bottom"/>
          </w:tcPr>
          <w:p>
            <w:pPr>
              <w:spacing w:after="0"/>
              <w:rPr>
                <w:sz w:val="10"/>
                <w:szCs w:val="10"/>
                <w:color w:val="auto"/>
              </w:rPr>
            </w:pPr>
          </w:p>
        </w:tc>
        <w:tc>
          <w:tcPr>
            <w:tcW w:w="21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0"/>
                <w:szCs w:val="10"/>
                <w:b w:val="1"/>
                <w:bCs w:val="1"/>
                <w:color w:val="auto"/>
              </w:rPr>
              <w:t>Ticker</w:t>
            </w:r>
          </w:p>
        </w:tc>
      </w:tr>
      <w:tr>
        <w:trPr>
          <w:trHeight w:val="133"/>
        </w:trPr>
        <w:tc>
          <w:tcPr>
            <w:tcW w:w="78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Ameresco</w:t>
            </w:r>
          </w:p>
        </w:tc>
        <w:tc>
          <w:tcPr>
            <w:tcW w:w="18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AMRC</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Argan, Inc.</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AGX</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Badger Infrastructure Solutions Ltd.</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BADFF</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Construction Partners Inc</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ROAD</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Forum Energy Technologies, Inc.</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FET</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Helix Energy Solutions Group, Inc.</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HLX</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KLX Energy Services Holdings, Inc.</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KLXE</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Limbach Holdings</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LMB</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Logistec Corporation</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LGT</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Matrix Service Company</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MTRX</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Mistras Group</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MG</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Northwest Pipe Company</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NWPX</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NPK International Inc.</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NPKI</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NV5 Global Inc</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NVEE</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Oil States International, Inc.</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OIS</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Orion Marine Group, Inc.</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ORN</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ProPetro Holding Corp.</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PUMP</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Sterling Construction Company, Inc.</w:t>
            </w:r>
          </w:p>
        </w:tc>
        <w:tc>
          <w:tcPr>
            <w:tcW w:w="1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STRL</w:t>
            </w:r>
          </w:p>
        </w:tc>
      </w:tr>
      <w:tr>
        <w:trPr>
          <w:trHeight w:val="144"/>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Team, Inc.</w:t>
            </w:r>
          </w:p>
        </w:tc>
        <w:tc>
          <w:tcPr>
            <w:tcW w:w="18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TISI</w:t>
            </w:r>
          </w:p>
        </w:tc>
      </w:tr>
      <w:tr>
        <w:trPr>
          <w:trHeight w:val="155"/>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Tidewater Inc.</w:t>
            </w:r>
          </w:p>
        </w:tc>
        <w:tc>
          <w:tcPr>
            <w:tcW w:w="18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TDW</w:t>
            </w:r>
          </w:p>
        </w:tc>
      </w:tr>
    </w:tbl>
    <w:p>
      <w:pPr>
        <w:spacing w:after="0" w:line="95" w:lineRule="exact"/>
        <w:rPr>
          <w:sz w:val="20"/>
          <w:szCs w:val="20"/>
          <w:color w:val="auto"/>
        </w:rPr>
      </w:pPr>
    </w:p>
    <w:p>
      <w:pPr>
        <w:ind w:right="60" w:firstLine="512"/>
        <w:spacing w:after="0" w:line="279" w:lineRule="auto"/>
        <w:rPr>
          <w:sz w:val="20"/>
          <w:szCs w:val="20"/>
          <w:color w:val="auto"/>
        </w:rPr>
      </w:pPr>
      <w:r>
        <w:rPr>
          <w:rFonts w:ascii="Times New Roman" w:cs="Times New Roman" w:eastAsia="Times New Roman" w:hAnsi="Times New Roman"/>
          <w:sz w:val="12"/>
          <w:szCs w:val="12"/>
          <w:color w:val="auto"/>
        </w:rPr>
        <w:t>Given the usage of this peer group for compensation purposes and the fact that each peer is a capital-intensive business, the Company deems it appropriate to also use this peer group for showing the comparative cumulative total return to stockholders of Great Lakes.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Holders of Record</w:t>
      </w:r>
    </w:p>
    <w:p>
      <w:pPr>
        <w:spacing w:after="0" w:line="82" w:lineRule="exact"/>
        <w:rPr>
          <w:sz w:val="20"/>
          <w:szCs w:val="20"/>
          <w:color w:val="auto"/>
        </w:rPr>
      </w:pPr>
    </w:p>
    <w:p>
      <w:pPr>
        <w:ind w:right="340" w:firstLine="512"/>
        <w:spacing w:after="0" w:line="279" w:lineRule="auto"/>
        <w:rPr>
          <w:sz w:val="20"/>
          <w:szCs w:val="20"/>
          <w:color w:val="auto"/>
        </w:rPr>
      </w:pPr>
      <w:r>
        <w:rPr>
          <w:rFonts w:ascii="Times New Roman" w:cs="Times New Roman" w:eastAsia="Times New Roman" w:hAnsi="Times New Roman"/>
          <w:sz w:val="12"/>
          <w:szCs w:val="12"/>
          <w:color w:val="auto"/>
        </w:rPr>
        <w:t>As of February 17, 2025, the Company had approximately 16 shareholders of record of the Company’s common stock. A substantial number of holders of the Company’s common stock are “street name” or beneficial holders, whose shares are held of record by banks, brokers and other financial institutions.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82"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did not repurchase any shares of its common stock during the quarter ended December 31,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6. [Reserved]</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right="180" w:firstLine="512"/>
        <w:spacing w:after="0" w:line="279" w:lineRule="auto"/>
        <w:rPr>
          <w:sz w:val="20"/>
          <w:szCs w:val="20"/>
          <w:color w:val="auto"/>
        </w:rPr>
      </w:pPr>
      <w:r>
        <w:rPr>
          <w:rFonts w:ascii="Times New Roman" w:cs="Times New Roman" w:eastAsia="Times New Roman" w:hAnsi="Times New Roman"/>
          <w:sz w:val="12"/>
          <w:szCs w:val="12"/>
          <w:color w:val="auto"/>
        </w:rPr>
        <w:t>Great Lakes is the largest provider of dredging services in the United States which is complemented with a long history of performing significant international projects. The Company is also fully engaged in expanding its core business into the offshore energy industry. The Company operates in one operating segment, which is also the Company’s one reportable segment and reporting unit.</w:t>
      </w:r>
    </w:p>
    <w:p>
      <w:pPr>
        <w:spacing w:after="0" w:line="111" w:lineRule="exact"/>
        <w:rPr>
          <w:sz w:val="20"/>
          <w:szCs w:val="20"/>
          <w:color w:val="auto"/>
        </w:rPr>
      </w:pPr>
    </w:p>
    <w:p>
      <w:pPr>
        <w:ind w:firstLine="512"/>
        <w:spacing w:after="0" w:line="254" w:lineRule="auto"/>
        <w:rPr>
          <w:sz w:val="20"/>
          <w:szCs w:val="20"/>
          <w:color w:val="auto"/>
        </w:rPr>
      </w:pPr>
      <w:r>
        <w:rPr>
          <w:rFonts w:ascii="Times New Roman" w:cs="Times New Roman" w:eastAsia="Times New Roman" w:hAnsi="Times New Roman"/>
          <w:sz w:val="12"/>
          <w:szCs w:val="12"/>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w:t>
      </w:r>
      <w:r>
        <w:rPr>
          <w:rFonts w:ascii="Times New Roman" w:cs="Times New Roman" w:eastAsia="Times New Roman" w:hAnsi="Times New Roman"/>
          <w:sz w:val="12"/>
          <w:szCs w:val="12"/>
          <w:color w:val="0000FF"/>
        </w:rPr>
        <w:t>.</w:t>
      </w:r>
      <w:r>
        <w:rPr>
          <w:rFonts w:ascii="Times New Roman" w:cs="Times New Roman" w:eastAsia="Times New Roman" w:hAnsi="Times New Roman"/>
          <w:sz w:val="12"/>
          <w:szCs w:val="12"/>
          <w:color w:val="auto"/>
        </w:rPr>
        <w:t xml:space="preserve"> 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generally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or severe erosion and drive the need for maintenance and coastal protection dredging. Rivers &amp; lakes dredging and related operations typically consist of lake and river dredging, flood control dredging, inland levee and construction dredging, environmental restoration and habitat improvement and other marine construction projects.</w:t>
      </w:r>
    </w:p>
    <w:p>
      <w:pPr>
        <w:spacing w:after="0" w:line="126" w:lineRule="exact"/>
        <w:rPr>
          <w:sz w:val="20"/>
          <w:szCs w:val="20"/>
          <w:color w:val="auto"/>
        </w:rPr>
      </w:pPr>
    </w:p>
    <w:p>
      <w:pPr>
        <w:ind w:right="120" w:firstLine="512"/>
        <w:spacing w:after="0" w:line="265" w:lineRule="auto"/>
        <w:rPr>
          <w:sz w:val="20"/>
          <w:szCs w:val="20"/>
          <w:color w:val="auto"/>
        </w:rPr>
      </w:pPr>
      <w:r>
        <w:rPr>
          <w:rFonts w:ascii="Times New Roman" w:cs="Times New Roman" w:eastAsia="Times New Roman" w:hAnsi="Times New Roman"/>
          <w:sz w:val="12"/>
          <w:szCs w:val="12"/>
          <w:color w:val="auto"/>
        </w:rPr>
        <w:t>The Company’s bid market is defined as the aggregate dollar value of domestic dredging projects on which we bid or could have bid if not for capacity constraints or other considerations (“bid market”). We experienced an average combined bid market share in the U.S. of 31% over the three-year period ended December 31, 2024, including 28%, 59%, 19% and 16% of the domestic capital, coastal protection, maintenance and rivers &amp; lakes sectors, respectively.</w:t>
      </w:r>
    </w:p>
    <w:p>
      <w:pPr>
        <w:spacing w:after="0" w:line="119" w:lineRule="exact"/>
        <w:rPr>
          <w:sz w:val="20"/>
          <w:szCs w:val="20"/>
          <w:color w:val="auto"/>
        </w:rPr>
      </w:pPr>
    </w:p>
    <w:p>
      <w:pPr>
        <w:ind w:right="80" w:firstLine="512"/>
        <w:spacing w:after="0" w:line="257" w:lineRule="auto"/>
        <w:rPr>
          <w:sz w:val="20"/>
          <w:szCs w:val="20"/>
          <w:color w:val="auto"/>
        </w:rPr>
      </w:pPr>
      <w:r>
        <w:rPr>
          <w:rFonts w:ascii="Times New Roman" w:cs="Times New Roman" w:eastAsia="Times New Roman" w:hAnsi="Times New Roman"/>
          <w:sz w:val="12"/>
          <w:szCs w:val="12"/>
          <w:color w:val="auto"/>
        </w:rPr>
        <w:t>The Company’s largest domestic customer is the U.S. Army Corps of Engineers (the “Corps”), which has responsibility for federally funded projects related to navigation and flood control of U.S. waterways. Multi-jurisdictional cost sharing arrangements allow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our customer. In 2024, our revenues earned from contracts with federal government agencies were approximately 57% of total revenue, down from the average of the three-year period ended December 31, 2023 of 74%. The decrease in the federal government revenue percentage is a result of additional revenues from state and local governments and private customers during 2024.</w:t>
      </w:r>
    </w:p>
    <w:p>
      <w:pPr>
        <w:spacing w:after="0" w:line="125"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The Company’s fleet, which includes 16 dredges, 13 material transportation barges, one drillboat, and numerous other support vessels, is the largest and most diverse fleet of any U.S. dredging company. Our fleet of dredging equipment can be utilized on one or many types of work and in various geographic locations. This flexible approach to our fleet utilization, driven by the project scope and equipment, enables us to move equipment in response to changes in demand for dredging services to take advantage of the most attractive opportunities.</w:t>
      </w:r>
    </w:p>
    <w:p>
      <w:pPr>
        <w:spacing w:after="0" w:line="119" w:lineRule="exact"/>
        <w:rPr>
          <w:sz w:val="20"/>
          <w:szCs w:val="20"/>
          <w:color w:val="auto"/>
        </w:rPr>
      </w:pPr>
    </w:p>
    <w:p>
      <w:pPr>
        <w:ind w:right="40" w:firstLine="512"/>
        <w:spacing w:after="0" w:line="257" w:lineRule="auto"/>
        <w:rPr>
          <w:sz w:val="20"/>
          <w:szCs w:val="20"/>
          <w:color w:val="auto"/>
        </w:rPr>
      </w:pPr>
      <w:r>
        <w:rPr>
          <w:rFonts w:ascii="Times New Roman" w:cs="Times New Roman" w:eastAsia="Times New Roman" w:hAnsi="Times New Roman"/>
          <w:sz w:val="12"/>
          <w:szCs w:val="12"/>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and/or repairs. The Company did not commence any regulatory dry dock inspections during the fourth quarter of 2024, but did return to work the vessel that was dry docked for regulatory inspections as of September 30, 2024. During the fourth quarter of 2023, the Company returned to work the vessel that was dry docked for regulatory inspections as of September 30, 2023.The Company experienced regulatory dry dock inspections on 4 dredges in both 2024 and 2023.</w:t>
      </w:r>
    </w:p>
    <w:p>
      <w:pPr>
        <w:spacing w:after="0" w:line="125" w:lineRule="exact"/>
        <w:rPr>
          <w:sz w:val="20"/>
          <w:szCs w:val="20"/>
          <w:color w:val="auto"/>
        </w:rPr>
      </w:pPr>
    </w:p>
    <w:p>
      <w:pPr>
        <w:ind w:right="100" w:firstLine="512"/>
        <w:spacing w:after="0" w:line="279" w:lineRule="auto"/>
        <w:rPr>
          <w:sz w:val="20"/>
          <w:szCs w:val="20"/>
          <w:color w:val="auto"/>
        </w:rPr>
      </w:pPr>
      <w:r>
        <w:rPr>
          <w:rFonts w:ascii="Times New Roman" w:cs="Times New Roman" w:eastAsia="Times New Roman" w:hAnsi="Times New Roman"/>
          <w:sz w:val="12"/>
          <w:szCs w:val="12"/>
          <w:color w:val="auto"/>
        </w:rPr>
        <w:t>As of the end of the fourth quarter of 2024, the Company had one dredge cold stacked. We expect this cold stacked equipment can be easily reactivated when market conditions are favorable for the Company. During 2024, the Company began the reactivation of one of the previously cold stacked vessels in anticipation of commencing a contract in 2025.</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12"/>
          <w:szCs w:val="12"/>
          <w:color w:val="auto"/>
        </w:rPr>
        <w:t>While the Company continues to reinvest in our core dredging business and renew our dredging fleet, we remain steadfast in our commitment to executing a long-term strategy that maximizes growth opportunities for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w:t>
      </w:r>
    </w:p>
    <w:p>
      <w:pPr>
        <w:spacing w:after="0" w:line="137" w:lineRule="exact"/>
        <w:rPr>
          <w:sz w:val="20"/>
          <w:szCs w:val="20"/>
          <w:color w:val="auto"/>
        </w:rPr>
      </w:pPr>
    </w:p>
    <w:p>
      <w:pPr>
        <w:ind w:right="60" w:firstLine="512"/>
        <w:spacing w:after="0" w:line="261" w:lineRule="auto"/>
        <w:rPr>
          <w:sz w:val="20"/>
          <w:szCs w:val="20"/>
          <w:color w:val="auto"/>
        </w:rPr>
      </w:pPr>
      <w:r>
        <w:rPr>
          <w:rFonts w:ascii="Times New Roman" w:cs="Times New Roman" w:eastAsia="Times New Roman" w:hAnsi="Times New Roman"/>
          <w:sz w:val="12"/>
          <w:szCs w:val="12"/>
          <w:color w:val="auto"/>
        </w:rPr>
        <w:t xml:space="preserve">We believe that Great Lakes has established a unique business position with our subsea rock installation (“SRI”) vessel,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the first and only Jones Act SRI vessel being constructed in the United States, targeting the offshore wind, oil and gas and telecommunication industries, both domestically and internationally.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has secured offshore wind rock placement contracts for Equinor’s Empire Wind 1 and Ørsted’s Sunrise Wind projects to protect foundations and cables. In addition, during the fourth quarter, we signed a vessel reservation agreement for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for another wind project in the United States. All three of these projects are fully permitted and we believe will not be directly impacted by the President’s Executive Order pausing issuance of new offshore wind leases and permits.</w:t>
      </w:r>
    </w:p>
    <w:p>
      <w:pPr>
        <w:spacing w:after="0" w:line="122"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 xml:space="preserve">Despite the Executive Order signed by President Trump earlier this year pausing the issuance of new wind leases and permits, we believe offshore wind remains an important part of the array of technologies required for the U.S. to achieve future energy independence. The latest BloombergNEF offshore wind market outlook shows global offshore wind expected to grow tenfold by 2040 with a forecast exceeding 700GW of installed power. In addition, according to industry sources, market expectations for telecommunication and oil and gas scour protection projects globally are estimated to require the capacity of approximately 10 rock placement vessels of </w:t>
      </w:r>
      <w:r>
        <w:rPr>
          <w:rFonts w:ascii="Times New Roman" w:cs="Times New Roman" w:eastAsia="Times New Roman" w:hAnsi="Times New Roman"/>
          <w:sz w:val="12"/>
          <w:szCs w:val="12"/>
          <w:i w:val="1"/>
          <w:iCs w:val="1"/>
          <w:color w:val="auto"/>
        </w:rPr>
        <w:t>Acadia’s</w:t>
      </w:r>
      <w:r>
        <w:rPr>
          <w:rFonts w:ascii="Times New Roman" w:cs="Times New Roman" w:eastAsia="Times New Roman" w:hAnsi="Times New Roman"/>
          <w:sz w:val="12"/>
          <w:szCs w:val="12"/>
          <w:color w:val="auto"/>
        </w:rPr>
        <w:t xml:space="preserve"> class. We believe there is an undersupply of SRI vessels and we are pursuing opportunities in a number of markets, which are expected to provide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with work planned for 2026 and beyond.</w:t>
      </w:r>
    </w:p>
    <w:p>
      <w:pPr>
        <w:spacing w:after="0" w:line="120" w:lineRule="exact"/>
        <w:rPr>
          <w:sz w:val="20"/>
          <w:szCs w:val="20"/>
          <w:color w:val="auto"/>
        </w:rPr>
      </w:pPr>
    </w:p>
    <w:p>
      <w:pPr>
        <w:ind w:right="220" w:firstLine="512"/>
        <w:spacing w:after="0" w:line="266" w:lineRule="auto"/>
        <w:rPr>
          <w:sz w:val="20"/>
          <w:szCs w:val="20"/>
          <w:color w:val="auto"/>
        </w:rPr>
      </w:pPr>
      <w:r>
        <w:rPr>
          <w:rFonts w:ascii="Times New Roman" w:cs="Times New Roman" w:eastAsia="Times New Roman" w:hAnsi="Times New Roman"/>
          <w:sz w:val="12"/>
          <w:szCs w:val="12"/>
          <w:color w:val="auto"/>
        </w:rPr>
        <w:t xml:space="preserve">In addition to targeting domestic offshore wind projects,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is also well suited for work outside of U.S. offshore wind and over the past year we have been broadening our target markets for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to include international offshore wind projects, as well as projects to protect critical subsea infrastructure such as oil and gas pipelines and telecommunication and power cables. These additional markets pave the way for the rebranding of our offshore wind division to Offshore Energy. Entering the Offshore Energy market offers us the opportunity to diversify our client base, enter different markets and grow our bottom line.</w:t>
      </w:r>
    </w:p>
    <w:p>
      <w:pPr>
        <w:spacing w:after="0" w:line="119" w:lineRule="exact"/>
        <w:rPr>
          <w:sz w:val="20"/>
          <w:szCs w:val="20"/>
          <w:color w:val="auto"/>
        </w:rPr>
      </w:pPr>
    </w:p>
    <w:p>
      <w:pPr>
        <w:ind w:right="140" w:firstLine="512"/>
        <w:spacing w:after="0" w:line="279" w:lineRule="auto"/>
        <w:rPr>
          <w:sz w:val="20"/>
          <w:szCs w:val="20"/>
          <w:color w:val="auto"/>
        </w:rPr>
      </w:pPr>
      <w:r>
        <w:rPr>
          <w:rFonts w:ascii="Times New Roman" w:cs="Times New Roman" w:eastAsia="Times New Roman" w:hAnsi="Times New Roman"/>
          <w:sz w:val="12"/>
          <w:szCs w:val="12"/>
          <w:color w:val="auto"/>
        </w:rPr>
        <w:t>We expect to continue to build our offshore energy capabilities, bid on SRI projects and position the Company for growth in the offshore energy markets, as many of our European competitors have done in the international offshore energy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Revenues</w:t>
      </w:r>
    </w:p>
    <w:p>
      <w:pPr>
        <w:spacing w:after="0" w:line="82" w:lineRule="exact"/>
        <w:rPr>
          <w:sz w:val="20"/>
          <w:szCs w:val="20"/>
          <w:color w:val="auto"/>
        </w:rPr>
      </w:pPr>
    </w:p>
    <w:p>
      <w:pPr>
        <w:ind w:right="400" w:firstLine="512"/>
        <w:spacing w:after="0" w:line="279" w:lineRule="auto"/>
        <w:rPr>
          <w:sz w:val="20"/>
          <w:szCs w:val="20"/>
          <w:color w:val="auto"/>
        </w:rPr>
      </w:pPr>
      <w:r>
        <w:rPr>
          <w:rFonts w:ascii="Times New Roman" w:cs="Times New Roman" w:eastAsia="Times New Roman" w:hAnsi="Times New Roman"/>
          <w:sz w:val="12"/>
          <w:szCs w:val="12"/>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spacing w:after="0" w:line="111" w:lineRule="exact"/>
        <w:rPr>
          <w:sz w:val="20"/>
          <w:szCs w:val="20"/>
          <w:color w:val="auto"/>
        </w:rPr>
      </w:pPr>
    </w:p>
    <w:p>
      <w:pPr>
        <w:ind w:right="60" w:firstLine="512"/>
        <w:spacing w:after="0" w:line="254" w:lineRule="auto"/>
        <w:rPr>
          <w:sz w:val="20"/>
          <w:szCs w:val="20"/>
          <w:color w:val="auto"/>
        </w:rPr>
      </w:pPr>
      <w:r>
        <w:rPr>
          <w:rFonts w:ascii="Times New Roman" w:cs="Times New Roman" w:eastAsia="Times New Roman" w:hAnsi="Times New Roman"/>
          <w:sz w:val="12"/>
          <w:szCs w:val="12"/>
          <w:color w:val="auto"/>
        </w:rPr>
        <w:t>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We capitalize certain pre-contract and pre-construction costs, and defer recognition over the life of the contract. Our performance obligations are satisfied over time and revenue is recognized using contract fulfillment costs incurred to date compared to total estimated costs at completion, also known as cost-to-cost, to measure progress towards completion. 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our contracts are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p>
      <w:pPr>
        <w:spacing w:after="0" w:line="82" w:lineRule="exact"/>
        <w:rPr>
          <w:sz w:val="20"/>
          <w:szCs w:val="20"/>
          <w:color w:val="auto"/>
        </w:rPr>
      </w:pPr>
    </w:p>
    <w:p>
      <w:pPr>
        <w:ind w:right="240" w:firstLine="512"/>
        <w:spacing w:after="0" w:line="279" w:lineRule="auto"/>
        <w:rPr>
          <w:sz w:val="20"/>
          <w:szCs w:val="20"/>
          <w:color w:val="auto"/>
        </w:rPr>
      </w:pPr>
      <w:r>
        <w:rPr>
          <w:rFonts w:ascii="Times New Roman" w:cs="Times New Roman" w:eastAsia="Times New Roman" w:hAnsi="Times New Roman"/>
          <w:sz w:val="12"/>
          <w:szCs w:val="12"/>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our relationships with our unionized hourly workforce.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color w:val="auto"/>
        </w:rPr>
        <w:t>Primary Factors that Determine Operating Profitability</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Company’s results of operations for an annual or quarterly period are generally determined by the following three factors:</w:t>
      </w:r>
    </w:p>
    <w:p>
      <w:pPr>
        <w:spacing w:after="0" w:line="76" w:lineRule="exact"/>
        <w:rPr>
          <w:sz w:val="20"/>
          <w:szCs w:val="20"/>
          <w:color w:val="auto"/>
        </w:rPr>
      </w:pPr>
    </w:p>
    <w:p>
      <w:pPr>
        <w:ind w:left="1020" w:right="240" w:hanging="515"/>
        <w:spacing w:after="0" w:line="292" w:lineRule="auto"/>
        <w:tabs>
          <w:tab w:leader="none" w:pos="10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Bid wins and dredge employment</w:t>
      </w:r>
      <w:r>
        <w:rPr>
          <w:rFonts w:ascii="Times New Roman" w:cs="Times New Roman" w:eastAsia="Times New Roman" w:hAnsi="Times New Roman"/>
          <w:sz w:val="11"/>
          <w:szCs w:val="11"/>
          <w:color w:val="auto"/>
        </w:rPr>
        <w:t>— The Company recognizes backlog upon a project being awarded. We begin to recognize revenues when a dredging contract commences a major activity on the project. The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period prior to the commencement of a major activity for dredging projects can range from 45 days to six months depending on the complexity of the project and environmental work windows. Although our dredging fleet is subject to downtime for scheduled periodic maintenance and regulatory dry dockings, we seek to maximize our revenues by employing our dredging fleet on a full-time basis. If a dredge is idle (i.e., the dredge is not employed on a dredging project or undergoing scheduled periodic maintenance and repair), we do not earn revenue with respect to that dredge during the time period for which it is idle.</w:t>
      </w:r>
    </w:p>
    <w:p>
      <w:pPr>
        <w:spacing w:after="0" w:line="32" w:lineRule="exact"/>
        <w:rPr>
          <w:rFonts w:ascii="Times New Roman" w:cs="Times New Roman" w:eastAsia="Times New Roman" w:hAnsi="Times New Roman"/>
          <w:sz w:val="11"/>
          <w:szCs w:val="11"/>
          <w:color w:val="auto"/>
        </w:rPr>
      </w:pPr>
    </w:p>
    <w:p>
      <w:pPr>
        <w:ind w:left="1020" w:right="80" w:hanging="515"/>
        <w:spacing w:after="0" w:line="261" w:lineRule="auto"/>
        <w:tabs>
          <w:tab w:leader="none" w:pos="10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Project and dredge mix </w:t>
      </w:r>
      <w:r>
        <w:rPr>
          <w:rFonts w:ascii="Times New Roman" w:cs="Times New Roman" w:eastAsia="Times New Roman" w:hAnsi="Times New Roman"/>
          <w:sz w:val="12"/>
          <w:szCs w:val="12"/>
          <w:color w:val="auto"/>
        </w:rPr>
        <w:t>— The Company’s domestic dredging projects generally involve capital, maintenance, coastal protection and rivers &amp; lakes work, while our foreign dredging projects generally involve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capital work. In addition, our projects vary in duration which is generally driven by the type of work undertaken. In general, projects of longer duration result in less dredge downtime in a given period. For example, capital deepening projects generally span several years due to their complexity and environmental windows. Moreover, our dredges have different physical performance capabilities and typically work on certain types of dredging projects. Accordingly, our dredges have different daily revenue generating capacities.</w:t>
      </w:r>
    </w:p>
    <w:p>
      <w:pPr>
        <w:spacing w:after="0" w:line="49" w:lineRule="exact"/>
        <w:rPr>
          <w:rFonts w:ascii="Times New Roman" w:cs="Times New Roman" w:eastAsia="Times New Roman" w:hAnsi="Times New Roman"/>
          <w:sz w:val="12"/>
          <w:szCs w:val="12"/>
          <w:color w:val="auto"/>
        </w:rPr>
      </w:pPr>
    </w:p>
    <w:p>
      <w:pPr>
        <w:ind w:left="1020"/>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generally expect to achieve different levels of gross profit margin (i.e., gross profit divided by revenues) for work performed on the different types of dredging projects and for work performed by different types of dredges. Our expected gross margin for a project is based upon our estimates at the time of the bid. Although we seek to bid on and win projects that will maximize our gross margin, we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we work on a mix of dredging projects that, in the aggregate, have relatively low expected gross margins (based on project type and dredges employed).</w:t>
      </w:r>
    </w:p>
    <w:p>
      <w:pPr>
        <w:spacing w:after="0" w:line="51" w:lineRule="exact"/>
        <w:rPr>
          <w:rFonts w:ascii="Times New Roman" w:cs="Times New Roman" w:eastAsia="Times New Roman" w:hAnsi="Times New Roman"/>
          <w:sz w:val="12"/>
          <w:szCs w:val="12"/>
          <w:color w:val="auto"/>
        </w:rPr>
      </w:pPr>
    </w:p>
    <w:p>
      <w:pPr>
        <w:ind w:left="1020" w:right="40" w:hanging="515"/>
        <w:spacing w:after="0" w:line="261" w:lineRule="auto"/>
        <w:tabs>
          <w:tab w:leader="none" w:pos="10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Project execution</w:t>
      </w:r>
      <w:r>
        <w:rPr>
          <w:rFonts w:ascii="Times New Roman" w:cs="Times New Roman" w:eastAsia="Times New Roman" w:hAnsi="Times New Roman"/>
          <w:sz w:val="12"/>
          <w:szCs w:val="12"/>
          <w:color w:val="auto"/>
        </w:rPr>
        <w:t>—The Company seeks to execute all of our projects consistent with or at a higher production than our as-bid project estimates. In general, our ability to achieve our project estimates depends upon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many factors including soil conditions, weather, variances from estimated project conditions, equipment mobilization time periods, unplanned equipment downtime or other events or circumstances beyond our control. If we experience any of these events and circumstances, the completion of a project will often be accelerated or delayed, as applicable, and, consequently, we will experience project results that are better or worse than our as-bid project estimates. We do our best to estimate for events and circumstances that are not within our control; however, these situations are inherent in dredging.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82" w:lineRule="exact"/>
        <w:rPr>
          <w:sz w:val="20"/>
          <w:szCs w:val="20"/>
          <w:color w:val="auto"/>
        </w:rPr>
      </w:pPr>
    </w:p>
    <w:p>
      <w:pPr>
        <w:ind w:right="60" w:firstLine="512"/>
        <w:spacing w:after="0" w:line="260" w:lineRule="auto"/>
        <w:rPr>
          <w:sz w:val="20"/>
          <w:szCs w:val="20"/>
          <w:color w:val="auto"/>
        </w:rPr>
      </w:pPr>
      <w:r>
        <w:rPr>
          <w:rFonts w:ascii="Times New Roman" w:cs="Times New Roman" w:eastAsia="Times New Roman" w:hAnsi="Times New Roman"/>
          <w:sz w:val="12"/>
          <w:szCs w:val="12"/>
          <w:color w:val="auto"/>
        </w:rPr>
        <w:t>The Company’s significant accounting policies are discussed in the Notes to the consolidated financial statements included in Item 15 of this Annual Report on Form 10-K. The application of certain of these policies requires significant judgments or an estimation process that can affect our results of operations, financial position and cash flows, as well as the related footnote disclosures. We base our estimates on historical experience and other assumptions that we believe are reasonable. If actual amounts are ultimately different from previous estimates, the revisions are included in our results of operations for the period in which the actual amounts become known. The following accounting policies comprise those that management believes are the most critical to aid in fully understanding and evaluating our reported financial results.</w:t>
      </w:r>
    </w:p>
    <w:p>
      <w:pPr>
        <w:spacing w:after="0" w:line="120" w:lineRule="exact"/>
        <w:rPr>
          <w:sz w:val="20"/>
          <w:szCs w:val="20"/>
          <w:color w:val="auto"/>
        </w:rPr>
      </w:pPr>
    </w:p>
    <w:p>
      <w:pPr>
        <w:ind w:right="100" w:firstLine="512"/>
        <w:spacing w:after="0" w:line="258" w:lineRule="auto"/>
        <w:rPr>
          <w:sz w:val="20"/>
          <w:szCs w:val="20"/>
          <w:color w:val="auto"/>
        </w:rPr>
      </w:pPr>
      <w:r>
        <w:rPr>
          <w:rFonts w:ascii="Times New Roman" w:cs="Times New Roman" w:eastAsia="Times New Roman" w:hAnsi="Times New Roman"/>
          <w:sz w:val="12"/>
          <w:szCs w:val="12"/>
          <w:i w:val="1"/>
          <w:iCs w:val="1"/>
          <w:color w:val="auto"/>
        </w:rPr>
        <w:t>Cost-to-cost method of revenue recognition</w:t>
      </w:r>
      <w:r>
        <w:rPr>
          <w:rFonts w:ascii="Times New Roman" w:cs="Times New Roman" w:eastAsia="Times New Roman" w:hAnsi="Times New Roman"/>
          <w:sz w:val="12"/>
          <w:szCs w:val="12"/>
          <w:color w:val="auto"/>
        </w:rPr>
        <w:t>— Revenue is recognized using contract fulfillment costs incurred to date compared to total estimated costs at completion, also known as cost-to-cost, to measure progress towards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completion. Additionally, we capitalize certain pre-contract and pre-construction costs and defer recognition over the life of the contract. In preparing estimates, we draw on our extensive experience in the dredging businesses. We use this experience in conjunction with the project specifications to select equipment and to design a production technique for a project. We also utilize our database of historical dredging information which includes daily costs, mobilization and dredge production references on the same or similar projects to ensure that our estimates are as accurate as possible, given current circumstances. The daily costs and project duration are significant factors in our cost estimates to complete the project. Weather events, mechanical delays or other unplanned downtime instances may cause the actual costs to complete the project to differ from these estimates.</w:t>
      </w:r>
    </w:p>
    <w:p>
      <w:pPr>
        <w:spacing w:after="0" w:line="124" w:lineRule="exact"/>
        <w:rPr>
          <w:sz w:val="20"/>
          <w:szCs w:val="20"/>
          <w:color w:val="auto"/>
        </w:rPr>
      </w:pPr>
    </w:p>
    <w:p>
      <w:pPr>
        <w:ind w:right="100" w:firstLine="512"/>
        <w:spacing w:after="0" w:line="279" w:lineRule="auto"/>
        <w:rPr>
          <w:sz w:val="20"/>
          <w:szCs w:val="20"/>
          <w:color w:val="auto"/>
        </w:rPr>
      </w:pPr>
      <w:r>
        <w:rPr>
          <w:rFonts w:ascii="Times New Roman" w:cs="Times New Roman" w:eastAsia="Times New Roman" w:hAnsi="Times New Roman"/>
          <w:sz w:val="12"/>
          <w:szCs w:val="12"/>
          <w:color w:val="auto"/>
        </w:rPr>
        <w:t>Contract modifications are changes in the scope or price (or both) of a contract that are approved by the parties to the contract. We recognize a contract modification when the parties to a contract approve a modification that either creates new, or changes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sectPr>
      </w:pPr>
    </w:p>
    <w:bookmarkStart w:id="37" w:name="page38"/>
    <w:bookmarkEnd w:id="37"/>
    <w:p>
      <w:pPr>
        <w:ind w:right="60"/>
        <w:spacing w:after="0" w:line="257" w:lineRule="auto"/>
        <w:rPr>
          <w:sz w:val="20"/>
          <w:szCs w:val="20"/>
          <w:color w:val="auto"/>
        </w:rPr>
      </w:pPr>
      <w:r>
        <w:rPr>
          <w:rFonts w:ascii="Times New Roman" w:cs="Times New Roman" w:eastAsia="Times New Roman" w:hAnsi="Times New Roman"/>
          <w:sz w:val="12"/>
          <w:szCs w:val="12"/>
          <w:color w:val="auto"/>
        </w:rPr>
        <w:t>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150" w:lineRule="exact"/>
        <w:rPr>
          <w:sz w:val="20"/>
          <w:szCs w:val="20"/>
          <w:color w:val="auto"/>
        </w:rPr>
      </w:pPr>
    </w:p>
    <w:p>
      <w:pPr>
        <w:ind w:right="160" w:firstLine="512"/>
        <w:spacing w:after="0" w:line="266" w:lineRule="auto"/>
        <w:rPr>
          <w:sz w:val="20"/>
          <w:szCs w:val="20"/>
          <w:color w:val="auto"/>
        </w:rPr>
      </w:pPr>
      <w:r>
        <w:rPr>
          <w:rFonts w:ascii="Times New Roman" w:cs="Times New Roman" w:eastAsia="Times New Roman" w:hAnsi="Times New Roman"/>
          <w:sz w:val="12"/>
          <w:szCs w:val="12"/>
          <w:i w:val="1"/>
          <w:iCs w:val="1"/>
          <w:color w:val="auto"/>
        </w:rPr>
        <w:t>Impairment of goodwill</w:t>
      </w:r>
      <w:r>
        <w:rPr>
          <w:rFonts w:ascii="Times New Roman" w:cs="Times New Roman" w:eastAsia="Times New Roman" w:hAnsi="Times New Roman"/>
          <w:sz w:val="12"/>
          <w:szCs w:val="12"/>
          <w:color w:val="auto"/>
        </w:rPr>
        <w:t>—Goodwill is tested for impairment at the reporting unit level on an annual basis and between annual tests if an event occurs or circumstances change that would more likely than not reduce the fair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We perform our annual impairment test as of July 1 each year.</w:t>
      </w:r>
    </w:p>
    <w:p>
      <w:pPr>
        <w:spacing w:after="0" w:line="119" w:lineRule="exact"/>
        <w:rPr>
          <w:sz w:val="20"/>
          <w:szCs w:val="20"/>
          <w:color w:val="auto"/>
        </w:rPr>
      </w:pPr>
    </w:p>
    <w:p>
      <w:pPr>
        <w:ind w:right="20" w:firstLine="512"/>
        <w:spacing w:after="0" w:line="265" w:lineRule="auto"/>
        <w:rPr>
          <w:sz w:val="20"/>
          <w:szCs w:val="20"/>
          <w:color w:val="auto"/>
        </w:rPr>
      </w:pPr>
      <w:r>
        <w:rPr>
          <w:rFonts w:ascii="Times New Roman" w:cs="Times New Roman" w:eastAsia="Times New Roman" w:hAnsi="Times New Roman"/>
          <w:sz w:val="12"/>
          <w:szCs w:val="12"/>
          <w:color w:val="auto"/>
        </w:rPr>
        <w:t>When conducting the annual impairment test for goodwill, the Company can choose to assess qualitative factors to determine whether it is more likely than not the fair value of the reporting unit is below its carrying value. Qualitative factors considered include macroeconomic, industry and market environments, overall financial performance and market indications of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spacing w:after="0" w:line="119" w:lineRule="exact"/>
        <w:rPr>
          <w:sz w:val="20"/>
          <w:szCs w:val="20"/>
          <w:color w:val="auto"/>
        </w:rPr>
      </w:pPr>
    </w:p>
    <w:p>
      <w:pPr>
        <w:ind w:firstLine="512"/>
        <w:spacing w:after="0" w:line="256" w:lineRule="auto"/>
        <w:rPr>
          <w:sz w:val="20"/>
          <w:szCs w:val="20"/>
          <w:color w:val="auto"/>
        </w:rPr>
      </w:pPr>
      <w:r>
        <w:rPr>
          <w:rFonts w:ascii="Times New Roman" w:cs="Times New Roman" w:eastAsia="Times New Roman" w:hAnsi="Times New Roman"/>
          <w:sz w:val="12"/>
          <w:szCs w:val="12"/>
          <w:color w:val="auto"/>
        </w:rPr>
        <w:t>When performing a quantitative impairment test, the Company assesses the fair values of its reporting unit using both an income-based approach and a market-based approach. Under the income approach, the fair value of the reporting unit is based on the present value of estimated future cash flows. The income approach is dependent on a number of factors, including estimates of expected future revenue, profitability and capital expenditures related to our new build program, future market growth trends, forecasted revenues and expenses, working capital assumptions,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trailing and forward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25" w:lineRule="exact"/>
        <w:rPr>
          <w:sz w:val="20"/>
          <w:szCs w:val="20"/>
          <w:color w:val="auto"/>
        </w:rPr>
      </w:pPr>
    </w:p>
    <w:p>
      <w:pPr>
        <w:ind w:right="60" w:firstLine="512"/>
        <w:spacing w:after="0" w:line="260" w:lineRule="auto"/>
        <w:rPr>
          <w:sz w:val="20"/>
          <w:szCs w:val="20"/>
          <w:color w:val="auto"/>
        </w:rPr>
      </w:pPr>
      <w:r>
        <w:rPr>
          <w:rFonts w:ascii="Times New Roman" w:cs="Times New Roman" w:eastAsia="Times New Roman" w:hAnsi="Times New Roman"/>
          <w:sz w:val="12"/>
          <w:szCs w:val="12"/>
          <w:color w:val="auto"/>
        </w:rPr>
        <w:t>In 2024, the Company performed a qualitative goodwill impairment test. The Company performed its annual test of impairment as of July 1, 2024 with no indication of impairment as of the test date. The Company assessed qualitative factors for any indications of potential impairment of the reporting unit. Upon completing this assessment, it was determined that the fair value of the reporting unit is more likely than not greater than its carrying value as of the assessment date and, as a result, a quantitative test was not performed. The Company will continue to monitor for changes in facts or circumstances that may impact its estimates. The Company will perform its next scheduled annual test of goodwill in the third quarter of 2025 should no triggering events occur which would require a test prior to the next annual test. At December 31, 2024 and 2023, our goodwill was $76.6 million.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color w:val="auto"/>
        </w:rPr>
        <w:t>Results of Operations—Fiscal Years Ended December 31, 2024, 2023 and 2022</w:t>
      </w:r>
    </w:p>
    <w:p>
      <w:pPr>
        <w:spacing w:after="0" w:line="82" w:lineRule="exact"/>
        <w:rPr>
          <w:sz w:val="20"/>
          <w:szCs w:val="20"/>
          <w:color w:val="auto"/>
        </w:rPr>
      </w:pPr>
    </w:p>
    <w:p>
      <w:pPr>
        <w:ind w:right="80" w:firstLine="512"/>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components of net income (loss) from continuing operations and Adjusted EBITDA, as defined below, as a percentage of contract revenues for the years ended December 31 2024, 2023 and 2022. The selected financial data presented below have been derived from the Company’s consolidated financial statements; items may not sum due to rounding.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60" w:type="dxa"/>
            <w:vAlign w:val="bottom"/>
            <w:gridSpan w:val="2"/>
          </w:tcPr>
          <w:p>
            <w:pPr>
              <w:ind w:left="692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33"/>
        </w:trPr>
        <w:tc>
          <w:tcPr>
            <w:tcW w:w="6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Contract revenues</w:t>
            </w:r>
          </w:p>
        </w:tc>
        <w:tc>
          <w:tcPr>
            <w:tcW w:w="9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11"/>
                <w:szCs w:val="11"/>
                <w:color w:val="auto"/>
              </w:rPr>
            </w:pPr>
          </w:p>
        </w:tc>
        <w:tc>
          <w:tcPr>
            <w:tcW w:w="22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1"/>
                <w:szCs w:val="11"/>
                <w:color w:val="auto"/>
              </w:rPr>
            </w:pPr>
          </w:p>
        </w:tc>
        <w:tc>
          <w:tcPr>
            <w:tcW w:w="20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11"/>
                <w:szCs w:val="11"/>
                <w:color w:val="auto"/>
              </w:rPr>
            </w:pPr>
          </w:p>
        </w:tc>
        <w:tc>
          <w:tcPr>
            <w:tcW w:w="2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Costs of contract revenues</w:t>
            </w:r>
          </w:p>
        </w:tc>
        <w:tc>
          <w:tcPr>
            <w:tcW w:w="9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(78.9 )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(86.8 )</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(95.2 )</w:t>
            </w:r>
          </w:p>
        </w:tc>
        <w:tc>
          <w:tcPr>
            <w:tcW w:w="280" w:type="dxa"/>
            <w:vAlign w:val="bottom"/>
            <w:shd w:val="clear" w:color="auto" w:fill="CFF0FC"/>
          </w:tcPr>
          <w:p>
            <w:pPr>
              <w:spacing w:after="0"/>
              <w:rPr>
                <w:sz w:val="12"/>
                <w:szCs w:val="12"/>
                <w:color w:val="auto"/>
              </w:rPr>
            </w:pPr>
          </w:p>
        </w:tc>
      </w:tr>
      <w:tr>
        <w:trPr>
          <w:trHeight w:val="133"/>
        </w:trPr>
        <w:tc>
          <w:tcPr>
            <w:tcW w:w="6340" w:type="dxa"/>
            <w:vAlign w:val="bottom"/>
            <w:tcBorders>
              <w:top w:val="single" w:sz="8" w:color="CFF0FC"/>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9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21.1</w:t>
            </w:r>
          </w:p>
        </w:tc>
        <w:tc>
          <w:tcPr>
            <w:tcW w:w="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13.2</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top w:val="single" w:sz="8" w:color="CFF0FC"/>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r>
      <w:tr>
        <w:trPr>
          <w:trHeight w:val="144"/>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Other (gains) losses</w:t>
            </w:r>
          </w:p>
        </w:tc>
        <w:tc>
          <w:tcPr>
            <w:tcW w:w="9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(0.4 )</w:t>
            </w:r>
          </w:p>
        </w:tc>
        <w:tc>
          <w:tcPr>
            <w:tcW w:w="220" w:type="dxa"/>
            <w:vAlign w:val="bottom"/>
          </w:tcPr>
          <w:p>
            <w:pPr>
              <w:spacing w:after="0"/>
              <w:rPr>
                <w:sz w:val="12"/>
                <w:szCs w:val="12"/>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(1.3 )</w:t>
            </w:r>
          </w:p>
        </w:tc>
        <w:tc>
          <w:tcPr>
            <w:tcW w:w="2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
        </w:trPr>
        <w:tc>
          <w:tcPr>
            <w:tcW w:w="6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3"/>
        </w:trPr>
        <w:tc>
          <w:tcPr>
            <w:tcW w:w="634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Operating income (loss)</w:t>
            </w:r>
          </w:p>
        </w:tc>
        <w:tc>
          <w:tcPr>
            <w:tcW w:w="9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12.2</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(4.3 )</w:t>
            </w:r>
          </w:p>
        </w:tc>
        <w:tc>
          <w:tcPr>
            <w:tcW w:w="280" w:type="dxa"/>
            <w:vAlign w:val="bottom"/>
            <w:shd w:val="clear" w:color="auto" w:fill="CFF0FC"/>
          </w:tcPr>
          <w:p>
            <w:pPr>
              <w:spacing w:after="0"/>
              <w:rPr>
                <w:sz w:val="11"/>
                <w:szCs w:val="11"/>
                <w:color w:val="auto"/>
              </w:rPr>
            </w:pPr>
          </w:p>
        </w:tc>
      </w:tr>
      <w:tr>
        <w:trPr>
          <w:trHeight w:val="144"/>
        </w:trPr>
        <w:tc>
          <w:tcPr>
            <w:tcW w:w="7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expense—net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(2.3 )</w:t>
            </w:r>
          </w:p>
        </w:tc>
        <w:tc>
          <w:tcPr>
            <w:tcW w:w="220" w:type="dxa"/>
            <w:vAlign w:val="bottom"/>
          </w:tcPr>
          <w:p>
            <w:pPr>
              <w:spacing w:after="0"/>
              <w:rPr>
                <w:sz w:val="12"/>
                <w:szCs w:val="12"/>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(2.1 )</w:t>
            </w:r>
          </w:p>
        </w:tc>
        <w:tc>
          <w:tcPr>
            <w:tcW w:w="200" w:type="dxa"/>
            <w:vAlign w:val="bottom"/>
          </w:tcPr>
          <w:p>
            <w:pPr>
              <w:spacing w:after="0"/>
              <w:rPr>
                <w:sz w:val="12"/>
                <w:szCs w:val="12"/>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(2.2 )</w:t>
            </w:r>
          </w:p>
        </w:tc>
        <w:tc>
          <w:tcPr>
            <w:tcW w:w="280" w:type="dxa"/>
            <w:vAlign w:val="bottom"/>
          </w:tcPr>
          <w:p>
            <w:pPr>
              <w:spacing w:after="0"/>
              <w:rPr>
                <w:sz w:val="12"/>
                <w:szCs w:val="12"/>
                <w:color w:val="auto"/>
              </w:rPr>
            </w:pPr>
          </w:p>
        </w:tc>
      </w:tr>
      <w:tr>
        <w:trPr>
          <w:trHeight w:val="144"/>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9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(0.2 )</w:t>
            </w:r>
          </w:p>
        </w:tc>
        <w:tc>
          <w:tcPr>
            <w:tcW w:w="280" w:type="dxa"/>
            <w:vAlign w:val="bottom"/>
            <w:shd w:val="clear" w:color="auto" w:fill="CFF0FC"/>
          </w:tcPr>
          <w:p>
            <w:pPr>
              <w:spacing w:after="0"/>
              <w:rPr>
                <w:sz w:val="12"/>
                <w:szCs w:val="12"/>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33"/>
        </w:trPr>
        <w:tc>
          <w:tcPr>
            <w:tcW w:w="63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Income (loss) before income taxes</w:t>
            </w:r>
          </w:p>
        </w:tc>
        <w:tc>
          <w:tcPr>
            <w:tcW w:w="92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(6.7 )</w:t>
            </w:r>
          </w:p>
        </w:tc>
        <w:tc>
          <w:tcPr>
            <w:tcW w:w="280" w:type="dxa"/>
            <w:vAlign w:val="bottom"/>
          </w:tcPr>
          <w:p>
            <w:pPr>
              <w:spacing w:after="0"/>
              <w:rPr>
                <w:sz w:val="11"/>
                <w:szCs w:val="11"/>
                <w:color w:val="auto"/>
              </w:rPr>
            </w:pPr>
          </w:p>
        </w:tc>
      </w:tr>
      <w:tr>
        <w:trPr>
          <w:trHeight w:val="144"/>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9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(2.4 )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(0.7 )</w:t>
            </w:r>
          </w:p>
        </w:tc>
        <w:tc>
          <w:tcPr>
            <w:tcW w:w="2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40"/>
        </w:trPr>
        <w:tc>
          <w:tcPr>
            <w:tcW w:w="63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920" w:type="dxa"/>
            <w:vAlign w:val="bottom"/>
          </w:tcPr>
          <w:p>
            <w:pPr>
              <w:spacing w:after="0"/>
              <w:rPr>
                <w:sz w:val="12"/>
                <w:szCs w:val="12"/>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(5.3 )</w:t>
            </w:r>
          </w:p>
        </w:tc>
        <w:tc>
          <w:tcPr>
            <w:tcW w:w="280" w:type="dxa"/>
            <w:vAlign w:val="bottom"/>
          </w:tcPr>
          <w:p>
            <w:pPr>
              <w:spacing w:after="0"/>
              <w:rPr>
                <w:sz w:val="12"/>
                <w:szCs w:val="12"/>
                <w:color w:val="auto"/>
              </w:rPr>
            </w:pPr>
          </w:p>
        </w:tc>
      </w:tr>
      <w:tr>
        <w:trPr>
          <w:trHeight w:val="144"/>
        </w:trPr>
        <w:tc>
          <w:tcPr>
            <w:tcW w:w="63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r>
      <w:tr>
        <w:trPr>
          <w:trHeight w:val="140"/>
        </w:trPr>
        <w:tc>
          <w:tcPr>
            <w:tcW w:w="6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17.8</w:t>
            </w:r>
          </w:p>
        </w:tc>
        <w:tc>
          <w:tcPr>
            <w:tcW w:w="80" w:type="dxa"/>
            <w:vAlign w:val="bottom"/>
          </w:tcPr>
          <w:p>
            <w:pPr>
              <w:spacing w:after="0"/>
              <w:rPr>
                <w:sz w:val="12"/>
                <w:szCs w:val="12"/>
                <w:color w:val="auto"/>
              </w:rPr>
            </w:pPr>
          </w:p>
        </w:tc>
        <w:tc>
          <w:tcPr>
            <w:tcW w:w="22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12"/>
                <w:szCs w:val="12"/>
                <w:color w:val="auto"/>
              </w:rPr>
            </w:pPr>
          </w:p>
        </w:tc>
        <w:tc>
          <w:tcPr>
            <w:tcW w:w="20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2"/>
                <w:szCs w:val="12"/>
                <w:color w:val="auto"/>
              </w:rPr>
            </w:pPr>
          </w:p>
        </w:tc>
        <w:tc>
          <w:tcPr>
            <w:tcW w:w="2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-1068070</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-1068070</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-1068070</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-508000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-508000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-508000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-319405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-319405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-319405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-113665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-113665</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-113665</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41" w:lineRule="exact"/>
        <w:rPr>
          <w:sz w:val="20"/>
          <w:szCs w:val="20"/>
          <w:color w:val="auto"/>
        </w:rPr>
      </w:pPr>
    </w:p>
    <w:p>
      <w:pPr>
        <w:ind w:right="20" w:firstLine="512"/>
        <w:spacing w:after="0" w:line="252" w:lineRule="auto"/>
        <w:rPr>
          <w:sz w:val="20"/>
          <w:szCs w:val="20"/>
          <w:color w:val="auto"/>
        </w:rPr>
      </w:pPr>
      <w:r>
        <w:rPr>
          <w:rFonts w:ascii="Times New Roman" w:cs="Times New Roman" w:eastAsia="Times New Roman" w:hAnsi="Times New Roman"/>
          <w:sz w:val="12"/>
          <w:szCs w:val="12"/>
          <w:color w:val="auto"/>
        </w:rPr>
        <w:t>Adjusted EBITDA, as provided herein, represents net income (loss) from continuing operations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as an additional measure by which to evaluate our operating trends. We believe that Adjusted EBITDA is a measure frequently used to evaluate performance of companies with substantial leverage and that our primary stakeholders (i.e., its stockholders, bondholders and banks) use Adjusted EBITDA to evaluate our period to period performance. Additionally, management believes that Adjusted EBITDA provides a transparent measure of our recurring operating performance and allows management to readily view operating trends, perform analytical comparisons and identify strategies to improve operating performance. For this reason, we use a measure based upon Adjusted EBITDA to assess performance for purposes of determining compensation under our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our business. For these reasons, we use net income (loss) to measure our operating performance and use Adjusted EBITDA only as a supplement. For the years ended December 31, 2024, 2023 and 2022, the Company did not have any adjustments to EBITDA as defined herein. As such, the amounts presented as Adjusted EBITDA herein also represent EBITDA for the periods presented. The following is a reconciliation of Adjusted EBITDA to net income (loss) from continuing operations of Great Lakes Dredge &amp; Dock Corporation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(in thousands)</w:t>
            </w:r>
          </w:p>
        </w:tc>
        <w:tc>
          <w:tcPr>
            <w:tcW w:w="3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Pr>
          <w:p>
            <w:pPr>
              <w:spacing w:after="0"/>
              <w:rPr>
                <w:sz w:val="10"/>
                <w:szCs w:val="1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58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38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57,265</w:t>
            </w:r>
          </w:p>
        </w:tc>
        <w:tc>
          <w:tcPr>
            <w:tcW w:w="122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13,906</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(34,055 )</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Adjusted for:</w:t>
            </w:r>
          </w:p>
        </w:tc>
        <w:tc>
          <w:tcPr>
            <w:tcW w:w="2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Interest expense—net</w:t>
            </w:r>
          </w:p>
        </w:tc>
        <w:tc>
          <w:tcPr>
            <w:tcW w:w="29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17,880</w:t>
            </w: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12,140</w:t>
            </w: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14,108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2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18,120</w:t>
            </w: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(9,360 )</w:t>
            </w:r>
          </w:p>
        </w:tc>
        <w:tc>
          <w:tcPr>
            <w:tcW w:w="0" w:type="dxa"/>
            <w:vAlign w:val="bottom"/>
          </w:tcPr>
          <w:p>
            <w:pPr>
              <w:spacing w:after="0"/>
              <w:rPr>
                <w:sz w:val="1"/>
                <w:szCs w:val="1"/>
                <w:color w:val="auto"/>
              </w:rPr>
            </w:pPr>
          </w:p>
        </w:tc>
      </w:tr>
      <w:tr>
        <w:trPr>
          <w:trHeight w:val="144"/>
        </w:trPr>
        <w:tc>
          <w:tcPr>
            <w:tcW w:w="3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9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42,699</w:t>
            </w:r>
          </w:p>
        </w:tc>
        <w:tc>
          <w:tcPr>
            <w:tcW w:w="3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42,525</w:t>
            </w:r>
          </w:p>
        </w:tc>
        <w:tc>
          <w:tcPr>
            <w:tcW w:w="3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46,273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Adjusted EBITDA</w:t>
            </w:r>
          </w:p>
        </w:tc>
        <w:tc>
          <w:tcPr>
            <w:tcW w:w="3800" w:type="dxa"/>
            <w:vAlign w:val="bottom"/>
            <w:gridSpan w:val="2"/>
          </w:tcPr>
          <w:p>
            <w:pPr>
              <w:jc w:val="right"/>
              <w:ind w:right="7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135,964</w:t>
            </w:r>
          </w:p>
        </w:tc>
        <w:tc>
          <w:tcPr>
            <w:tcW w:w="1220" w:type="dxa"/>
            <w:vAlign w:val="bottom"/>
            <w:gridSpan w:val="2"/>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72,977</w:t>
            </w:r>
          </w:p>
        </w:tc>
        <w:tc>
          <w:tcPr>
            <w:tcW w:w="6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16,966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2980" w:type="dxa"/>
            <w:vAlign w:val="bottom"/>
          </w:tcPr>
          <w:p>
            <w:pPr>
              <w:jc w:val="right"/>
              <w:ind w:right="803"/>
              <w:spacing w:after="0"/>
              <w:rPr>
                <w:sz w:val="20"/>
                <w:szCs w:val="20"/>
                <w:color w:val="auto"/>
              </w:rPr>
            </w:pPr>
            <w:r>
              <w:rPr>
                <w:rFonts w:ascii="Times New Roman" w:cs="Times New Roman" w:eastAsia="Times New Roman" w:hAnsi="Times New Roman"/>
                <w:sz w:val="12"/>
                <w:szCs w:val="12"/>
                <w:color w:val="auto"/>
              </w:rPr>
              <w:t>37</w:t>
            </w:r>
          </w:p>
        </w:tc>
        <w:tc>
          <w:tcPr>
            <w:tcW w:w="8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35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-719455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-719455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-719455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color w:val="auto"/>
        </w:rPr>
        <w:t>Components of Contract Revenues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sets forth, by type of work, the Company’s contract revenues for the years ended December 31, 2024, 2023 and 2022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Revenues (in thousands)</w:t>
            </w:r>
          </w:p>
        </w:tc>
        <w:tc>
          <w:tcPr>
            <w:tcW w:w="5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0"/>
                <w:szCs w:val="10"/>
                <w:color w:val="auto"/>
              </w:rPr>
            </w:pPr>
          </w:p>
        </w:tc>
      </w:tr>
      <w:tr>
        <w:trPr>
          <w:trHeight w:val="133"/>
        </w:trPr>
        <w:tc>
          <w:tcPr>
            <w:tcW w:w="43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Dredging:</w:t>
            </w: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Capital—U.S.</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348,085</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186,715</w:t>
            </w:r>
          </w:p>
        </w:tc>
        <w:tc>
          <w:tcPr>
            <w:tcW w:w="860" w:type="dxa"/>
            <w:vAlign w:val="bottom"/>
            <w:gridSpan w:val="2"/>
          </w:tcPr>
          <w:p>
            <w:pPr>
              <w:jc w:val="right"/>
              <w:ind w:right="386"/>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342,461</w:t>
            </w:r>
          </w:p>
        </w:tc>
        <w:tc>
          <w:tcPr>
            <w:tcW w:w="120" w:type="dxa"/>
            <w:vAlign w:val="bottom"/>
          </w:tcPr>
          <w:p>
            <w:pPr>
              <w:spacing w:after="0"/>
              <w:rPr>
                <w:sz w:val="12"/>
                <w:szCs w:val="12"/>
                <w:color w:val="auto"/>
              </w:rPr>
            </w:pPr>
          </w:p>
        </w:tc>
      </w:tr>
      <w:tr>
        <w:trPr>
          <w:trHeight w:val="144"/>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Coastal protection</w:t>
            </w: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253,360</w:t>
            </w:r>
          </w:p>
        </w:tc>
        <w:tc>
          <w:tcPr>
            <w:tcW w:w="3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196,343</w:t>
            </w:r>
          </w:p>
        </w:tc>
        <w:tc>
          <w:tcPr>
            <w:tcW w:w="3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192,567</w:t>
            </w:r>
          </w:p>
        </w:tc>
        <w:tc>
          <w:tcPr>
            <w:tcW w:w="120" w:type="dxa"/>
            <w:vAlign w:val="bottom"/>
            <w:shd w:val="clear" w:color="auto" w:fill="CFF0FC"/>
          </w:tcPr>
          <w:p>
            <w:pPr>
              <w:spacing w:after="0"/>
              <w:rPr>
                <w:sz w:val="12"/>
                <w:szCs w:val="12"/>
                <w:color w:val="auto"/>
              </w:rPr>
            </w:pPr>
          </w:p>
        </w:tc>
      </w:tr>
      <w:tr>
        <w:trPr>
          <w:trHeight w:val="144"/>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Maintenance</w:t>
            </w:r>
          </w:p>
        </w:tc>
        <w:tc>
          <w:tcPr>
            <w:tcW w:w="5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158,882</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187,586</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98,077</w:t>
            </w:r>
          </w:p>
        </w:tc>
        <w:tc>
          <w:tcPr>
            <w:tcW w:w="120" w:type="dxa"/>
            <w:vAlign w:val="bottom"/>
          </w:tcPr>
          <w:p>
            <w:pPr>
              <w:spacing w:after="0"/>
              <w:rPr>
                <w:sz w:val="12"/>
                <w:szCs w:val="12"/>
                <w:color w:val="auto"/>
              </w:rPr>
            </w:pPr>
          </w:p>
        </w:tc>
      </w:tr>
      <w:tr>
        <w:trPr>
          <w:trHeight w:val="144"/>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Rivers &amp; lakes</w:t>
            </w: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2,366</w:t>
            </w:r>
          </w:p>
        </w:tc>
        <w:tc>
          <w:tcPr>
            <w:tcW w:w="3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16,318</w:t>
            </w:r>
          </w:p>
        </w:tc>
        <w:tc>
          <w:tcPr>
            <w:tcW w:w="3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15,527</w:t>
            </w:r>
          </w:p>
        </w:tc>
        <w:tc>
          <w:tcPr>
            <w:tcW w:w="120" w:type="dxa"/>
            <w:vAlign w:val="bottom"/>
            <w:shd w:val="clear" w:color="auto" w:fill="CFF0FC"/>
          </w:tcPr>
          <w:p>
            <w:pPr>
              <w:spacing w:after="0"/>
              <w:rPr>
                <w:sz w:val="12"/>
                <w:szCs w:val="12"/>
                <w:color w:val="auto"/>
              </w:rPr>
            </w:pPr>
          </w:p>
        </w:tc>
      </w:tr>
      <w:tr>
        <w:trPr>
          <w:trHeight w:val="144"/>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Capital—foreign</w:t>
            </w: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20" w:type="dxa"/>
            <w:vAlign w:val="bottom"/>
          </w:tcPr>
          <w:p>
            <w:pPr>
              <w:spacing w:after="0"/>
              <w:rPr>
                <w:sz w:val="12"/>
                <w:szCs w:val="12"/>
                <w:color w:val="auto"/>
              </w:rPr>
            </w:pPr>
          </w:p>
        </w:tc>
      </w:tr>
      <w:tr>
        <w:trPr>
          <w:trHeight w:val="133"/>
        </w:trPr>
        <w:tc>
          <w:tcPr>
            <w:tcW w:w="43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dredging revenues</w:t>
            </w: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762,693</w:t>
            </w:r>
          </w:p>
        </w:tc>
        <w:tc>
          <w:tcPr>
            <w:tcW w:w="3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586,962</w:t>
            </w:r>
          </w:p>
        </w:tc>
        <w:tc>
          <w:tcPr>
            <w:tcW w:w="3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648,781</w:t>
            </w:r>
          </w:p>
        </w:tc>
        <w:tc>
          <w:tcPr>
            <w:tcW w:w="120" w:type="dxa"/>
            <w:vAlign w:val="bottom"/>
            <w:shd w:val="clear" w:color="auto" w:fill="CFF0FC"/>
          </w:tcPr>
          <w:p>
            <w:pPr>
              <w:spacing w:after="0"/>
              <w:rPr>
                <w:sz w:val="11"/>
                <w:szCs w:val="11"/>
                <w:color w:val="auto"/>
              </w:rPr>
            </w:pPr>
          </w:p>
        </w:tc>
      </w:tr>
      <w:tr>
        <w:trPr>
          <w:trHeight w:val="144"/>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Offshore energy</w:t>
            </w: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2,663</w:t>
            </w: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r>
      <w:tr>
        <w:trPr>
          <w:trHeight w:val="140"/>
        </w:trPr>
        <w:tc>
          <w:tcPr>
            <w:tcW w:w="436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500" w:type="dxa"/>
            <w:vAlign w:val="bottom"/>
            <w:tcBorders>
              <w:bottom w:val="single" w:sz="8" w:color="auto"/>
            </w:tcBorders>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762,693</w:t>
            </w:r>
          </w:p>
        </w:tc>
        <w:tc>
          <w:tcPr>
            <w:tcW w:w="34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589,625</w:t>
            </w:r>
          </w:p>
        </w:tc>
        <w:tc>
          <w:tcPr>
            <w:tcW w:w="36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648,781</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-16510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-5080</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-16510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-5080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-16510</wp:posOffset>
            </wp:positionV>
            <wp:extent cx="7429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-5080</wp:posOffset>
            </wp:positionV>
            <wp:extent cx="7429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Year Ended December 31, 2024 Compared to Year Ended December 31, 2023</w:t>
      </w:r>
    </w:p>
    <w:p>
      <w:pPr>
        <w:spacing w:after="0" w:line="82" w:lineRule="exact"/>
        <w:rPr>
          <w:sz w:val="20"/>
          <w:szCs w:val="20"/>
          <w:color w:val="auto"/>
        </w:rPr>
      </w:pPr>
    </w:p>
    <w:p>
      <w:pPr>
        <w:jc w:val="both"/>
        <w:ind w:right="180" w:firstLine="512"/>
        <w:spacing w:after="0" w:line="265" w:lineRule="auto"/>
        <w:rPr>
          <w:sz w:val="20"/>
          <w:szCs w:val="20"/>
          <w:color w:val="auto"/>
        </w:rPr>
      </w:pPr>
      <w:r>
        <w:rPr>
          <w:rFonts w:ascii="Times New Roman" w:cs="Times New Roman" w:eastAsia="Times New Roman" w:hAnsi="Times New Roman"/>
          <w:sz w:val="12"/>
          <w:szCs w:val="12"/>
          <w:color w:val="auto"/>
        </w:rPr>
        <w:t xml:space="preserve">Total revenue was $762.7 million in 2024, an increase of $173.1 million, or 29%, from 2023 total revenue of $589.6 million. The increase in revenues from the prior year was largely attributable to a significant increase in domestic capital and coastal protection revenues, due to a significant increase in capital and coastal protection project awards and the delivery of the </w:t>
      </w:r>
      <w:r>
        <w:rPr>
          <w:rFonts w:ascii="Times New Roman" w:cs="Times New Roman" w:eastAsia="Times New Roman" w:hAnsi="Times New Roman"/>
          <w:sz w:val="12"/>
          <w:szCs w:val="12"/>
          <w:i w:val="1"/>
          <w:iCs w:val="1"/>
          <w:color w:val="auto"/>
        </w:rPr>
        <w:t>Galveston Island</w:t>
      </w:r>
      <w:r>
        <w:rPr>
          <w:rFonts w:ascii="Times New Roman" w:cs="Times New Roman" w:eastAsia="Times New Roman" w:hAnsi="Times New Roman"/>
          <w:sz w:val="12"/>
          <w:szCs w:val="12"/>
          <w:color w:val="auto"/>
        </w:rPr>
        <w:t>, the Company’s newest hopper dredge which began operations in February 2024. These increases were partially offset by decreases in maintenance and rivers &amp; lakes revenues.</w:t>
      </w:r>
    </w:p>
    <w:p>
      <w:pPr>
        <w:spacing w:after="0" w:line="119" w:lineRule="exact"/>
        <w:rPr>
          <w:sz w:val="20"/>
          <w:szCs w:val="20"/>
          <w:color w:val="auto"/>
        </w:rPr>
      </w:pPr>
    </w:p>
    <w:p>
      <w:pPr>
        <w:ind w:right="160" w:firstLine="512"/>
        <w:spacing w:after="0" w:line="279" w:lineRule="auto"/>
        <w:rPr>
          <w:sz w:val="20"/>
          <w:szCs w:val="20"/>
          <w:color w:val="auto"/>
        </w:rPr>
      </w:pPr>
      <w:r>
        <w:rPr>
          <w:rFonts w:ascii="Times New Roman" w:cs="Times New Roman" w:eastAsia="Times New Roman" w:hAnsi="Times New Roman"/>
          <w:sz w:val="12"/>
          <w:szCs w:val="12"/>
          <w:color w:val="auto"/>
        </w:rPr>
        <w:t>Domestic capital dredging revenues increased $161.4 million, or 86%, to $348.1 million in 2024 when compared to 2023 revenues of $186.7 million. The increase in domestic capital dredging revenues was mostly due to a higher amount of revenue earned on projects in Texas in the current year when compared to prior year. These increases were partially offset by lower revenue earned on projects in Virginia and Florida in the current year.</w:t>
      </w:r>
    </w:p>
    <w:p>
      <w:pPr>
        <w:spacing w:after="0" w:line="111" w:lineRule="exact"/>
        <w:rPr>
          <w:sz w:val="20"/>
          <w:szCs w:val="20"/>
          <w:color w:val="auto"/>
        </w:rPr>
      </w:pPr>
    </w:p>
    <w:p>
      <w:pPr>
        <w:ind w:right="100" w:firstLine="512"/>
        <w:spacing w:after="0" w:line="265" w:lineRule="auto"/>
        <w:rPr>
          <w:sz w:val="20"/>
          <w:szCs w:val="20"/>
          <w:color w:val="auto"/>
        </w:rPr>
      </w:pPr>
      <w:r>
        <w:rPr>
          <w:rFonts w:ascii="Times New Roman" w:cs="Times New Roman" w:eastAsia="Times New Roman" w:hAnsi="Times New Roman"/>
          <w:sz w:val="12"/>
          <w:szCs w:val="12"/>
          <w:color w:val="auto"/>
        </w:rPr>
        <w:t>Coastal protection revenues were $253.4 million in 2024, an increase of $57.1 million, or 29%, from $196.3 million in 2023. The increase in coastal protection revenues for the year ended December 31, 2024 was mainly attributable to an increase in revenue earned on projects in Florida and Alabama in the current year when compared to the prior year. This increase was partially offset by lower revenue earned on projects in New York and New Jersey in the current year.</w:t>
      </w:r>
    </w:p>
    <w:p>
      <w:pPr>
        <w:spacing w:after="0" w:line="119" w:lineRule="exact"/>
        <w:rPr>
          <w:sz w:val="20"/>
          <w:szCs w:val="20"/>
          <w:color w:val="auto"/>
        </w:rPr>
      </w:pPr>
    </w:p>
    <w:p>
      <w:pPr>
        <w:ind w:right="180" w:firstLine="512"/>
        <w:spacing w:after="0" w:line="265" w:lineRule="auto"/>
        <w:rPr>
          <w:sz w:val="20"/>
          <w:szCs w:val="20"/>
          <w:color w:val="auto"/>
        </w:rPr>
      </w:pPr>
      <w:r>
        <w:rPr>
          <w:rFonts w:ascii="Times New Roman" w:cs="Times New Roman" w:eastAsia="Times New Roman" w:hAnsi="Times New Roman"/>
          <w:sz w:val="12"/>
          <w:szCs w:val="12"/>
          <w:color w:val="auto"/>
        </w:rPr>
        <w:t>Revenues from maintenance dredging projects in 2024 were $158.9 million, a decrease of $28.7 million, or 15%, from $187.6 million in 2023. The decrease in maintenance revenues during the current year was primarily attributable to a decrease in revenue earned on projects in North Carolina, South Carolina and Alabama when compared with prior year. This decrease was offset by an increase in revenue earned on projects in Louisiana, Mississippi and Puerto Rico in the current year.</w:t>
      </w:r>
    </w:p>
    <w:p>
      <w:pPr>
        <w:spacing w:after="0" w:line="119" w:lineRule="exact"/>
        <w:rPr>
          <w:sz w:val="20"/>
          <w:szCs w:val="20"/>
          <w:color w:val="auto"/>
        </w:rPr>
      </w:pPr>
    </w:p>
    <w:p>
      <w:pPr>
        <w:ind w:right="200" w:firstLine="512"/>
        <w:spacing w:after="0" w:line="279" w:lineRule="auto"/>
        <w:rPr>
          <w:sz w:val="20"/>
          <w:szCs w:val="20"/>
          <w:color w:val="auto"/>
        </w:rPr>
      </w:pPr>
      <w:r>
        <w:rPr>
          <w:rFonts w:ascii="Times New Roman" w:cs="Times New Roman" w:eastAsia="Times New Roman" w:hAnsi="Times New Roman"/>
          <w:sz w:val="12"/>
          <w:szCs w:val="12"/>
          <w:color w:val="auto"/>
        </w:rPr>
        <w:t>Rivers &amp; lakes revenues were $2.4 million for 2024, a decrease of $13.9 million, or 86%, from $16.3 million in 2023. The decrease in rivers &amp; lakes revenue during the current year was mostly attributable to a decrease in revenue earned on projects in Tennessee and Arkansas as compared to 2023.</w:t>
      </w:r>
    </w:p>
    <w:p>
      <w:pPr>
        <w:spacing w:after="0" w:line="111" w:lineRule="exact"/>
        <w:rPr>
          <w:sz w:val="20"/>
          <w:szCs w:val="20"/>
          <w:color w:val="auto"/>
        </w:rPr>
      </w:pPr>
    </w:p>
    <w:p>
      <w:pPr>
        <w:ind w:right="80" w:firstLine="512"/>
        <w:spacing w:after="0" w:line="279" w:lineRule="auto"/>
        <w:rPr>
          <w:sz w:val="20"/>
          <w:szCs w:val="20"/>
          <w:color w:val="auto"/>
        </w:rPr>
      </w:pPr>
      <w:r>
        <w:rPr>
          <w:rFonts w:ascii="Times New Roman" w:cs="Times New Roman" w:eastAsia="Times New Roman" w:hAnsi="Times New Roman"/>
          <w:sz w:val="12"/>
          <w:szCs w:val="12"/>
          <w:color w:val="auto"/>
        </w:rPr>
        <w:t>We did not earn revenues from foreign dredging operations in 2024 or 2023. Revenues from foreign dredging operations in 2022 were $0.1 million. In 2022, we moved out of foreign operations to focus on domestic projects and do not anticipate any foreign capital project revenue in the immediate future.</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did not earn revenues from offshore energy in 2024. In 2023, the Company recognized revenues of $2.7 million related to the termination of an offshore energy contract.</w:t>
      </w:r>
    </w:p>
    <w:p>
      <w:pPr>
        <w:spacing w:after="0" w:line="150" w:lineRule="exact"/>
        <w:rPr>
          <w:sz w:val="20"/>
          <w:szCs w:val="20"/>
          <w:color w:val="auto"/>
        </w:rPr>
      </w:pPr>
    </w:p>
    <w:p>
      <w:pPr>
        <w:jc w:val="both"/>
        <w:ind w:right="60" w:firstLine="512"/>
        <w:spacing w:after="0" w:line="265" w:lineRule="auto"/>
        <w:rPr>
          <w:sz w:val="20"/>
          <w:szCs w:val="20"/>
          <w:color w:val="auto"/>
        </w:rPr>
      </w:pPr>
      <w:r>
        <w:rPr>
          <w:rFonts w:ascii="Times New Roman" w:cs="Times New Roman" w:eastAsia="Times New Roman" w:hAnsi="Times New Roman"/>
          <w:sz w:val="12"/>
          <w:szCs w:val="12"/>
          <w:color w:val="auto"/>
        </w:rPr>
        <w:t>Consolidated gross profit for the year ended December 31, 2024 increased by $82.9 million, or 107%, to $160.6 million from $77.7 million for the year ended December 31, 2023. Gross profit margin (gross profit divided by revenue) for the full year 2024 increased to 21.1%, compared to the prior year's gross profit margin of 13.2%. The higher gross profit and gross profit margin for 2024 were driven by increased revenues as well as improved utilization and project performance in the current year. Additionally, the project mix during the current year include a larger proportion of higher margin capital and coastal protection projects than prior year.</w:t>
      </w:r>
    </w:p>
    <w:p>
      <w:pPr>
        <w:spacing w:after="0" w:line="119" w:lineRule="exact"/>
        <w:rPr>
          <w:sz w:val="20"/>
          <w:szCs w:val="20"/>
          <w:color w:val="auto"/>
        </w:rPr>
      </w:pPr>
    </w:p>
    <w:p>
      <w:pPr>
        <w:ind w:right="380" w:firstLine="512"/>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totaled $70.8 million for the year ended December 31, 2024, up from $57.1 million for the year ended December 31, 2023. The increase was mainly attributable to higher incentive compensation and employee benefit expenses, partially offset by lower severance and office expenses.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40" w:name="page41"/>
    <w:bookmarkEnd w:id="40"/>
    <w:p>
      <w:pPr>
        <w:ind w:right="260" w:firstLine="512"/>
        <w:spacing w:after="0" w:line="279" w:lineRule="auto"/>
        <w:rPr>
          <w:sz w:val="20"/>
          <w:szCs w:val="20"/>
          <w:color w:val="auto"/>
        </w:rPr>
      </w:pPr>
      <w:r>
        <w:rPr>
          <w:rFonts w:ascii="Times New Roman" w:cs="Times New Roman" w:eastAsia="Times New Roman" w:hAnsi="Times New Roman"/>
          <w:sz w:val="12"/>
          <w:szCs w:val="12"/>
          <w:color w:val="auto"/>
        </w:rPr>
        <w:t>Other gains and losses for the year ended December 31, 2024 was a gain of $3.0 million, as compared to a gain of $7.5 million for the year ended December 31, 2023. The gain in 2024 was mainly attributable to gains on disposals of assets. The gain in 2023 was primarily the result of a $7.4 million gain recognized that was associated with the termination of an offshore energy contract.</w:t>
      </w:r>
    </w:p>
    <w:p>
      <w:pPr>
        <w:spacing w:after="0" w:line="111" w:lineRule="exact"/>
        <w:rPr>
          <w:sz w:val="20"/>
          <w:szCs w:val="20"/>
          <w:color w:val="auto"/>
        </w:rPr>
      </w:pPr>
    </w:p>
    <w:p>
      <w:pPr>
        <w:ind w:right="60" w:firstLine="512"/>
        <w:spacing w:after="0" w:line="279" w:lineRule="auto"/>
        <w:rPr>
          <w:sz w:val="20"/>
          <w:szCs w:val="20"/>
          <w:color w:val="auto"/>
        </w:rPr>
      </w:pPr>
      <w:r>
        <w:rPr>
          <w:rFonts w:ascii="Times New Roman" w:cs="Times New Roman" w:eastAsia="Times New Roman" w:hAnsi="Times New Roman"/>
          <w:sz w:val="12"/>
          <w:szCs w:val="12"/>
          <w:color w:val="auto"/>
        </w:rPr>
        <w:t>Operating income was $92.8 million and $28.2 million for the years ended December 31, 2024 and 2023, respectively. The $64.6 million increase was a result of higher gross profit in the current year when compared to prior year, partially offset by higher general and administrative expenses in the current year when compared to prior year.</w:t>
      </w:r>
    </w:p>
    <w:p>
      <w:pPr>
        <w:spacing w:after="0" w:line="111" w:lineRule="exact"/>
        <w:rPr>
          <w:sz w:val="20"/>
          <w:szCs w:val="20"/>
          <w:color w:val="auto"/>
        </w:rPr>
      </w:pPr>
    </w:p>
    <w:p>
      <w:pPr>
        <w:ind w:right="220" w:firstLine="512"/>
        <w:spacing w:after="0" w:line="279" w:lineRule="auto"/>
        <w:rPr>
          <w:sz w:val="20"/>
          <w:szCs w:val="20"/>
          <w:color w:val="auto"/>
        </w:rPr>
      </w:pPr>
      <w:r>
        <w:rPr>
          <w:rFonts w:ascii="Times New Roman" w:cs="Times New Roman" w:eastAsia="Times New Roman" w:hAnsi="Times New Roman"/>
          <w:sz w:val="12"/>
          <w:szCs w:val="12"/>
          <w:color w:val="auto"/>
        </w:rPr>
        <w:t>The Company’s net interest expense for 2024 totaled $17.9 million compared to $12.1 million in 2023. The increase in net interest expense was primarily due to higher borrowings from the Second Lien Credit Agreement which was executed during the second quarter of 2024, partially offset by a decrease in interest expense from lower borrowings under the ABL Credit Agreement.</w:t>
      </w:r>
    </w:p>
    <w:p>
      <w:pPr>
        <w:spacing w:after="0" w:line="111" w:lineRule="exact"/>
        <w:rPr>
          <w:sz w:val="20"/>
          <w:szCs w:val="20"/>
          <w:color w:val="auto"/>
        </w:rPr>
      </w:pPr>
    </w:p>
    <w:p>
      <w:pPr>
        <w:ind w:right="20" w:firstLine="512"/>
        <w:spacing w:after="0" w:line="279" w:lineRule="auto"/>
        <w:rPr>
          <w:sz w:val="20"/>
          <w:szCs w:val="20"/>
          <w:color w:val="auto"/>
        </w:rPr>
      </w:pPr>
      <w:r>
        <w:rPr>
          <w:rFonts w:ascii="Times New Roman" w:cs="Times New Roman" w:eastAsia="Times New Roman" w:hAnsi="Times New Roman"/>
          <w:sz w:val="12"/>
          <w:szCs w:val="12"/>
          <w:color w:val="auto"/>
        </w:rPr>
        <w:t>Income tax provision in 2024 was $18.1 million, compared to $4.4 million in 2023. The increased expense was due to the increase in pretax net income. The effective tax rate for the year ended December 31, 2024 was 24.0% compared to 24.1% for the year ended December 31, 2023.</w:t>
      </w:r>
    </w:p>
    <w:p>
      <w:pPr>
        <w:spacing w:after="0" w:line="111" w:lineRule="exact"/>
        <w:rPr>
          <w:sz w:val="20"/>
          <w:szCs w:val="20"/>
          <w:color w:val="auto"/>
        </w:rPr>
      </w:pPr>
    </w:p>
    <w:p>
      <w:pPr>
        <w:ind w:right="40" w:firstLine="512"/>
        <w:spacing w:after="0" w:line="327" w:lineRule="auto"/>
        <w:rPr>
          <w:sz w:val="20"/>
          <w:szCs w:val="20"/>
          <w:color w:val="auto"/>
        </w:rPr>
      </w:pPr>
      <w:r>
        <w:rPr>
          <w:rFonts w:ascii="Times New Roman" w:cs="Times New Roman" w:eastAsia="Times New Roman" w:hAnsi="Times New Roman"/>
          <w:sz w:val="11"/>
          <w:szCs w:val="11"/>
          <w:color w:val="auto"/>
        </w:rPr>
        <w:t>For the year ended December 31, 2024, net income was $57.3 million compared to $13.9 million for the year ended December 31, 2023. The increase in net income of $43.4 million, or 312% from 2023, was primarily driven by the substantial improvement to operating income in the current year when compared to prior year, partially offset by increases in net interest expense and the income tax provision in the current year when compared to prior year.</w:t>
      </w:r>
    </w:p>
    <w:p>
      <w:pPr>
        <w:spacing w:after="0" w:line="87" w:lineRule="exact"/>
        <w:rPr>
          <w:sz w:val="20"/>
          <w:szCs w:val="20"/>
          <w:color w:val="auto"/>
        </w:rPr>
      </w:pPr>
    </w:p>
    <w:p>
      <w:pPr>
        <w:ind w:right="200" w:firstLine="512"/>
        <w:spacing w:after="0" w:line="279" w:lineRule="auto"/>
        <w:rPr>
          <w:sz w:val="20"/>
          <w:szCs w:val="20"/>
          <w:color w:val="auto"/>
        </w:rPr>
      </w:pPr>
      <w:r>
        <w:rPr>
          <w:rFonts w:ascii="Times New Roman" w:cs="Times New Roman" w:eastAsia="Times New Roman" w:hAnsi="Times New Roman"/>
          <w:sz w:val="12"/>
          <w:szCs w:val="12"/>
          <w:color w:val="auto"/>
        </w:rPr>
        <w:t>Adjusted EBITDA (as defined and reconciled on page 37) was $136.0 million and $73.0 million for the years ended December 31, 2024 and 2023, respectively. The increase in Adjusted EBITDA of $63.0 million, or 86% from 2023, was driven by the increase in gross profit, excluding depreciation, partially offset by an increase in general and administrative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Year Ended December 31, 2023 Compared to Year Ended December 31, 2022</w:t>
      </w:r>
    </w:p>
    <w:p>
      <w:pPr>
        <w:spacing w:after="0" w:line="91" w:lineRule="exact"/>
        <w:rPr>
          <w:sz w:val="20"/>
          <w:szCs w:val="20"/>
          <w:color w:val="auto"/>
        </w:rPr>
      </w:pPr>
    </w:p>
    <w:p>
      <w:pPr>
        <w:jc w:val="both"/>
        <w:ind w:right="140" w:firstLine="512"/>
        <w:spacing w:after="0" w:line="265" w:lineRule="auto"/>
        <w:rPr>
          <w:sz w:val="20"/>
          <w:szCs w:val="20"/>
          <w:color w:val="auto"/>
        </w:rPr>
      </w:pPr>
      <w:r>
        <w:rPr>
          <w:rFonts w:ascii="Times New Roman" w:cs="Times New Roman" w:eastAsia="Times New Roman" w:hAnsi="Times New Roman"/>
          <w:sz w:val="12"/>
          <w:szCs w:val="12"/>
          <w:color w:val="auto"/>
        </w:rPr>
        <w:t>For a discussion comparing our consolidated operating results from the year ended December 31, 2023 with the year ended December 31, 2022, refer to Part II, Item 7. “Management’s Discussion and Analysis of Financial Condition and Results of Operation – Year Ended December 31, 2023 Compared to Year Ended December 31, 2022” in our Annual Report on Form 10-K for the year ended December 31, 2023, which was filed with the Commission on February 16,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Bidding Activity and Backlog</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sets forth, by type of work, the Company’s backlog as of the dates indicated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Backlog (in thousands)</w:t>
            </w:r>
          </w:p>
        </w:tc>
        <w:tc>
          <w:tcPr>
            <w:tcW w:w="5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0"/>
                <w:szCs w:val="10"/>
                <w:color w:val="auto"/>
              </w:rPr>
            </w:pPr>
          </w:p>
        </w:tc>
      </w:tr>
      <w:tr>
        <w:trPr>
          <w:trHeight w:val="133"/>
        </w:trPr>
        <w:tc>
          <w:tcPr>
            <w:tcW w:w="4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Dredging:</w:t>
            </w:r>
          </w:p>
        </w:tc>
        <w:tc>
          <w:tcPr>
            <w:tcW w:w="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Capital - U.S.</w:t>
            </w:r>
          </w:p>
        </w:tc>
        <w:tc>
          <w:tcPr>
            <w:tcW w:w="50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799,565</w:t>
            </w:r>
          </w:p>
        </w:tc>
        <w:tc>
          <w:tcPr>
            <w:tcW w:w="8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741,839</w:t>
            </w:r>
          </w:p>
        </w:tc>
        <w:tc>
          <w:tcPr>
            <w:tcW w:w="860" w:type="dxa"/>
            <w:vAlign w:val="bottom"/>
            <w:gridSpan w:val="2"/>
            <w:shd w:val="clear" w:color="auto" w:fill="CFF0FC"/>
          </w:tcPr>
          <w:p>
            <w:pPr>
              <w:jc w:val="right"/>
              <w:ind w:right="386"/>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148,429</w:t>
            </w:r>
          </w:p>
        </w:tc>
        <w:tc>
          <w:tcPr>
            <w:tcW w:w="120" w:type="dxa"/>
            <w:vAlign w:val="bottom"/>
            <w:shd w:val="clear" w:color="auto" w:fill="CFF0FC"/>
          </w:tcPr>
          <w:p>
            <w:pPr>
              <w:spacing w:after="0"/>
              <w:rPr>
                <w:sz w:val="12"/>
                <w:szCs w:val="12"/>
                <w:color w:val="auto"/>
              </w:rPr>
            </w:pPr>
          </w:p>
        </w:tc>
      </w:tr>
      <w:tr>
        <w:trPr>
          <w:trHeight w:val="144"/>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Coastal protection</w:t>
            </w:r>
          </w:p>
        </w:tc>
        <w:tc>
          <w:tcPr>
            <w:tcW w:w="5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328,073</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138,394</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97,819</w:t>
            </w:r>
          </w:p>
        </w:tc>
        <w:tc>
          <w:tcPr>
            <w:tcW w:w="120" w:type="dxa"/>
            <w:vAlign w:val="bottom"/>
          </w:tcPr>
          <w:p>
            <w:pPr>
              <w:spacing w:after="0"/>
              <w:rPr>
                <w:sz w:val="12"/>
                <w:szCs w:val="12"/>
                <w:color w:val="auto"/>
              </w:rPr>
            </w:pPr>
          </w:p>
        </w:tc>
      </w:tr>
      <w:tr>
        <w:trPr>
          <w:trHeight w:val="144"/>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Maintenance</w:t>
            </w: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60,243</w:t>
            </w:r>
          </w:p>
        </w:tc>
        <w:tc>
          <w:tcPr>
            <w:tcW w:w="3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152,104</w:t>
            </w:r>
          </w:p>
        </w:tc>
        <w:tc>
          <w:tcPr>
            <w:tcW w:w="3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125,671</w:t>
            </w:r>
          </w:p>
        </w:tc>
        <w:tc>
          <w:tcPr>
            <w:tcW w:w="120" w:type="dxa"/>
            <w:vAlign w:val="bottom"/>
            <w:shd w:val="clear" w:color="auto" w:fill="CFF0FC"/>
          </w:tcPr>
          <w:p>
            <w:pPr>
              <w:spacing w:after="0"/>
              <w:rPr>
                <w:sz w:val="12"/>
                <w:szCs w:val="12"/>
                <w:color w:val="auto"/>
              </w:rPr>
            </w:pPr>
          </w:p>
        </w:tc>
      </w:tr>
      <w:tr>
        <w:trPr>
          <w:trHeight w:val="144"/>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Rivers &amp; lakes</w:t>
            </w: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6,318</w:t>
            </w: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6,765</w:t>
            </w: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5,221</w:t>
            </w:r>
          </w:p>
        </w:tc>
        <w:tc>
          <w:tcPr>
            <w:tcW w:w="120" w:type="dxa"/>
            <w:vAlign w:val="bottom"/>
          </w:tcPr>
          <w:p>
            <w:pPr>
              <w:spacing w:after="0"/>
              <w:rPr>
                <w:sz w:val="12"/>
                <w:szCs w:val="12"/>
                <w:color w:val="auto"/>
              </w:rPr>
            </w:pPr>
          </w:p>
        </w:tc>
      </w:tr>
      <w:tr>
        <w:trPr>
          <w:trHeight w:val="133"/>
        </w:trPr>
        <w:tc>
          <w:tcPr>
            <w:tcW w:w="43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Dredging Backlog</w:t>
            </w: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1,194,199</w:t>
            </w:r>
          </w:p>
        </w:tc>
        <w:tc>
          <w:tcPr>
            <w:tcW w:w="3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1,039,102</w:t>
            </w:r>
          </w:p>
        </w:tc>
        <w:tc>
          <w:tcPr>
            <w:tcW w:w="3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377,140</w:t>
            </w:r>
          </w:p>
        </w:tc>
        <w:tc>
          <w:tcPr>
            <w:tcW w:w="120" w:type="dxa"/>
            <w:vAlign w:val="bottom"/>
            <w:shd w:val="clear" w:color="auto" w:fill="CFF0FC"/>
          </w:tcPr>
          <w:p>
            <w:pPr>
              <w:spacing w:after="0"/>
              <w:rPr>
                <w:sz w:val="11"/>
                <w:szCs w:val="11"/>
                <w:color w:val="auto"/>
              </w:rPr>
            </w:pPr>
          </w:p>
        </w:tc>
      </w:tr>
      <w:tr>
        <w:trPr>
          <w:trHeight w:val="144"/>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Offshore energy</w:t>
            </w: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44,945</w:t>
            </w: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44,604</w:t>
            </w: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r>
      <w:tr>
        <w:trPr>
          <w:trHeight w:val="140"/>
        </w:trPr>
        <w:tc>
          <w:tcPr>
            <w:tcW w:w="436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Backlog</w:t>
            </w:r>
          </w:p>
        </w:tc>
        <w:tc>
          <w:tcPr>
            <w:tcW w:w="500" w:type="dxa"/>
            <w:vAlign w:val="bottom"/>
            <w:tcBorders>
              <w:bottom w:val="single" w:sz="8" w:color="auto"/>
            </w:tcBorders>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1,239,144</w:t>
            </w:r>
          </w:p>
        </w:tc>
        <w:tc>
          <w:tcPr>
            <w:tcW w:w="34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1,083,706</w:t>
            </w:r>
          </w:p>
        </w:tc>
        <w:tc>
          <w:tcPr>
            <w:tcW w:w="36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377,140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-16510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-5080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-16510</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-5080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-16510</wp:posOffset>
            </wp:positionV>
            <wp:extent cx="7429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-5080</wp:posOffset>
            </wp:positionV>
            <wp:extent cx="7429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158" w:lineRule="exact"/>
        <w:rPr>
          <w:sz w:val="20"/>
          <w:szCs w:val="20"/>
          <w:color w:val="auto"/>
        </w:rPr>
      </w:pPr>
    </w:p>
    <w:p>
      <w:pPr>
        <w:ind w:right="60" w:firstLine="512"/>
        <w:spacing w:after="0" w:line="265" w:lineRule="auto"/>
        <w:rPr>
          <w:sz w:val="20"/>
          <w:szCs w:val="20"/>
          <w:color w:val="auto"/>
        </w:rPr>
      </w:pPr>
      <w:r>
        <w:rPr>
          <w:rFonts w:ascii="Times New Roman" w:cs="Times New Roman" w:eastAsia="Times New Roman" w:hAnsi="Times New Roman"/>
          <w:sz w:val="12"/>
          <w:szCs w:val="12"/>
          <w:color w:val="auto"/>
        </w:rPr>
        <w:t xml:space="preserve">Total backlog does not include $282.1 million of domestic low bids pending formal award and additional phases (“options”) pending on projects currently in dredging backlog and $12.7 million of offshore energy options pending at December 31, 2024. The Company expects to perform on its offshore energy contracts using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an inclined fall-pipe vessel for subsea rock installation currently under construction, which is expected to be delivered and operational in 2026.</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41" w:name="page42"/>
    <w:bookmarkEnd w:id="41"/>
    <w:p>
      <w:pPr>
        <w:ind w:firstLine="512"/>
        <w:spacing w:after="0" w:line="256" w:lineRule="auto"/>
        <w:rPr>
          <w:sz w:val="20"/>
          <w:szCs w:val="20"/>
          <w:color w:val="auto"/>
        </w:rPr>
      </w:pPr>
      <w:r>
        <w:rPr>
          <w:rFonts w:ascii="Times New Roman" w:cs="Times New Roman" w:eastAsia="Times New Roman" w:hAnsi="Times New Roman"/>
          <w:sz w:val="12"/>
          <w:szCs w:val="12"/>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56% of our December 31, 2024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25" w:lineRule="exact"/>
        <w:rPr>
          <w:sz w:val="20"/>
          <w:szCs w:val="20"/>
          <w:color w:val="auto"/>
        </w:rPr>
      </w:pPr>
    </w:p>
    <w:p>
      <w:pPr>
        <w:ind w:right="40" w:firstLine="512"/>
        <w:spacing w:after="0" w:line="279" w:lineRule="auto"/>
        <w:rPr>
          <w:sz w:val="20"/>
          <w:szCs w:val="20"/>
          <w:color w:val="auto"/>
        </w:rPr>
      </w:pPr>
      <w:r>
        <w:rPr>
          <w:rFonts w:ascii="Times New Roman" w:cs="Times New Roman" w:eastAsia="Times New Roman" w:hAnsi="Times New Roman"/>
          <w:sz w:val="12"/>
          <w:szCs w:val="12"/>
          <w:color w:val="auto"/>
        </w:rPr>
        <w:t>Approximately 60% of the Company’s dredging backlog at December 31, 2024 is expected to be completed and converted to revenue in 2025 with the remainder to be completed in 2026. This amount may fluctuate as vessel schedules are adjusted in the future.</w:t>
      </w:r>
    </w:p>
    <w:p>
      <w:pPr>
        <w:spacing w:after="0" w:line="111" w:lineRule="exact"/>
        <w:rPr>
          <w:sz w:val="20"/>
          <w:szCs w:val="20"/>
          <w:color w:val="auto"/>
        </w:rPr>
      </w:pPr>
    </w:p>
    <w:p>
      <w:pPr>
        <w:ind w:right="80" w:firstLine="512"/>
        <w:spacing w:after="0" w:line="256" w:lineRule="auto"/>
        <w:rPr>
          <w:sz w:val="20"/>
          <w:szCs w:val="20"/>
          <w:color w:val="auto"/>
        </w:rPr>
      </w:pPr>
      <w:r>
        <w:rPr>
          <w:rFonts w:ascii="Times New Roman" w:cs="Times New Roman" w:eastAsia="Times New Roman" w:hAnsi="Times New Roman"/>
          <w:sz w:val="12"/>
          <w:szCs w:val="12"/>
          <w:color w:val="auto"/>
        </w:rPr>
        <w:t>The 2024 domestic dredging bid market, excluding LNG projects, totaled $2.93 billion, an increase of $710 million, or 32.0%, compared to the 2023 bid market total of $2.22 billion. The total domestic dredging bid market for the current year period included awards for eighteen domestic capital projects in Alabama, Florida, Georgia, Louisiana, Maine, Texas, and Virginia, twenty three coastal protection projects in Florida, Massachusetts, New Jersey, New York, North Carolina, and South Carolina, forty seven maintenance projects in Alabama, Delaware, Florida, Georgia, Louisiana, Maine, Maryland, New Jersey, New York, North Carolina, Oregon, and Texas, and three rivers &amp; lakes projects in Alabama, Mississippi, and Tennessee. The Company won 33% of the overall 2024 domestic bid market, consistent with the 34% win rate of the overall 2023 domestic bid market and with the win rate of 31% over the three-year period ended December 31, 2024. Variability in contract wins from period to period is not unusual. We believe trends in our win rate over the prior three-year periods provide a historical background against which current year results can be compared.</w:t>
      </w:r>
    </w:p>
    <w:p>
      <w:pPr>
        <w:spacing w:after="0" w:line="125" w:lineRule="exact"/>
        <w:rPr>
          <w:sz w:val="20"/>
          <w:szCs w:val="20"/>
          <w:color w:val="auto"/>
        </w:rPr>
      </w:pPr>
    </w:p>
    <w:p>
      <w:pPr>
        <w:ind w:right="20" w:firstLine="512"/>
        <w:spacing w:after="0" w:line="257" w:lineRule="auto"/>
        <w:rPr>
          <w:sz w:val="20"/>
          <w:szCs w:val="20"/>
          <w:color w:val="auto"/>
        </w:rPr>
      </w:pPr>
      <w:r>
        <w:rPr>
          <w:rFonts w:ascii="Times New Roman" w:cs="Times New Roman" w:eastAsia="Times New Roman" w:hAnsi="Times New Roman"/>
          <w:sz w:val="12"/>
          <w:szCs w:val="12"/>
          <w:color w:val="auto"/>
        </w:rPr>
        <w:t>The Company’s December 31, 2024 contracted dredging backlog was $1.19 billion. This represents an increase of $155.1 million, or 14.9%, over our December 31, 2023 dredging backlog of $1.04 billion. Total dredging backlog at the end of 2024 does not reflect approximately $44.9 million of performance obligations related to offshore energy contracts or approximately $282.1 million of domestic low bids pending formal award and additional phases (“options”) pending on projects currently in dredging backlog and $12.7 million of offshore energy options pending at December 31, 2024. Included in the Company’s backlog at December 31, 2024 are two LNG projects, including the Brownsville Ship Channel project for Next Decade Corporation’s Rio Grande LNG project, which is the largest project undertaken in the Company's history, and the Port Arthur LNG Phase 1 project for Marine Dredging and Disposal. Dredging on both projects began during the third quarter of 2024.</w:t>
      </w:r>
    </w:p>
    <w:p>
      <w:pPr>
        <w:spacing w:after="0" w:line="125" w:lineRule="exact"/>
        <w:rPr>
          <w:sz w:val="20"/>
          <w:szCs w:val="20"/>
          <w:color w:val="auto"/>
        </w:rPr>
      </w:pPr>
    </w:p>
    <w:p>
      <w:pPr>
        <w:jc w:val="both"/>
        <w:ind w:right="160" w:firstLine="512"/>
        <w:spacing w:after="0" w:line="260" w:lineRule="auto"/>
        <w:rPr>
          <w:sz w:val="20"/>
          <w:szCs w:val="20"/>
          <w:color w:val="auto"/>
        </w:rPr>
      </w:pPr>
      <w:r>
        <w:rPr>
          <w:rFonts w:ascii="Times New Roman" w:cs="Times New Roman" w:eastAsia="Times New Roman" w:hAnsi="Times New Roman"/>
          <w:sz w:val="12"/>
          <w:szCs w:val="12"/>
          <w:color w:val="auto"/>
        </w:rPr>
        <w:t>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WRDA 2022 included funding for deepening the New York and New Jersey shipping channels to 55 feet, as well as the Coastal Texas Protection and Restoration Program, which aims to protect the Texas Gulf Coast from hurricanes. On January 4, 2025, then President Biden signed the WRDA of 2024 (“WRDA 2024”) into law, which includes several capital projects and projects designed to enhance flood protection, improve coastal resilience and support ecosystem restoration.</w:t>
      </w:r>
    </w:p>
    <w:p>
      <w:pPr>
        <w:spacing w:after="0" w:line="122" w:lineRule="exact"/>
        <w:rPr>
          <w:sz w:val="20"/>
          <w:szCs w:val="20"/>
          <w:color w:val="auto"/>
        </w:rPr>
      </w:pPr>
    </w:p>
    <w:p>
      <w:pPr>
        <w:jc w:val="both"/>
        <w:ind w:right="180" w:firstLine="512"/>
        <w:spacing w:after="0" w:line="327" w:lineRule="auto"/>
        <w:rPr>
          <w:sz w:val="20"/>
          <w:szCs w:val="20"/>
          <w:color w:val="auto"/>
        </w:rPr>
      </w:pPr>
      <w:r>
        <w:rPr>
          <w:rFonts w:ascii="Times New Roman" w:cs="Times New Roman" w:eastAsia="Times New Roman" w:hAnsi="Times New Roman"/>
          <w:sz w:val="11"/>
          <w:szCs w:val="11"/>
          <w:color w:val="auto"/>
        </w:rPr>
        <w:t>The 2024 Energy and Water Appropriations Bill provided a record $8.7 billion in total funding to the Corps. Additionally, the 2023 Disaster Relief Supplemental Appropriations Act allocated $1.5 billion for infrastructure repairs and beach renourishment projects. This increased budget and additional funding have supported a record bid market in 2024 of $2.9 billion, which included a robust beach renourishment market and thirteen capital projects.</w:t>
      </w:r>
    </w:p>
    <w:p>
      <w:pPr>
        <w:spacing w:after="0" w:line="87" w:lineRule="exact"/>
        <w:rPr>
          <w:sz w:val="20"/>
          <w:szCs w:val="20"/>
          <w:color w:val="auto"/>
        </w:rPr>
      </w:pPr>
    </w:p>
    <w:p>
      <w:pPr>
        <w:ind w:right="60" w:firstLine="512"/>
        <w:spacing w:after="0" w:line="260" w:lineRule="auto"/>
        <w:rPr>
          <w:sz w:val="20"/>
          <w:szCs w:val="20"/>
          <w:color w:val="auto"/>
        </w:rPr>
      </w:pPr>
      <w:r>
        <w:rPr>
          <w:rFonts w:ascii="Times New Roman" w:cs="Times New Roman" w:eastAsia="Times New Roman" w:hAnsi="Times New Roman"/>
          <w:sz w:val="12"/>
          <w:szCs w:val="12"/>
          <w:color w:val="auto"/>
        </w:rPr>
        <w:t>The 2025 Corps’ budget is expected to be another record appropriation. On June 28, 2024, the U.S. House of Representatives (the “House”) Energy and Water Appropriations Subcommittee passed their 2025 Appropriations Bill providing the Corps with a budget of $9.96 billion, which was $2.7 billion above the President’s Budget request. The bill includes $5.7 billion for Operations and Maintenance projects, of which $3.1 billion is from the Harbor Maintenance Trust Fund. On August 1, 2024, the Senate Appropriation Committee approved its draft of the 2025 Energy and Water spending bill which provides $10.3 billion in total funding for the Corps. However, these appropriations bills have not yet been passed by the full House or Senate. On December 20, 2024, Congress approved a continuing resolution to provide funding at previously enacted levels through March 14, 2025.</w:t>
      </w:r>
    </w:p>
    <w:p>
      <w:pPr>
        <w:spacing w:after="0" w:line="122" w:lineRule="exact"/>
        <w:rPr>
          <w:sz w:val="20"/>
          <w:szCs w:val="20"/>
          <w:color w:val="auto"/>
        </w:rPr>
      </w:pPr>
    </w:p>
    <w:p>
      <w:pPr>
        <w:ind w:right="20" w:firstLine="512"/>
        <w:spacing w:after="0" w:line="279" w:lineRule="auto"/>
        <w:rPr>
          <w:sz w:val="20"/>
          <w:szCs w:val="20"/>
          <w:color w:val="auto"/>
        </w:rPr>
      </w:pPr>
      <w:r>
        <w:rPr>
          <w:rFonts w:ascii="Times New Roman" w:cs="Times New Roman" w:eastAsia="Times New Roman" w:hAnsi="Times New Roman"/>
          <w:sz w:val="12"/>
          <w:szCs w:val="12"/>
          <w:color w:val="auto"/>
        </w:rPr>
        <w:t>The Company won 37%, or $389.1 million, of the domestic capital dredging projects awarded in 2024, compared to 36%, or $241.8 million, in the prior year. Domestic capital dredging work made up $799.6 million, or 67%, of our December 31, 2024 contracted dredging backlog. During 2024, the Company was awarded four domestic capital dredging projects in Florida, Alabama,</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42" w:name="page43"/>
    <w:bookmarkEnd w:id="42"/>
    <w:p>
      <w:pPr>
        <w:spacing w:after="0" w:line="257" w:lineRule="auto"/>
        <w:rPr>
          <w:sz w:val="20"/>
          <w:szCs w:val="20"/>
          <w:color w:val="auto"/>
        </w:rPr>
      </w:pPr>
      <w:r>
        <w:rPr>
          <w:rFonts w:ascii="Times New Roman" w:cs="Times New Roman" w:eastAsia="Times New Roman" w:hAnsi="Times New Roman"/>
          <w:sz w:val="12"/>
          <w:szCs w:val="12"/>
          <w:color w:val="auto"/>
        </w:rPr>
        <w:t>Virginia and Texas. During 2024, the Company continued to earn revenue from deepening projects in Virginia and Texas, which were in dredging backlog at December 31, 2023. These deepenings continue the trend of ensuring all East Coast and Gulf of America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 We expect approximately 44% of our domestic capital dredging backlog at December 31, 2024 to be performed in 2025, with the remainder performed in 2026.</w:t>
      </w:r>
    </w:p>
    <w:p>
      <w:pPr>
        <w:spacing w:after="0" w:line="125" w:lineRule="exact"/>
        <w:rPr>
          <w:sz w:val="20"/>
          <w:szCs w:val="20"/>
          <w:color w:val="auto"/>
        </w:rPr>
      </w:pPr>
    </w:p>
    <w:p>
      <w:pPr>
        <w:ind w:right="60" w:firstLine="512"/>
        <w:spacing w:after="0" w:line="256" w:lineRule="auto"/>
        <w:rPr>
          <w:sz w:val="20"/>
          <w:szCs w:val="20"/>
          <w:color w:val="auto"/>
        </w:rPr>
      </w:pPr>
      <w:r>
        <w:rPr>
          <w:rFonts w:ascii="Times New Roman" w:cs="Times New Roman" w:eastAsia="Times New Roman" w:hAnsi="Times New Roman"/>
          <w:sz w:val="12"/>
          <w:szCs w:val="12"/>
          <w:color w:val="auto"/>
        </w:rPr>
        <w:t>The Company won 63%, or $557.8 million, of the coastal protection projects awarded in 2024, compared to 52%, or $213.8 million, in the prior year. During 2024, the Company was awarded eleven coastal protection projects in New Jersey, New York, Massachusetts, Florida and South Carolina. We have contracted dredging backlog related to coastal protection of $328.1 million at December 31, 2024 compared to $138.4 million at the end of 2023. During the year ended December 31, 2024, the Company continued to earn revenue on coastal protection projects in New York, New Jersey, Alabama and Florida which were in dredging backlog at December 31, 2023. We expect approximately 87% of our coastal protection dredging backlog at December 31, 2024 to be performed in 2025, with the remainder performed in 2026.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w:t>
      </w:r>
    </w:p>
    <w:p>
      <w:pPr>
        <w:spacing w:after="0" w:line="125" w:lineRule="exact"/>
        <w:rPr>
          <w:sz w:val="20"/>
          <w:szCs w:val="20"/>
          <w:color w:val="auto"/>
        </w:rPr>
      </w:pPr>
    </w:p>
    <w:p>
      <w:pPr>
        <w:ind w:right="60" w:firstLine="512"/>
        <w:spacing w:after="0" w:line="255" w:lineRule="auto"/>
        <w:rPr>
          <w:sz w:val="20"/>
          <w:szCs w:val="20"/>
          <w:color w:val="auto"/>
        </w:rPr>
      </w:pPr>
      <w:r>
        <w:rPr>
          <w:rFonts w:ascii="Times New Roman" w:cs="Times New Roman" w:eastAsia="Times New Roman" w:hAnsi="Times New Roman"/>
          <w:sz w:val="12"/>
          <w:szCs w:val="12"/>
          <w:color w:val="auto"/>
        </w:rPr>
        <w:t>The Company won 2%, or $18.1 million, of the maintenance dredging projects awarded in 2024 compared to 30%, or $292.8 million, in 2023. The decrease in the Company’s maintenance project awards in 2024 is primarily the result of the increase in capital and coastal protection projects awarded to the Company during the same period. During 2024 the Company was awarded two maintenance projects in Florida and Texas. During the year ended December 31, 2024, the Company continued to earn revenue on projects in Louisiana, Texas, Mississippi, Puerto Rico and Florida which were in dredging backlog at December 31, 2023. Our contracted maintenance dredging backlog at December 31, 2024 of $60.2 million is $91.9 million lower than the backlog of $152.1 million at December 31, 2023</w:t>
      </w:r>
      <w:r>
        <w:rPr>
          <w:rFonts w:ascii="Times New Roman" w:cs="Times New Roman" w:eastAsia="Times New Roman" w:hAnsi="Times New Roman"/>
          <w:sz w:val="12"/>
          <w:szCs w:val="12"/>
          <w:color w:val="FF0000"/>
        </w:rPr>
        <w:t>.</w:t>
      </w:r>
      <w:r>
        <w:rPr>
          <w:rFonts w:ascii="Times New Roman" w:cs="Times New Roman" w:eastAsia="Times New Roman" w:hAnsi="Times New Roman"/>
          <w:sz w:val="12"/>
          <w:szCs w:val="12"/>
          <w:color w:val="auto"/>
        </w:rPr>
        <w:t xml:space="preserve"> We expect substantially all of our maintenance dredging backlog at December 31, 2024 to be performed in 2025.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has seen increased funding for harbor maintenance projects to be let for bid throughout 2024 and expects this trend to continue in 2025.</w:t>
      </w:r>
    </w:p>
    <w:p>
      <w:pPr>
        <w:spacing w:after="0" w:line="126" w:lineRule="exact"/>
        <w:rPr>
          <w:sz w:val="20"/>
          <w:szCs w:val="20"/>
          <w:color w:val="auto"/>
        </w:rPr>
      </w:pPr>
    </w:p>
    <w:p>
      <w:pPr>
        <w:ind w:right="60" w:firstLine="512"/>
        <w:spacing w:after="0" w:line="265" w:lineRule="auto"/>
        <w:rPr>
          <w:sz w:val="20"/>
          <w:szCs w:val="20"/>
          <w:color w:val="auto"/>
        </w:rPr>
      </w:pPr>
      <w:r>
        <w:rPr>
          <w:rFonts w:ascii="Times New Roman" w:cs="Times New Roman" w:eastAsia="Times New Roman" w:hAnsi="Times New Roman"/>
          <w:sz w:val="12"/>
          <w:szCs w:val="12"/>
          <w:color w:val="auto"/>
        </w:rPr>
        <w:t>The Company did not win any of the rivers &amp; lakes projects awarded in the markets where the group operates during the current year or prior year. We have contracted dredging backlog related to rivers &amp; lakes of $6.3 million at December 31, 2024, which is $0.5 million lower than the backlog of $6.8 million at December 31, 2023. We expect all of our rivers &amp; lakes dredging backlog at December 31, 2024 to be performed in 2025. During 2024, the Company continued to earn revenue on a project Arkansas which was in dredging backlog at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 and Capital Resources</w:t>
      </w:r>
    </w:p>
    <w:p>
      <w:pPr>
        <w:spacing w:after="0" w:line="82" w:lineRule="exact"/>
        <w:rPr>
          <w:sz w:val="20"/>
          <w:szCs w:val="20"/>
          <w:color w:val="auto"/>
        </w:rPr>
      </w:pPr>
    </w:p>
    <w:p>
      <w:pPr>
        <w:ind w:right="100" w:firstLine="512"/>
        <w:spacing w:after="0" w:line="265" w:lineRule="auto"/>
        <w:rPr>
          <w:sz w:val="20"/>
          <w:szCs w:val="20"/>
          <w:color w:val="auto"/>
        </w:rPr>
      </w:pPr>
      <w:r>
        <w:rPr>
          <w:rFonts w:ascii="Times New Roman" w:cs="Times New Roman" w:eastAsia="Times New Roman" w:hAnsi="Times New Roman"/>
          <w:sz w:val="12"/>
          <w:szCs w:val="12"/>
          <w:color w:val="auto"/>
        </w:rPr>
        <w:t>The Company’s principal sources of liquidity are net cash flows provided by operating activities, availability under our revolving credit facility and proceeds from issuances of long-term debt. See Note 6, “Long-term debt,” to our consolidated financial statements included in Item 15 of this Annual Report on Form 10-K. Our principal uses of cash are to meet debt service requirements, finance capital expenditures, and provide working capital and other general corporate purposes.</w:t>
      </w:r>
    </w:p>
    <w:p>
      <w:pPr>
        <w:spacing w:after="0" w:line="119" w:lineRule="exact"/>
        <w:rPr>
          <w:sz w:val="20"/>
          <w:szCs w:val="20"/>
          <w:color w:val="auto"/>
        </w:rPr>
      </w:pPr>
    </w:p>
    <w:p>
      <w:pPr>
        <w:ind w:firstLine="512"/>
        <w:spacing w:after="0" w:line="257" w:lineRule="auto"/>
        <w:rPr>
          <w:sz w:val="20"/>
          <w:szCs w:val="20"/>
          <w:color w:val="auto"/>
        </w:rPr>
      </w:pPr>
      <w:r>
        <w:rPr>
          <w:rFonts w:ascii="Times New Roman" w:cs="Times New Roman" w:eastAsia="Times New Roman" w:hAnsi="Times New Roman"/>
          <w:sz w:val="12"/>
          <w:szCs w:val="12"/>
          <w:color w:val="auto"/>
        </w:rPr>
        <w:t>The Company’s net cash provided by operating activities for the years ended December 31, 2024, 2023 and 2022 totaled $70.1 million, $47.4 million and $1.7 million, respectively. Normal increases or decreases in the level of working capital relative to the level of operational activity impact cash flow from operating activities. The increase in cash provided by operating activities during 2024 relates primarily to significantly higher earnings in 2024, as well as increases in deferred income taxes, amortization of capitalized contract costs and a decrease in prepaid expenses and other current assets, partially offset by the increases in accounts receivable and decreases in billings in excess of contract revenues and other changes in working capital compared to the prior year. The increase in cash provided by operating activities during 2023 compared to 2022 was driven by a increases in net income and billings in excess of contract revenues offset by an increase in accounts receivable during 2023 when compared to 2022.</w:t>
      </w:r>
    </w:p>
    <w:p>
      <w:pPr>
        <w:spacing w:after="0" w:line="125" w:lineRule="exact"/>
        <w:rPr>
          <w:sz w:val="20"/>
          <w:szCs w:val="20"/>
          <w:color w:val="auto"/>
        </w:rPr>
      </w:pPr>
    </w:p>
    <w:p>
      <w:pPr>
        <w:ind w:right="160" w:firstLine="512"/>
        <w:spacing w:after="0" w:line="265" w:lineRule="auto"/>
        <w:rPr>
          <w:sz w:val="20"/>
          <w:szCs w:val="20"/>
          <w:color w:val="auto"/>
        </w:rPr>
      </w:pPr>
      <w:r>
        <w:rPr>
          <w:rFonts w:ascii="Times New Roman" w:cs="Times New Roman" w:eastAsia="Times New Roman" w:hAnsi="Times New Roman"/>
          <w:sz w:val="12"/>
          <w:szCs w:val="12"/>
          <w:color w:val="auto"/>
        </w:rPr>
        <w:t xml:space="preserve">The Company’s net cash flows used in investing activities for the years ended December 31, 2024, 2023 and 2022 totaled $115.7 million, $120.1 million and $140.9 million, respectively. Investing activities in all periods primarily relate to investments in our new build program, normal course upgrades and capital maintenance of our dredging fleet. The Company took delivery of a 6,500 cubic yard trailing suction hopper dredge, the </w:t>
      </w:r>
      <w:r>
        <w:rPr>
          <w:rFonts w:ascii="Times New Roman" w:cs="Times New Roman" w:eastAsia="Times New Roman" w:hAnsi="Times New Roman"/>
          <w:sz w:val="12"/>
          <w:szCs w:val="12"/>
          <w:i w:val="1"/>
          <w:iCs w:val="1"/>
          <w:color w:val="auto"/>
        </w:rPr>
        <w:t>Galveston Island</w:t>
      </w:r>
      <w:r>
        <w:rPr>
          <w:rFonts w:ascii="Times New Roman" w:cs="Times New Roman" w:eastAsia="Times New Roman" w:hAnsi="Times New Roman"/>
          <w:sz w:val="12"/>
          <w:szCs w:val="12"/>
          <w:color w:val="auto"/>
        </w:rPr>
        <w:t>, which began operations in February 2024. Additionally, in June 2022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43" w:name="page44"/>
    <w:bookmarkEnd w:id="43"/>
    <w:p>
      <w:pPr>
        <w:ind w:right="20"/>
        <w:spacing w:after="0" w:line="257" w:lineRule="auto"/>
        <w:rPr>
          <w:sz w:val="20"/>
          <w:szCs w:val="20"/>
          <w:color w:val="auto"/>
        </w:rPr>
      </w:pPr>
      <w:r>
        <w:rPr>
          <w:rFonts w:ascii="Times New Roman" w:cs="Times New Roman" w:eastAsia="Times New Roman" w:hAnsi="Times New Roman"/>
          <w:sz w:val="12"/>
          <w:szCs w:val="12"/>
          <w:color w:val="auto"/>
        </w:rPr>
        <w:t xml:space="preserve">the Company exercised the contract option with the same builder to build a second 6,500 cubic yard trailing suction hopper dredge, the </w:t>
      </w:r>
      <w:r>
        <w:rPr>
          <w:rFonts w:ascii="Times New Roman" w:cs="Times New Roman" w:eastAsia="Times New Roman" w:hAnsi="Times New Roman"/>
          <w:sz w:val="12"/>
          <w:szCs w:val="12"/>
          <w:i w:val="1"/>
          <w:iCs w:val="1"/>
          <w:color w:val="auto"/>
        </w:rPr>
        <w:t>Amelia Island</w:t>
      </w:r>
      <w:r>
        <w:rPr>
          <w:rFonts w:ascii="Times New Roman" w:cs="Times New Roman" w:eastAsia="Times New Roman" w:hAnsi="Times New Roman"/>
          <w:sz w:val="12"/>
          <w:szCs w:val="12"/>
          <w:color w:val="auto"/>
        </w:rPr>
        <w:t xml:space="preserve">, with expected delivery in the second half of 2025. The delivery of the new </w:t>
      </w:r>
      <w:r>
        <w:rPr>
          <w:rFonts w:ascii="Times New Roman" w:cs="Times New Roman" w:eastAsia="Times New Roman" w:hAnsi="Times New Roman"/>
          <w:sz w:val="12"/>
          <w:szCs w:val="12"/>
          <w:i w:val="1"/>
          <w:iCs w:val="1"/>
          <w:color w:val="auto"/>
        </w:rPr>
        <w:t xml:space="preserve">Galveston Island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Amelia Island </w:t>
      </w:r>
      <w:r>
        <w:rPr>
          <w:rFonts w:ascii="Times New Roman" w:cs="Times New Roman" w:eastAsia="Times New Roman" w:hAnsi="Times New Roman"/>
          <w:sz w:val="12"/>
          <w:szCs w:val="12"/>
          <w:color w:val="auto"/>
        </w:rPr>
        <w:t>hopper dredges will provide the Company with added capacity and the opportunity to potentially retire older dredges. In November 2021, the Company entered into a $197 million contract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Philly Shipyard to build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xml:space="preserve"> the first U.S. flagged Jones Act compliant, inclined fall-pipe subsea rock installation vessel to support the offshore energy industry, which is expected to be delivered and operational in the first half of 2026. During the year ended December 31, 2024, the Company invested $5.4 million and $41.0 million in the </w:t>
      </w:r>
      <w:r>
        <w:rPr>
          <w:rFonts w:ascii="Times New Roman" w:cs="Times New Roman" w:eastAsia="Times New Roman" w:hAnsi="Times New Roman"/>
          <w:sz w:val="12"/>
          <w:szCs w:val="12"/>
          <w:i w:val="1"/>
          <w:iCs w:val="1"/>
          <w:color w:val="auto"/>
        </w:rPr>
        <w:t>Galveston Island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Amelia Island</w:t>
      </w:r>
      <w:r>
        <w:rPr>
          <w:rFonts w:ascii="Times New Roman" w:cs="Times New Roman" w:eastAsia="Times New Roman" w:hAnsi="Times New Roman"/>
          <w:sz w:val="12"/>
          <w:szCs w:val="12"/>
          <w:color w:val="auto"/>
        </w:rPr>
        <w:t xml:space="preserve">, respectively, and $72.7 million in the </w:t>
      </w:r>
      <w:r>
        <w:rPr>
          <w:rFonts w:ascii="Times New Roman" w:cs="Times New Roman" w:eastAsia="Times New Roman" w:hAnsi="Times New Roman"/>
          <w:sz w:val="12"/>
          <w:szCs w:val="12"/>
          <w:i w:val="1"/>
          <w:iCs w:val="1"/>
          <w:color w:val="auto"/>
        </w:rPr>
        <w:t>Acadia</w:t>
      </w:r>
      <w:r>
        <w:rPr>
          <w:rFonts w:ascii="Times New Roman" w:cs="Times New Roman" w:eastAsia="Times New Roman" w:hAnsi="Times New Roman"/>
          <w:sz w:val="12"/>
          <w:szCs w:val="12"/>
          <w:color w:val="auto"/>
        </w:rPr>
        <w:t>. The Company anticipates that remaining new build program payments will be made with cash on hand, future cash flows generated from operations, revolver availability, and possible future financing transactions. In 2024, 2023 and 2022, we received $9.5 million, $30.7 million and $2.1 million, respectively, in proceeds from dispositions of property and equipment.</w:t>
      </w:r>
    </w:p>
    <w:p>
      <w:pPr>
        <w:spacing w:after="0" w:line="123" w:lineRule="exact"/>
        <w:rPr>
          <w:sz w:val="20"/>
          <w:szCs w:val="20"/>
          <w:color w:val="auto"/>
        </w:rPr>
      </w:pPr>
    </w:p>
    <w:p>
      <w:pPr>
        <w:ind w:firstLine="512"/>
        <w:spacing w:after="0" w:line="253" w:lineRule="auto"/>
        <w:rPr>
          <w:sz w:val="20"/>
          <w:szCs w:val="20"/>
          <w:color w:val="auto"/>
        </w:rPr>
      </w:pPr>
      <w:r>
        <w:rPr>
          <w:rFonts w:ascii="Times New Roman" w:cs="Times New Roman" w:eastAsia="Times New Roman" w:hAnsi="Times New Roman"/>
          <w:sz w:val="12"/>
          <w:szCs w:val="12"/>
          <w:color w:val="auto"/>
        </w:rPr>
        <w:t>The Company’s net cash flows provided by financing activities for the year ended December 31, 2024 totaled $32.1 million. The Company’s net cash flows provided by financing activities for the year ended December 31, 2023 totaled $89.9 million. The Company’s net cash flows used in financing activities for the year ended December 31, 2022 totaled $1.7 million. The decrease in net cash flows provided by financing activities is primarily due to net borrowings under the Company’s revolving debt facility and Second Lien Credit Agreement during 2024 of $45.0 million, compared to net borrowings of $90.0 million on the Company’s revolving debt facility during 2023. On April 24, 2024, the Company and certain of its subsidiaries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The Company borrowed $100.0 under the Second Lien Credit Agreement on the closing date and has the option to borrow an additional $50.0 million for a period of 12 months following the closing date of the initial loan. The net proceeds from the Second Lien Credit Agreement were used to repay amounts outstanding under the ABL Credit Agreement, to pay fees and expenses associated with the Second Lien Credit Agreement and ABL Amendment and for general corporate purposes, including to fund upcoming new build payments. Additionally, the deferred financing fees associated with the Second Lien Credit Agreement of approximately $11.6 million increased the net cash flows used in financing activities during 2024. As of February 17, 2025, the Company had no borrowings under its revolving debt facility. The cash provided by financing activities in 2023 primarily relates to $208.0 million of revolving debt facility borrowings, partially offset by $118.0 million of revolving debt facility repayments.</w:t>
      </w:r>
    </w:p>
    <w:p>
      <w:pPr>
        <w:spacing w:after="0" w:line="129" w:lineRule="exact"/>
        <w:rPr>
          <w:sz w:val="20"/>
          <w:szCs w:val="20"/>
          <w:color w:val="auto"/>
        </w:rPr>
      </w:pPr>
    </w:p>
    <w:p>
      <w:pPr>
        <w:ind w:right="60" w:firstLine="512"/>
        <w:spacing w:after="0" w:line="265" w:lineRule="auto"/>
        <w:rPr>
          <w:sz w:val="20"/>
          <w:szCs w:val="20"/>
          <w:color w:val="auto"/>
        </w:rPr>
      </w:pPr>
      <w:r>
        <w:rPr>
          <w:rFonts w:ascii="Times New Roman" w:cs="Times New Roman" w:eastAsia="Times New Roman" w:hAnsi="Times New Roman"/>
          <w:sz w:val="12"/>
          <w:szCs w:val="12"/>
          <w:color w:val="auto"/>
        </w:rPr>
        <w:t>The Company expects to spend between approximately $140 million and $160 million on capital expenditures in 2025, inclusive of capitalized interest, which is comprised of vessels in our new build program and maintenance capital expenditures. The Company anticipates that remaining new build program payments will be made with cash on hand, future cash flows generated from operations, revolver availability and potential new sources of financing.</w:t>
      </w:r>
    </w:p>
    <w:p>
      <w:pPr>
        <w:spacing w:after="0" w:line="119" w:lineRule="exact"/>
        <w:rPr>
          <w:sz w:val="20"/>
          <w:szCs w:val="20"/>
          <w:color w:val="auto"/>
        </w:rPr>
      </w:pPr>
    </w:p>
    <w:p>
      <w:pPr>
        <w:ind w:firstLine="512"/>
        <w:spacing w:after="0" w:line="256" w:lineRule="auto"/>
        <w:rPr>
          <w:sz w:val="20"/>
          <w:szCs w:val="20"/>
          <w:color w:val="auto"/>
        </w:rPr>
      </w:pPr>
      <w:r>
        <w:rPr>
          <w:rFonts w:ascii="Times New Roman" w:cs="Times New Roman" w:eastAsia="Times New Roman" w:hAnsi="Times New Roman"/>
          <w:sz w:val="12"/>
          <w:szCs w:val="12"/>
          <w:color w:val="auto"/>
        </w:rPr>
        <w:t>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 During the second quarter of 2024, Moody’s Investor Services changed our outlook from negative to stable and reaffirmed our corporate credit rating at B2. In the third quarter of 2024, S&amp;P Global Ratings upgraded our corporate credit rating from CCC+ to B- and reaffirmed our outlook as stable.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i w:val="1"/>
          <w:iCs w:val="1"/>
          <w:color w:val="auto"/>
        </w:rPr>
        <w:t>Commitments, contingencies and liquidity matters</w:t>
      </w:r>
    </w:p>
    <w:p>
      <w:pPr>
        <w:spacing w:after="0" w:line="89" w:lineRule="exact"/>
        <w:rPr>
          <w:sz w:val="20"/>
          <w:szCs w:val="20"/>
          <w:color w:val="auto"/>
        </w:rPr>
      </w:pPr>
    </w:p>
    <w:p>
      <w:pPr>
        <w:ind w:right="100" w:firstLine="512"/>
        <w:spacing w:after="0" w:line="327" w:lineRule="auto"/>
        <w:rPr>
          <w:sz w:val="20"/>
          <w:szCs w:val="20"/>
          <w:color w:val="auto"/>
        </w:rPr>
      </w:pPr>
      <w:r>
        <w:rPr>
          <w:rFonts w:ascii="Times New Roman" w:cs="Times New Roman" w:eastAsia="Times New Roman" w:hAnsi="Times New Roman"/>
          <w:sz w:val="11"/>
          <w:szCs w:val="11"/>
          <w:color w:val="auto"/>
        </w:rPr>
        <w:t>Refer to Note 6, “Long-term debt,” in the Company’s consolidated financial statements for discussion of the Company’s ABL Credit Agreement and Senior Notes. Refer to Note 4, “Leases,” in the Company’s consolidated financial statements for discussion of the Company’s leases. Additionally, refer to Note 12, “Commitments and contingencies,” in the consolidated financial statements for discussion of the Company’s surety agreements.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i w:val="1"/>
          <w:iCs w:val="1"/>
          <w:color w:val="auto"/>
        </w:rPr>
        <w:t>Other</w:t>
      </w:r>
    </w:p>
    <w:p>
      <w:pPr>
        <w:spacing w:after="0" w:line="89" w:lineRule="exact"/>
        <w:rPr>
          <w:sz w:val="20"/>
          <w:szCs w:val="20"/>
          <w:color w:val="auto"/>
        </w:rPr>
      </w:pPr>
    </w:p>
    <w:p>
      <w:pPr>
        <w:jc w:val="both"/>
        <w:ind w:right="160" w:firstLine="512"/>
        <w:spacing w:after="0" w:line="265" w:lineRule="auto"/>
        <w:rPr>
          <w:sz w:val="20"/>
          <w:szCs w:val="20"/>
          <w:color w:val="auto"/>
        </w:rPr>
      </w:pPr>
      <w:r>
        <w:rPr>
          <w:rFonts w:ascii="Times New Roman" w:cs="Times New Roman" w:eastAsia="Times New Roman" w:hAnsi="Times New Roman"/>
          <w:sz w:val="12"/>
          <w:szCs w:val="12"/>
          <w:color w:val="auto"/>
        </w:rPr>
        <w:t>The future declaration and payment of dividends will be at the discretion of the Company’s board of directors and will depend on many factors, including general economic and business conditions, our strategic plans, our financial results and condition and legal requirements, including restrictions and limitations contained in the ABL Credit Agreement, surety bonding agreement and the indenture relating to our senior notes. Accordingly, we cannot make any assurances as to the size of any such dividend or that it will pay any such dividend in future quarters.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47" w:right="339" w:bottom="1440" w:gutter="0" w:footer="0" w:header="0"/>
        </w:sectPr>
      </w:pPr>
    </w:p>
    <w:bookmarkStart w:id="44" w:name="page45"/>
    <w:bookmarkEnd w:id="44"/>
    <w:p>
      <w:pPr>
        <w:ind w:firstLine="512"/>
        <w:spacing w:after="0" w:line="291" w:lineRule="auto"/>
        <w:rPr>
          <w:sz w:val="20"/>
          <w:szCs w:val="20"/>
          <w:color w:val="auto"/>
        </w:rPr>
      </w:pPr>
      <w:r>
        <w:rPr>
          <w:rFonts w:ascii="Times New Roman" w:cs="Times New Roman" w:eastAsia="Times New Roman" w:hAnsi="Times New Roman"/>
          <w:sz w:val="11"/>
          <w:szCs w:val="11"/>
          <w:color w:val="auto"/>
        </w:rPr>
        <w:t>The Company believes its cash and cash equivalents, its anticipated cash flows from operations and availability under its revolving credit facility and the option to borrow additional funds under the Second Lien Credit Agreement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terms and covenants required under the ABL Amendment, Second Lien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w:t>
      </w:r>
    </w:p>
    <w:p>
      <w:pPr>
        <w:spacing w:after="0" w:line="82" w:lineRule="exact"/>
        <w:rPr>
          <w:sz w:val="20"/>
          <w:szCs w:val="20"/>
          <w:color w:val="auto"/>
        </w:rPr>
      </w:pPr>
    </w:p>
    <w:p>
      <w:pPr>
        <w:ind w:right="280" w:firstLine="754"/>
        <w:spacing w:after="0" w:line="279" w:lineRule="auto"/>
        <w:rPr>
          <w:sz w:val="20"/>
          <w:szCs w:val="20"/>
          <w:color w:val="auto"/>
        </w:rPr>
      </w:pPr>
      <w:r>
        <w:rPr>
          <w:rFonts w:ascii="Times New Roman" w:cs="Times New Roman" w:eastAsia="Times New Roman" w:hAnsi="Times New Roman"/>
          <w:sz w:val="12"/>
          <w:szCs w:val="12"/>
          <w:color w:val="auto"/>
        </w:rPr>
        <w:t>Additional information related to contractual obligations can be found within this Item 7 in our “Liquidity and Capital Resources” section and also in Note 6, “Long-term debt,” and Note 4, “Leases” and Note 12, “Commitments and contingencies,” to our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Off-Balance Sheet and Contingent Obligations</w:t>
      </w:r>
    </w:p>
    <w:p>
      <w:pPr>
        <w:spacing w:after="0" w:line="82" w:lineRule="exact"/>
        <w:rPr>
          <w:sz w:val="20"/>
          <w:szCs w:val="20"/>
          <w:color w:val="auto"/>
        </w:rPr>
      </w:pPr>
    </w:p>
    <w:p>
      <w:pPr>
        <w:ind w:right="260" w:firstLine="512"/>
        <w:spacing w:after="0" w:line="279" w:lineRule="auto"/>
        <w:rPr>
          <w:sz w:val="20"/>
          <w:szCs w:val="20"/>
          <w:color w:val="auto"/>
        </w:rPr>
      </w:pPr>
      <w:r>
        <w:rPr>
          <w:rFonts w:ascii="Times New Roman" w:cs="Times New Roman" w:eastAsia="Times New Roman" w:hAnsi="Times New Roman"/>
          <w:sz w:val="12"/>
          <w:szCs w:val="12"/>
          <w:color w:val="auto"/>
        </w:rPr>
        <w:t>The Company had outstanding letters of credit relating to contract guarantees and insurance payment liabilities totaling $43.5 million at December 31, 2024. We have granted liens on a substantial portion of the owned operating equipment as security for borrowings and letter of credits under the ABL Credit Agreement and other indebtedness.</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At December 31, 2024, the Company had outstanding performance bonds with a notional amount of $1.32 billion. The revenue value remaining in backlog related to the projects totaled $904.1 million.</w:t>
      </w:r>
    </w:p>
    <w:p>
      <w:pPr>
        <w:spacing w:after="0" w:line="150" w:lineRule="exact"/>
        <w:rPr>
          <w:sz w:val="20"/>
          <w:szCs w:val="20"/>
          <w:color w:val="auto"/>
        </w:rPr>
      </w:pPr>
    </w:p>
    <w:p>
      <w:pPr>
        <w:ind w:right="220" w:firstLine="512"/>
        <w:spacing w:after="0" w:line="279" w:lineRule="auto"/>
        <w:rPr>
          <w:sz w:val="20"/>
          <w:szCs w:val="20"/>
          <w:color w:val="auto"/>
        </w:rPr>
      </w:pPr>
      <w:r>
        <w:rPr>
          <w:rFonts w:ascii="Times New Roman" w:cs="Times New Roman" w:eastAsia="Times New Roman" w:hAnsi="Times New Roman"/>
          <w:sz w:val="12"/>
          <w:szCs w:val="12"/>
          <w:color w:val="auto"/>
        </w:rPr>
        <w:t>Certain foreign projects performed by the Company have warranty periods, typically spanning no more than one to three years beyond project completion, whereby we retain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considers it unlikely that it would have to perform under any of its contingent obligations.</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732"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82"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In May 2021, the Company sold $325.0 million of unsecured 5.25% Senior Notes due June 1, 2029 pursuant to a private offering. The Company used the net proceeds from the offering, together with cash on hand, to redeem all $325.0 million aggregate principal amount of its prior outstanding 8% Notes. The 2029 Notes were priced to investors at par and will mature on June 1, 2029. At December 31, 2024, the Company had long-term senior notes outstanding with a recorded face value of $325.0 million. The fair value of these existing notes, which bear interest at a fixed rate of 5.25%, was $301.5 million at December 31, 2024 based on market prices. Assuming a 10% decrease in interest rates from the rates at December 31, 2024 the fair value of this fixed rate debt would have increased to $309.8 million.</w:t>
      </w:r>
    </w:p>
    <w:p>
      <w:pPr>
        <w:spacing w:after="0" w:line="50" w:lineRule="exact"/>
        <w:rPr>
          <w:sz w:val="20"/>
          <w:szCs w:val="20"/>
          <w:color w:val="auto"/>
        </w:rPr>
      </w:pPr>
    </w:p>
    <w:p>
      <w:pPr>
        <w:ind w:right="60" w:firstLine="512"/>
        <w:spacing w:after="0" w:line="257" w:lineRule="auto"/>
        <w:rPr>
          <w:sz w:val="20"/>
          <w:szCs w:val="20"/>
          <w:color w:val="auto"/>
        </w:rPr>
      </w:pPr>
      <w:r>
        <w:rPr>
          <w:rFonts w:ascii="Times New Roman" w:cs="Times New Roman" w:eastAsia="Times New Roman" w:hAnsi="Times New Roman"/>
          <w:sz w:val="12"/>
          <w:szCs w:val="12"/>
          <w:color w:val="auto"/>
        </w:rPr>
        <w:t xml:space="preserve">We are exposed to market risks related to fluctuations in interest rates on our outstanding variable rate indebtedness. As of December 31, 2024 we had $135.0 million of variable rate indebtedness, $75 million of which is hedged by interest rate swaps to convert a portion of our variable rate debt into fixed-rate debt. All of the outstanding borrowings under the revolving credit facility are at variable rates based on the Secured Overnight Financing Rate (“SOFR”). At December 31, 2024 our weighted average interest rate on our variable rate indebtedness, </w:t>
      </w:r>
      <w:r>
        <w:rPr>
          <w:rFonts w:ascii="Times New Roman" w:cs="Times New Roman" w:eastAsia="Times New Roman" w:hAnsi="Times New Roman"/>
          <w:sz w:val="12"/>
          <w:szCs w:val="12"/>
          <w:color w:val="212121"/>
        </w:rPr>
        <w:t>after adjusting for the effects of interest rate swaps,</w:t>
      </w:r>
      <w:r>
        <w:rPr>
          <w:rFonts w:ascii="Times New Roman" w:cs="Times New Roman" w:eastAsia="Times New Roman" w:hAnsi="Times New Roman"/>
          <w:sz w:val="12"/>
          <w:szCs w:val="12"/>
          <w:color w:val="auto"/>
        </w:rPr>
        <w:t xml:space="preserve"> was 10.4%. A hypothetical 10% increase in the weighted average interest rate on our variable rate indebtedness as of December 31, 2024 would increase our annual interest cost by approximately $0.5 million. A 10% increase in interest rate would result in $0.5 million change in the fair value of the Interest Rate Swaps outstanding at December 31, 2024.</w:t>
      </w:r>
    </w:p>
    <w:p>
      <w:pPr>
        <w:spacing w:after="0" w:line="125" w:lineRule="exact"/>
        <w:rPr>
          <w:sz w:val="20"/>
          <w:szCs w:val="20"/>
          <w:color w:val="auto"/>
        </w:rPr>
      </w:pPr>
    </w:p>
    <w:p>
      <w:pPr>
        <w:ind w:right="60" w:firstLine="512"/>
        <w:spacing w:after="0" w:line="256" w:lineRule="auto"/>
        <w:rPr>
          <w:sz w:val="20"/>
          <w:szCs w:val="20"/>
          <w:color w:val="auto"/>
        </w:rPr>
      </w:pPr>
      <w:r>
        <w:rPr>
          <w:rFonts w:ascii="Times New Roman" w:cs="Times New Roman" w:eastAsia="Times New Roman" w:hAnsi="Times New Roman"/>
          <w:sz w:val="12"/>
          <w:szCs w:val="12"/>
          <w:color w:val="auto"/>
        </w:rPr>
        <w:t>A significant operating cost for the Company is diesel fuel, which represents approximately 10% of our costs of contract revenues. We use fuel commodity forward contracts, typically with durations of less than one year, to reduce the impacts of changing fuel prices on operations. We do not purchase fuel hedges for trading purposes. Based on our 2025 projected domestic fuel consumption, an approximate 10% increase in the average price per gallon of fuel would have a $0.8 million effect on fuel expense, after the effect of fuel commodity contracts in place at December 31, 2024. At December 31, 2024 we had outstanding arrangements to hedge the price of a portion of our fuel purchases related to domestic dredging work in backlog, representing approximately 80% of its anticipated domestic fuel requirements through May 2026. As of December 31, 2024, there were 17.8 million gallons remaining on these contracts. Under these agreements, we will pay fixed prices ranging from $2.18 to $2.90 per gallon. At December 31, 2024, the fair value liabilities on these contracts was $1.1 million, based on quoted market prices and is recorded in accrued liabilities. A 10% change in forward fuel prices would result in a $4.2 million change in the fair value of fuel hedges outstanding at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p>
      <w:pPr>
        <w:spacing w:after="0" w:line="82" w:lineRule="exact"/>
        <w:rPr>
          <w:sz w:val="20"/>
          <w:szCs w:val="20"/>
          <w:color w:val="auto"/>
        </w:rPr>
      </w:pPr>
    </w:p>
    <w:p>
      <w:pPr>
        <w:ind w:right="140" w:firstLine="512"/>
        <w:spacing w:after="0" w:line="265" w:lineRule="auto"/>
        <w:rPr>
          <w:sz w:val="20"/>
          <w:szCs w:val="20"/>
          <w:color w:val="auto"/>
        </w:rPr>
      </w:pPr>
      <w:r>
        <w:rPr>
          <w:rFonts w:ascii="Times New Roman" w:cs="Times New Roman" w:eastAsia="Times New Roman" w:hAnsi="Times New Roman"/>
          <w:sz w:val="12"/>
          <w:szCs w:val="12"/>
          <w:color w:val="auto"/>
        </w:rPr>
        <w:t>The consolidated financial statements (including financial statement schedules listed under Item 15 of this Report) of the Company called for by this Item, together with the Report of Independent Registered Public Accounting Firm dated February 20, 2025, are set forth on pages 51 to 77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78" w:lineRule="exact"/>
        <w:rPr>
          <w:sz w:val="20"/>
          <w:szCs w:val="20"/>
          <w:color w:val="auto"/>
        </w:rPr>
      </w:pPr>
    </w:p>
    <w:p>
      <w:pPr>
        <w:ind w:left="1020" w:hanging="516"/>
        <w:spacing w:after="0"/>
        <w:tabs>
          <w:tab w:leader="none" w:pos="1020" w:val="left"/>
        </w:tabs>
        <w:numPr>
          <w:ilvl w:val="0"/>
          <w:numId w:val="15"/>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82" w:lineRule="exact"/>
        <w:rPr>
          <w:sz w:val="20"/>
          <w:szCs w:val="20"/>
          <w:color w:val="auto"/>
        </w:rPr>
      </w:pPr>
    </w:p>
    <w:p>
      <w:pPr>
        <w:ind w:right="80" w:firstLine="512"/>
        <w:spacing w:after="0" w:line="260"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 2024.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22" w:lineRule="exact"/>
        <w:rPr>
          <w:sz w:val="20"/>
          <w:szCs w:val="20"/>
          <w:color w:val="auto"/>
        </w:rPr>
      </w:pPr>
    </w:p>
    <w:p>
      <w:pPr>
        <w:jc w:val="both"/>
        <w:ind w:firstLine="512"/>
        <w:spacing w:after="0" w:line="265" w:lineRule="auto"/>
        <w:rPr>
          <w:sz w:val="20"/>
          <w:szCs w:val="20"/>
          <w:color w:val="auto"/>
        </w:rPr>
      </w:pPr>
      <w:r>
        <w:rPr>
          <w:rFonts w:ascii="Times New Roman" w:cs="Times New Roman" w:eastAsia="Times New Roman" w:hAnsi="Times New Roman"/>
          <w:sz w:val="12"/>
          <w:szCs w:val="12"/>
          <w:color w:val="auto"/>
        </w:rPr>
        <w:t>Based on that evaluation, the Chief Executive Officer and the Chief Financial Officer have concluded that the Company’s disclosure controls and procedures, as designed and implemented, were effective as of December 31, 2024.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our periodic reports.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46" w:name="page47"/>
    <w:bookmarkEnd w:id="46"/>
    <w:p>
      <w:pPr>
        <w:ind w:left="1020" w:hanging="516"/>
        <w:spacing w:after="0"/>
        <w:tabs>
          <w:tab w:leader="none" w:pos="1020" w:val="left"/>
        </w:tabs>
        <w:numPr>
          <w:ilvl w:val="0"/>
          <w:numId w:val="16"/>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82" w:lineRule="exact"/>
        <w:rPr>
          <w:sz w:val="20"/>
          <w:szCs w:val="20"/>
          <w:color w:val="auto"/>
        </w:rPr>
      </w:pPr>
    </w:p>
    <w:p>
      <w:pPr>
        <w:ind w:firstLine="512"/>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Rule 13a-15(f) under the Exchange Act) during the fiscal quarter ended December 31, 2024 that have materially affected, or are reasonably likely to materially affect, our internal control over financial reporting.</w:t>
      </w:r>
    </w:p>
    <w:p>
      <w:pPr>
        <w:spacing w:after="0" w:line="179" w:lineRule="exact"/>
        <w:rPr>
          <w:sz w:val="20"/>
          <w:szCs w:val="20"/>
          <w:color w:val="auto"/>
        </w:rPr>
      </w:pPr>
    </w:p>
    <w:p>
      <w:pPr>
        <w:ind w:left="1020" w:hanging="516"/>
        <w:spacing w:after="0"/>
        <w:tabs>
          <w:tab w:leader="none" w:pos="1020" w:val="left"/>
        </w:tabs>
        <w:numPr>
          <w:ilvl w:val="0"/>
          <w:numId w:val="17"/>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Management’s annual report on internal control over financial reporting</w:t>
      </w:r>
    </w:p>
    <w:p>
      <w:pPr>
        <w:spacing w:after="0" w:line="82" w:lineRule="exact"/>
        <w:rPr>
          <w:sz w:val="20"/>
          <w:szCs w:val="20"/>
          <w:color w:val="auto"/>
        </w:rPr>
      </w:pPr>
    </w:p>
    <w:p>
      <w:pPr>
        <w:ind w:right="20" w:firstLine="512"/>
        <w:spacing w:after="0" w:line="265" w:lineRule="auto"/>
        <w:rPr>
          <w:sz w:val="20"/>
          <w:szCs w:val="20"/>
          <w:color w:val="auto"/>
        </w:rPr>
      </w:pPr>
      <w:r>
        <w:rPr>
          <w:rFonts w:ascii="Times New Roman" w:cs="Times New Roman" w:eastAsia="Times New Roman" w:hAnsi="Times New Roman"/>
          <w:sz w:val="12"/>
          <w:szCs w:val="12"/>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Times New Roman" w:cs="Times New Roman" w:eastAsia="Times New Roman" w:hAnsi="Times New Roman"/>
          <w:sz w:val="12"/>
          <w:szCs w:val="12"/>
          <w:i w:val="1"/>
          <w:iCs w:val="1"/>
          <w:color w:val="auto"/>
        </w:rPr>
        <w:t>Internal Control—Integrated Framework (2013)</w:t>
      </w:r>
      <w:r>
        <w:rPr>
          <w:rFonts w:ascii="Times New Roman" w:cs="Times New Roman" w:eastAsia="Times New Roman" w:hAnsi="Times New Roman"/>
          <w:sz w:val="12"/>
          <w:szCs w:val="12"/>
          <w:color w:val="auto"/>
        </w:rPr>
        <w:t xml:space="preserve"> published by the Committee of Sponsoring Organizations of the Treadway Commission (“COSO”) to evaluate the effectiveness of the Company’s internal control over financial reporting.</w:t>
      </w:r>
    </w:p>
    <w:p>
      <w:pPr>
        <w:spacing w:after="0" w:line="119" w:lineRule="exact"/>
        <w:rPr>
          <w:sz w:val="20"/>
          <w:szCs w:val="20"/>
          <w:color w:val="auto"/>
        </w:rPr>
      </w:pPr>
    </w:p>
    <w:p>
      <w:pPr>
        <w:ind w:right="340" w:firstLine="512"/>
        <w:spacing w:after="0" w:line="265" w:lineRule="auto"/>
        <w:rPr>
          <w:sz w:val="20"/>
          <w:szCs w:val="20"/>
          <w:color w:val="auto"/>
        </w:rPr>
      </w:pPr>
      <w:r>
        <w:rPr>
          <w:rFonts w:ascii="Times New Roman" w:cs="Times New Roman" w:eastAsia="Times New Roman" w:hAnsi="Times New Roman"/>
          <w:sz w:val="12"/>
          <w:szCs w:val="12"/>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47" w:lineRule="exact"/>
        <w:rPr>
          <w:sz w:val="20"/>
          <w:szCs w:val="20"/>
          <w:color w:val="auto"/>
        </w:rPr>
      </w:pPr>
    </w:p>
    <w:p>
      <w:pPr>
        <w:ind w:left="1020" w:hanging="515"/>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the assets of the Company;</w:t>
      </w:r>
    </w:p>
    <w:p>
      <w:pPr>
        <w:spacing w:after="0" w:line="78" w:lineRule="exact"/>
        <w:rPr>
          <w:rFonts w:ascii="Times New Roman" w:cs="Times New Roman" w:eastAsia="Times New Roman" w:hAnsi="Times New Roman"/>
          <w:sz w:val="12"/>
          <w:szCs w:val="12"/>
          <w:color w:val="auto"/>
        </w:rPr>
      </w:pPr>
    </w:p>
    <w:p>
      <w:pPr>
        <w:ind w:left="1020" w:right="80" w:hanging="515"/>
        <w:spacing w:after="0" w:line="279" w:lineRule="auto"/>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39" w:lineRule="exact"/>
        <w:rPr>
          <w:rFonts w:ascii="Times New Roman" w:cs="Times New Roman" w:eastAsia="Times New Roman" w:hAnsi="Times New Roman"/>
          <w:sz w:val="12"/>
          <w:szCs w:val="12"/>
          <w:color w:val="auto"/>
        </w:rPr>
      </w:pPr>
    </w:p>
    <w:p>
      <w:pPr>
        <w:ind w:left="1020" w:hanging="515"/>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ind w:right="40" w:firstLine="512"/>
        <w:spacing w:after="0" w:line="257" w:lineRule="auto"/>
        <w:rPr>
          <w:sz w:val="20"/>
          <w:szCs w:val="20"/>
          <w:color w:val="auto"/>
        </w:rPr>
      </w:pPr>
      <w:r>
        <w:rPr>
          <w:rFonts w:ascii="Times New Roman" w:cs="Times New Roman" w:eastAsia="Times New Roman" w:hAnsi="Times New Roman"/>
          <w:sz w:val="12"/>
          <w:szCs w:val="12"/>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25" w:lineRule="exact"/>
        <w:rPr>
          <w:sz w:val="20"/>
          <w:szCs w:val="20"/>
          <w:color w:val="auto"/>
        </w:rPr>
      </w:pPr>
    </w:p>
    <w:p>
      <w:pPr>
        <w:ind w:right="220" w:firstLine="512"/>
        <w:spacing w:after="0" w:line="279" w:lineRule="auto"/>
        <w:rPr>
          <w:sz w:val="20"/>
          <w:szCs w:val="20"/>
          <w:color w:val="auto"/>
        </w:rPr>
      </w:pPr>
      <w:r>
        <w:rPr>
          <w:rFonts w:ascii="Times New Roman" w:cs="Times New Roman" w:eastAsia="Times New Roman" w:hAnsi="Times New Roman"/>
          <w:sz w:val="12"/>
          <w:szCs w:val="12"/>
          <w:color w:val="auto"/>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Management has concluded that our internal control over financial reporting was effective as of December 31, 2024.</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the Board of Directors of Great Lakes Dredge &amp; Dock Corporation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Internal Control over Financial Reporting</w:t>
      </w:r>
    </w:p>
    <w:p>
      <w:pPr>
        <w:spacing w:after="0" w:line="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2"/>
          <w:szCs w:val="12"/>
          <w:color w:val="auto"/>
        </w:rPr>
        <w:t xml:space="preserve">We have audited the internal control over financial reporting of Great Lakes Dredge &amp; Dock Corporation and subsidiaries (the “Company”) as of December 31, 2024, based on criteria established in </w:t>
      </w:r>
      <w:r>
        <w:rPr>
          <w:rFonts w:ascii="Times New Roman" w:cs="Times New Roman" w:eastAsia="Times New Roman" w:hAnsi="Times New Roman"/>
          <w:sz w:val="12"/>
          <w:szCs w:val="12"/>
          <w:i w:val="1"/>
          <w:iCs w:val="1"/>
          <w:color w:val="auto"/>
        </w:rPr>
        <w:t>Internal Control — Integrated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Framework (2013) </w:t>
      </w:r>
      <w:r>
        <w:rPr>
          <w:rFonts w:ascii="Times New Roman" w:cs="Times New Roman" w:eastAsia="Times New Roman" w:hAnsi="Times New Roman"/>
          <w:sz w:val="12"/>
          <w:szCs w:val="12"/>
          <w:color w:val="auto"/>
        </w:rPr>
        <w:t>issued by the Committee of Sponsoring Organizations of the Treadway Commission (COSO). In our opinion, the Company maintained, in all material respects, effective internal control over financial reporting as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December 31, 2024,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COSO.</w:t>
      </w:r>
    </w:p>
    <w:p>
      <w:pPr>
        <w:spacing w:after="0" w:line="11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We have also audited, in accordance with the standards of the Public Company Accounting Oversight Board (United States) (PCAOB), the consolidated financial statements as of and for the year ended December 31, 2024, of the Company and our report dated February 20, 2025, expressed an unqualified opinion on those financial statements.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Definition and Limitations of Internal Control over Financial Reporting</w:t>
      </w:r>
    </w:p>
    <w:p>
      <w:pPr>
        <w:spacing w:after="0" w:line="1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color w:val="auto"/>
        </w:rPr>
        <w:t>Chicago, Illinois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70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color w:val="auto"/>
        </w:rPr>
        <w:t>Item 9B. Other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Securities Trading Plans of Executive Officers and Directors</w:t>
      </w:r>
    </w:p>
    <w:p>
      <w:pPr>
        <w:spacing w:after="0" w:line="152" w:lineRule="exact"/>
        <w:rPr>
          <w:sz w:val="20"/>
          <w:szCs w:val="20"/>
          <w:color w:val="auto"/>
        </w:rPr>
      </w:pPr>
    </w:p>
    <w:p>
      <w:pPr>
        <w:ind w:right="420" w:firstLine="512"/>
        <w:spacing w:after="0" w:line="279" w:lineRule="auto"/>
        <w:rPr>
          <w:sz w:val="20"/>
          <w:szCs w:val="20"/>
          <w:color w:val="auto"/>
        </w:rPr>
      </w:pPr>
      <w:r>
        <w:rPr>
          <w:rFonts w:ascii="Times New Roman" w:cs="Times New Roman" w:eastAsia="Times New Roman" w:hAnsi="Times New Roman"/>
          <w:sz w:val="12"/>
          <w:szCs w:val="12"/>
          <w:color w:val="auto"/>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spacing w:after="0" w:line="111" w:lineRule="exact"/>
        <w:rPr>
          <w:sz w:val="20"/>
          <w:szCs w:val="20"/>
          <w:color w:val="auto"/>
        </w:rPr>
      </w:pPr>
    </w:p>
    <w:p>
      <w:pPr>
        <w:ind w:right="40" w:firstLine="512"/>
        <w:spacing w:after="0" w:line="265" w:lineRule="auto"/>
        <w:rPr>
          <w:sz w:val="20"/>
          <w:szCs w:val="20"/>
          <w:color w:val="auto"/>
        </w:rPr>
      </w:pPr>
      <w:r>
        <w:rPr>
          <w:rFonts w:ascii="Times New Roman" w:cs="Times New Roman" w:eastAsia="Times New Roman" w:hAnsi="Times New Roman"/>
          <w:sz w:val="12"/>
          <w:szCs w:val="12"/>
          <w:color w:val="auto"/>
        </w:rPr>
        <w:t>On November 25, 2024, Lasse Petterson, Director and President and Chief Executive Officer, adopted a Rule 10b5-1 trading arrangement that is intended to satisfy the affirmative defense of Rule 10b5-1 (c) and provides for the sale of up to 250,000 shares of our common stock by May 25, 2025. On November 13, 2024, Eleni Beyko, Senior Vice President, Offshore Energy, adopted a Rule 10b5-1 trading plan arrangement that is intended to satisfy the affirmative defense of Rule 10b5-1 (c) and provides for the sale of 50% of the net shares of our common stock delivered to Dr. Beyko upon the vesting of certain of her outstanding equity awards prior to December 31, 2025.</w:t>
      </w:r>
    </w:p>
    <w:p>
      <w:pPr>
        <w:spacing w:after="0" w:line="119" w:lineRule="exact"/>
        <w:rPr>
          <w:sz w:val="20"/>
          <w:szCs w:val="20"/>
          <w:color w:val="auto"/>
        </w:rPr>
      </w:pPr>
    </w:p>
    <w:p>
      <w:pPr>
        <w:ind w:firstLine="512"/>
        <w:spacing w:after="0" w:line="279" w:lineRule="auto"/>
        <w:rPr>
          <w:sz w:val="20"/>
          <w:szCs w:val="20"/>
          <w:color w:val="auto"/>
        </w:rPr>
      </w:pPr>
      <w:r>
        <w:rPr>
          <w:rFonts w:ascii="Times New Roman" w:cs="Times New Roman" w:eastAsia="Times New Roman" w:hAnsi="Times New Roman"/>
          <w:sz w:val="12"/>
          <w:szCs w:val="12"/>
          <w:color w:val="auto"/>
        </w:rPr>
        <w:t>During the quarterly period ended December 31, 2024, none of our other officers (as defined in Rule 16a-1(f) under the Exchange Act) or directors adopted or terminated a Rule 10b5-1 trading plan or adopted or terminated a non-Rule 10b5-1 trading arrangement (as defined in Item 408(c) of Regulation 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9C. Disclosure Regarding Foreign Jurisdictions that Prevent Inspections.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None.</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and Corporate Governance.</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Information regarding our executive officers is incorporated by reference herein from the discussion under Item 1. “Business—Information about our Executive Officers” in this Annual Report on Form 10-K.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Ethics</w:t>
      </w:r>
    </w:p>
    <w:p>
      <w:pPr>
        <w:spacing w:after="0" w:line="82"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The Company has adopted a written code of business conduct and ethics that applies to all of our employees, including our principal executive officer, principal financial officer, principal accounting officer, controller, and persons performing similar functions. The Company’s code of business conduct and ethics can be found on our website at www.gldd.com. We will post on our website any amendments to or waivers of the code of business conduct and ethics for executive officers or directors, in accordance with applicable laws and regulations.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Policy</w:t>
      </w:r>
    </w:p>
    <w:p>
      <w:pPr>
        <w:spacing w:after="0" w:line="154" w:lineRule="exact"/>
        <w:rPr>
          <w:sz w:val="20"/>
          <w:szCs w:val="20"/>
          <w:color w:val="auto"/>
        </w:rPr>
      </w:pPr>
    </w:p>
    <w:p>
      <w:pPr>
        <w:ind w:firstLine="472"/>
        <w:spacing w:after="0" w:line="260" w:lineRule="auto"/>
        <w:rPr>
          <w:sz w:val="20"/>
          <w:szCs w:val="20"/>
          <w:color w:val="auto"/>
        </w:rPr>
      </w:pPr>
      <w:r>
        <w:rPr>
          <w:rFonts w:ascii="Times New Roman" w:cs="Times New Roman" w:eastAsia="Times New Roman" w:hAnsi="Times New Roman"/>
          <w:sz w:val="12"/>
          <w:szCs w:val="12"/>
          <w:color w:val="auto"/>
        </w:rPr>
        <w:t>The Company has adopted a statement of policy concerning securities trading and disclosure of confidential information (the “Insider Trading Policy”) governing the purchase and sale and other disposition of GLDD common stock and the disclosure of confidential information, in each case, by our directors, executive officers and certain non-executive officers, key employees and associated family members, and has implemented related processes for the Company and its subsidiaries. The Company believes that the Insider Trading Policy and the Company’s processes are reasonably designed to promote compliance with insider trading laws, rules and regulations, and the Nasdaq listing standards. The foregoing summary of the Insider Trading Policy is not complete and is qualified in its entirety by reference to the Insider Trading Policy attached hereto as Exhibit 19.</w:t>
      </w:r>
    </w:p>
    <w:p>
      <w:pPr>
        <w:spacing w:after="0" w:line="122" w:lineRule="exact"/>
        <w:rPr>
          <w:sz w:val="20"/>
          <w:szCs w:val="20"/>
          <w:color w:val="auto"/>
        </w:rPr>
      </w:pPr>
    </w:p>
    <w:p>
      <w:pPr>
        <w:ind w:right="120" w:firstLine="512"/>
        <w:spacing w:after="0" w:line="279" w:lineRule="auto"/>
        <w:rPr>
          <w:sz w:val="20"/>
          <w:szCs w:val="20"/>
          <w:color w:val="auto"/>
        </w:rPr>
      </w:pPr>
      <w:r>
        <w:rPr>
          <w:rFonts w:ascii="Times New Roman" w:cs="Times New Roman" w:eastAsia="Times New Roman" w:hAnsi="Times New Roman"/>
          <w:sz w:val="12"/>
          <w:szCs w:val="12"/>
          <w:color w:val="auto"/>
        </w:rPr>
        <w:t>The remaining information called for by this Item 10 is incorporated by reference herein from the discussions under the principal headings “Election of Directors,” “Corporate Governance,” “Security Ownership of Certain Beneficial Owners and Management” and “Delinquent Section 16(a) Reports” in the definitive Proxy Statement for the 2025 Annual Meeting of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11. Executive Compensation.</w:t>
      </w:r>
    </w:p>
    <w:p>
      <w:pPr>
        <w:spacing w:after="0" w:line="82" w:lineRule="exact"/>
        <w:rPr>
          <w:sz w:val="20"/>
          <w:szCs w:val="20"/>
          <w:color w:val="auto"/>
        </w:rPr>
      </w:pPr>
    </w:p>
    <w:p>
      <w:pPr>
        <w:ind w:right="40" w:firstLine="512"/>
        <w:spacing w:after="0" w:line="265" w:lineRule="auto"/>
        <w:rPr>
          <w:sz w:val="20"/>
          <w:szCs w:val="20"/>
          <w:color w:val="auto"/>
        </w:rPr>
      </w:pPr>
      <w:r>
        <w:rPr>
          <w:rFonts w:ascii="Times New Roman" w:cs="Times New Roman" w:eastAsia="Times New Roman" w:hAnsi="Times New Roman"/>
          <w:sz w:val="12"/>
          <w:szCs w:val="12"/>
          <w:color w:val="auto"/>
        </w:rPr>
        <w:t>The information required by Item 11 of Form 10-K including information about the Company’s executive and director compensation and certain related matters is incorporated by reference herein from the discussions under the principal headings “Corporate Governance” and “Compensation Discussion and Analysis,” including under the subheadings “Executive Compensation Tables” and “CEO Pay Ratio” in the definitive Proxy Statement for the 2025 Annual Meeting of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right="260" w:firstLine="512"/>
        <w:spacing w:after="0" w:line="265" w:lineRule="auto"/>
        <w:rPr>
          <w:sz w:val="20"/>
          <w:szCs w:val="20"/>
          <w:color w:val="auto"/>
        </w:rPr>
      </w:pPr>
      <w:r>
        <w:rPr>
          <w:rFonts w:ascii="Times New Roman" w:cs="Times New Roman" w:eastAsia="Times New Roman" w:hAnsi="Times New Roman"/>
          <w:sz w:val="12"/>
          <w:szCs w:val="12"/>
          <w:color w:val="auto"/>
        </w:rPr>
        <w:t>The information required by Item 12 of Form 10-K including with respect to the security ownership of certain beneficial owners and management and certain equity compensation plan information is incorporated by reference herein from the discussion under the principal headings “Security Ownership of Certain Beneficial Owners and Management” and “Equity Compensation Plan Information” in our definitive Proxy Statement for the 2025 Annual Meeting of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13. Certain Relationships and Related Transactions, and Director Independence.</w:t>
      </w:r>
    </w:p>
    <w:p>
      <w:pPr>
        <w:spacing w:after="0" w:line="82" w:lineRule="exact"/>
        <w:rPr>
          <w:sz w:val="20"/>
          <w:szCs w:val="20"/>
          <w:color w:val="auto"/>
        </w:rPr>
      </w:pPr>
    </w:p>
    <w:p>
      <w:pPr>
        <w:ind w:right="320" w:firstLine="512"/>
        <w:spacing w:after="0" w:line="279" w:lineRule="auto"/>
        <w:rPr>
          <w:sz w:val="20"/>
          <w:szCs w:val="20"/>
          <w:color w:val="auto"/>
        </w:rPr>
      </w:pPr>
      <w:r>
        <w:rPr>
          <w:rFonts w:ascii="Times New Roman" w:cs="Times New Roman" w:eastAsia="Times New Roman" w:hAnsi="Times New Roman"/>
          <w:sz w:val="12"/>
          <w:szCs w:val="12"/>
          <w:color w:val="auto"/>
        </w:rPr>
        <w:t>The information required by Item 13 of Form 10-K is incorporated by reference herein from the discussions under the principal headings “Corporate Governance,” “Certain Relationships and Related Transactions” and “Compensation Discussion and Analysis,” including under subheading “Potential Payments Upon Termination or Change in Control” in the definitive Proxy Statement for the 2025 Annual Meeting of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14. Principal Accounting Fees and Services.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Our independent registered public accounting firm is Deloitte &amp; Touche LLP (PCAOB ID No. 34).</w:t>
      </w:r>
    </w:p>
    <w:p>
      <w:pPr>
        <w:spacing w:after="0" w:line="78" w:lineRule="exact"/>
        <w:rPr>
          <w:sz w:val="20"/>
          <w:szCs w:val="20"/>
          <w:color w:val="auto"/>
        </w:rPr>
      </w:pPr>
    </w:p>
    <w:p>
      <w:pPr>
        <w:ind w:right="280" w:firstLine="512"/>
        <w:spacing w:after="0" w:line="279" w:lineRule="auto"/>
        <w:rPr>
          <w:sz w:val="20"/>
          <w:szCs w:val="20"/>
          <w:color w:val="auto"/>
        </w:rPr>
      </w:pPr>
      <w:r>
        <w:rPr>
          <w:rFonts w:ascii="Times New Roman" w:cs="Times New Roman" w:eastAsia="Times New Roman" w:hAnsi="Times New Roman"/>
          <w:sz w:val="12"/>
          <w:szCs w:val="12"/>
          <w:color w:val="auto"/>
        </w:rPr>
        <w:t>The information required by Item 14 of Form 10-K is incorporated by reference herein from the discussion under the principal heading “Ratification of Independent Registered Public Accounting Firm,” including under subheading “Matters Related to Independent Registered Public Accounting Firm” in the definitive Proxy Statement for the 2025 Annual Meeting of Stockholders.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51" w:name="page52"/>
    <w:bookmarkEnd w:id="51"/>
    <w:p>
      <w:pPr>
        <w:ind w:left="5448"/>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15. Exhibits, Financial Statement Schedules.</w:t>
      </w:r>
    </w:p>
    <w:p>
      <w:pPr>
        <w:spacing w:after="0" w:line="78" w:lineRule="exact"/>
        <w:rPr>
          <w:sz w:val="20"/>
          <w:szCs w:val="20"/>
          <w:color w:val="auto"/>
        </w:rPr>
      </w:pPr>
    </w:p>
    <w:p>
      <w:pPr>
        <w:ind w:left="8" w:right="8600" w:hanging="8"/>
        <w:spacing w:after="0" w:line="379" w:lineRule="auto"/>
        <w:tabs>
          <w:tab w:leader="none" w:pos="178"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Documents filed as part of this report 1. Financial Statements</w:t>
      </w:r>
    </w:p>
    <w:p>
      <w:pPr>
        <w:ind w:left="5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financial statements are set forth on pages 51 to 77 of this Report and are incorporated by reference in Item 8 of this Report.</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 Financial Statement Schedules</w:t>
      </w:r>
    </w:p>
    <w:p>
      <w:pPr>
        <w:spacing w:after="0" w:line="82"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1"/>
          <w:szCs w:val="11"/>
          <w:color w:val="auto"/>
        </w:rPr>
        <w:t>All other schedules, except Schedule II—Valuation and Qualifying Accounts on page 78, are omitted because they are not required or the required information is shown in the financial statements or notes thereto.</w:t>
      </w: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3. Exhibits</w:t>
      </w:r>
    </w:p>
    <w:p>
      <w:pPr>
        <w:spacing w:after="0" w:line="82"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2"/>
          <w:szCs w:val="12"/>
          <w:color w:val="auto"/>
        </w:rPr>
        <w:t>The exhibits required to be filed by Item 601 of Regulation S-K are listed in the “Exhibit Index” which is attached hereto and incorporated by reference herein.</w:t>
      </w:r>
    </w:p>
    <w:p>
      <w:pPr>
        <w:spacing w:after="0" w:line="2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82"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29"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88"/>
          </w:cols>
          <w:pgMar w:left="292" w:top="701" w:right="91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GREAT LAKES DREDGE &amp; DOCK CORPORATION AND SUBSIDIARIES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80" w:type="dxa"/>
            <w:vAlign w:val="bottom"/>
            <w:gridSpan w:val="10"/>
            <w:vMerge w:val="restart"/>
          </w:tcPr>
          <w:p>
            <w:pPr>
              <w:spacing w:after="0"/>
              <w:rPr>
                <w:sz w:val="20"/>
                <w:szCs w:val="20"/>
                <w:color w:val="auto"/>
              </w:rPr>
            </w:pPr>
            <w:r>
              <w:rPr>
                <w:rFonts w:ascii="Times New Roman" w:cs="Times New Roman" w:eastAsia="Times New Roman" w:hAnsi="Times New Roman"/>
                <w:sz w:val="12"/>
                <w:szCs w:val="12"/>
                <w:color w:val="0000FF"/>
                <w:w w:val="99"/>
              </w:rPr>
              <w:t>REPORT OF INDEPENDENT REGISTERED PUBLIC ACCOUNTING FIRM</w:t>
            </w:r>
          </w:p>
        </w:tc>
        <w:tc>
          <w:tcPr>
            <w:tcW w:w="6660" w:type="dxa"/>
            <w:vAlign w:val="bottom"/>
            <w:vMerge w:val="restart"/>
          </w:tcPr>
          <w:p>
            <w:pPr>
              <w:spacing w:after="0"/>
              <w:rPr>
                <w:sz w:val="10"/>
                <w:szCs w:val="10"/>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11"/>
        </w:trPr>
        <w:tc>
          <w:tcPr>
            <w:tcW w:w="3880" w:type="dxa"/>
            <w:vAlign w:val="bottom"/>
            <w:tcBorders>
              <w:bottom w:val="single" w:sz="8" w:color="0000FF"/>
            </w:tcBorders>
            <w:gridSpan w:val="10"/>
            <w:vMerge w:val="continue"/>
          </w:tcPr>
          <w:p>
            <w:pPr>
              <w:spacing w:after="0"/>
              <w:rPr>
                <w:sz w:val="9"/>
                <w:szCs w:val="9"/>
                <w:color w:val="auto"/>
              </w:rPr>
            </w:pPr>
          </w:p>
        </w:tc>
        <w:tc>
          <w:tcPr>
            <w:tcW w:w="6660" w:type="dxa"/>
            <w:vAlign w:val="bottom"/>
            <w:vMerge w:val="continue"/>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40"/>
        </w:trPr>
        <w:tc>
          <w:tcPr>
            <w:tcW w:w="1054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CONSOLIDATED FINANCIAL STATEMENTS AS OF DECEMBER 31, 2024 AND 2023, AND FOR THE YEARS ENDED DECEMBER 31, 2024, 2023 AND 2022</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1400" w:type="dxa"/>
            <w:vAlign w:val="bottom"/>
            <w:tcBorders>
              <w:bottom w:val="single" w:sz="8" w:color="0000FF"/>
            </w:tcBorders>
          </w:tcPr>
          <w:p>
            <w:pPr>
              <w:spacing w:after="0" w:line="128" w:lineRule="exact"/>
              <w:rPr>
                <w:sz w:val="20"/>
                <w:szCs w:val="20"/>
                <w:color w:val="auto"/>
              </w:rPr>
            </w:pPr>
            <w:r>
              <w:rPr>
                <w:rFonts w:ascii="Times New Roman" w:cs="Times New Roman" w:eastAsia="Times New Roman" w:hAnsi="Times New Roman"/>
                <w:sz w:val="12"/>
                <w:szCs w:val="12"/>
                <w:color w:val="0000FF"/>
                <w:w w:val="99"/>
              </w:rPr>
              <w:t>Consolidated Balance Sheets</w:t>
            </w:r>
          </w:p>
        </w:tc>
        <w:tc>
          <w:tcPr>
            <w:tcW w:w="20" w:type="dxa"/>
            <w:vAlign w:val="bottom"/>
            <w:tcBorders>
              <w:bottom w:val="single" w:sz="8" w:color="0000EE"/>
            </w:tcBorders>
          </w:tcPr>
          <w:p>
            <w:pPr>
              <w:spacing w:after="0"/>
              <w:rPr>
                <w:sz w:val="11"/>
                <w:szCs w:val="11"/>
                <w:color w:val="auto"/>
              </w:rPr>
            </w:pPr>
          </w:p>
        </w:tc>
        <w:tc>
          <w:tcPr>
            <w:tcW w:w="8960" w:type="dxa"/>
            <w:vAlign w:val="bottom"/>
            <w:gridSpan w:val="8"/>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0380" w:type="dxa"/>
            <w:vAlign w:val="bottom"/>
            <w:gridSpan w:val="10"/>
          </w:tcPr>
          <w:p>
            <w:pPr>
              <w:spacing w:after="0" w:line="124" w:lineRule="exact"/>
              <w:rPr>
                <w:sz w:val="20"/>
                <w:szCs w:val="20"/>
                <w:color w:val="auto"/>
              </w:rPr>
            </w:pPr>
            <w:r>
              <w:rPr>
                <w:rFonts w:ascii="Times New Roman" w:cs="Times New Roman" w:eastAsia="Times New Roman" w:hAnsi="Times New Roman"/>
                <w:sz w:val="12"/>
                <w:szCs w:val="12"/>
                <w:color w:val="0000FF"/>
              </w:rPr>
              <w:t>Consolidated Statements of Operations</w:t>
            </w: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2840" w:type="dxa"/>
            <w:vAlign w:val="bottom"/>
            <w:tcBorders>
              <w:bottom w:val="single" w:sz="8" w:color="0000FF"/>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FF"/>
                <w:w w:val="99"/>
              </w:rPr>
              <w:t>Consolidated Statements of Comprehensive Income (Loss)</w:t>
            </w:r>
          </w:p>
        </w:tc>
        <w:tc>
          <w:tcPr>
            <w:tcW w:w="7540" w:type="dxa"/>
            <w:vAlign w:val="bottom"/>
            <w:gridSpan w:val="2"/>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680" w:type="dxa"/>
            <w:vAlign w:val="bottom"/>
            <w:tcBorders>
              <w:bottom w:val="single" w:sz="8" w:color="0000FF"/>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FF"/>
                <w:w w:val="99"/>
              </w:rPr>
              <w:t>Consolidated Statements of Equity</w:t>
            </w:r>
          </w:p>
        </w:tc>
        <w:tc>
          <w:tcPr>
            <w:tcW w:w="20" w:type="dxa"/>
            <w:vAlign w:val="bottom"/>
            <w:tcBorders>
              <w:bottom w:val="single" w:sz="8" w:color="0000EE"/>
            </w:tcBorders>
          </w:tcPr>
          <w:p>
            <w:pPr>
              <w:spacing w:after="0"/>
              <w:rPr>
                <w:sz w:val="10"/>
                <w:szCs w:val="10"/>
                <w:color w:val="auto"/>
              </w:rPr>
            </w:pPr>
          </w:p>
        </w:tc>
        <w:tc>
          <w:tcPr>
            <w:tcW w:w="8680" w:type="dxa"/>
            <w:vAlign w:val="bottom"/>
            <w:gridSpan w:val="6"/>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920" w:type="dxa"/>
            <w:vAlign w:val="bottom"/>
            <w:tcBorders>
              <w:bottom w:val="single" w:sz="8" w:color="0000FF"/>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FF"/>
                <w:w w:val="99"/>
              </w:rPr>
              <w:t>Consolidated Statements of Cash Flows</w:t>
            </w:r>
          </w:p>
        </w:tc>
        <w:tc>
          <w:tcPr>
            <w:tcW w:w="8460" w:type="dxa"/>
            <w:vAlign w:val="bottom"/>
            <w:gridSpan w:val="4"/>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0380" w:type="dxa"/>
            <w:vAlign w:val="bottom"/>
            <w:gridSpan w:val="10"/>
          </w:tcPr>
          <w:p>
            <w:pPr>
              <w:spacing w:after="0" w:line="124" w:lineRule="exact"/>
              <w:rPr>
                <w:sz w:val="20"/>
                <w:szCs w:val="20"/>
                <w:color w:val="auto"/>
              </w:rPr>
            </w:pPr>
            <w:r>
              <w:rPr>
                <w:rFonts w:ascii="Times New Roman" w:cs="Times New Roman" w:eastAsia="Times New Roman" w:hAnsi="Times New Roman"/>
                <w:sz w:val="12"/>
                <w:szCs w:val="12"/>
                <w:color w:val="0000FF"/>
              </w:rPr>
              <w:t>Notes to Consolidated Financial Statements</w:t>
            </w: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718"/>
        </w:trPr>
        <w:tc>
          <w:tcPr>
            <w:tcW w:w="160" w:type="dxa"/>
            <w:vAlign w:val="bottom"/>
          </w:tcPr>
          <w:p>
            <w:pPr>
              <w:spacing w:after="0"/>
              <w:rPr>
                <w:sz w:val="24"/>
                <w:szCs w:val="24"/>
                <w:color w:val="auto"/>
              </w:rPr>
            </w:pPr>
          </w:p>
        </w:tc>
        <w:tc>
          <w:tcPr>
            <w:tcW w:w="2100" w:type="dxa"/>
            <w:vAlign w:val="bottom"/>
            <w:tcBorders>
              <w:top w:val="single" w:sz="8" w:color="0000FF"/>
            </w:tcBorders>
            <w:gridSpan w:val="7"/>
          </w:tcPr>
          <w:p>
            <w:pPr>
              <w:spacing w:after="0"/>
              <w:rPr>
                <w:sz w:val="24"/>
                <w:szCs w:val="24"/>
                <w:color w:val="auto"/>
              </w:rPr>
            </w:pPr>
          </w:p>
        </w:tc>
        <w:tc>
          <w:tcPr>
            <w:tcW w:w="8280" w:type="dxa"/>
            <w:vAlign w:val="bottom"/>
            <w:gridSpan w:val="3"/>
          </w:tcPr>
          <w:p>
            <w:pPr>
              <w:jc w:val="right"/>
              <w:ind w:right="4840"/>
              <w:spacing w:after="0"/>
              <w:rPr>
                <w:sz w:val="20"/>
                <w:szCs w:val="20"/>
                <w:color w:val="auto"/>
              </w:rPr>
            </w:pPr>
            <w:r>
              <w:rPr>
                <w:rFonts w:ascii="Times New Roman" w:cs="Times New Roman" w:eastAsia="Times New Roman" w:hAnsi="Times New Roman"/>
                <w:sz w:val="12"/>
                <w:szCs w:val="12"/>
                <w:color w:val="auto"/>
              </w:rPr>
              <w:t>51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the Board of Directors of Great Lakes Dredge &amp; Dock Corporation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Great Lakes Dredge &amp; Dock Corporation and subsidiaries (the “Company”) as of December 31, 2024 and December 31, 2023, the related consolidated statements of operations, comprehensive income (loss),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December 31, 2023, and the results of its operations and its cash flows for each of the three years in the period ended December 31, 2024, in conformity with accounting principles generally accepted in the United States of America.</w:t>
      </w:r>
    </w:p>
    <w:p>
      <w:pPr>
        <w:spacing w:after="0" w:line="5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and our report dated February 20, 2025, expressed an unqualified opinion on the Company's internal control over financial reporting.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8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Audit Matters</w:t>
      </w:r>
    </w:p>
    <w:p>
      <w:pPr>
        <w:spacing w:after="0" w:line="8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 – Estimated Costs at Completion— Refer to Notes 1 and 10 to the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Critical Audit Matter Description</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During 2024, the Company’s contract revenues were $762.7 million, all of which represented revenue recognized over time as work progressed on individual contracts. The Company recognizes revenue on its contracts utilizing the cost-to-cost method for determining progress toward completion of each contract. Revenue is recognized using contract fulfillment costs incurred to date compared to total estimated fulfillment costs at completion. Daily costs and project duration are significant factors in the estimates of fulfillment costs at completion to complete the project.</w:t>
      </w:r>
    </w:p>
    <w:p>
      <w:pPr>
        <w:spacing w:after="0" w:line="4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We identified estimated contract fulfillment costs at completion used in revenue recognition as a critical audit matter because of the judgments inherent in management’s estimates related to contracts that were in progress at December 31, 2024. This required extensive audit effort and a high degree of auditor judgment when performing audit procedures on the total estimated contract fulfillment costs which underlie management’s determination of revenue on contracts in progress.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How the Critical Audit Matter Was Addressed in the Audit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audit procedures related to management's total estimated contract fulfillment costs at completion for contracts in progress included the following, among others: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4" w:name="page55"/>
    <w:bookmarkEnd w:id="54"/>
    <w:p>
      <w:pPr>
        <w:ind w:left="1020" w:hanging="516"/>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tested the effectiveness of internal controls over revenue recognition, including management's internal controls over estimated contract fulfillment costs at completion.</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selected a sample of contracts with customers, and we performed the following:</w:t>
      </w:r>
    </w:p>
    <w:p>
      <w:pPr>
        <w:spacing w:after="0" w:line="78" w:lineRule="exact"/>
        <w:rPr>
          <w:sz w:val="20"/>
          <w:szCs w:val="20"/>
          <w:color w:val="auto"/>
        </w:rPr>
      </w:pPr>
    </w:p>
    <w:p>
      <w:pPr>
        <w:ind w:left="1520" w:right="240" w:hanging="503"/>
        <w:spacing w:after="0" w:line="265" w:lineRule="auto"/>
        <w:tabs>
          <w:tab w:leader="none" w:pos="152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Tested management's process of determining the estimated contract fulfillment costs at completion and evaluated management's ability to achieve the total estimated contract fulfillment costs by obtaining relevant support and inquiring with the Company's project managers and engineers, comparing the estimates to management's work plans, and comparing expected profit margins to those achieved on similar contracts to evaluate whether the estimates were within an acceptable range.</w:t>
      </w:r>
    </w:p>
    <w:p>
      <w:pPr>
        <w:spacing w:after="0" w:line="46" w:lineRule="exact"/>
        <w:rPr>
          <w:rFonts w:ascii="Times New Roman" w:cs="Times New Roman" w:eastAsia="Times New Roman" w:hAnsi="Times New Roman"/>
          <w:sz w:val="12"/>
          <w:szCs w:val="12"/>
          <w:color w:val="auto"/>
        </w:rPr>
      </w:pPr>
    </w:p>
    <w:p>
      <w:pPr>
        <w:ind w:left="1520" w:hanging="503"/>
        <w:spacing w:after="0" w:line="279" w:lineRule="auto"/>
        <w:tabs>
          <w:tab w:leader="none" w:pos="152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selection of contracts, we performed in-person site visits and held meetings with the project site managers and project sponsors, who are part of the Company's operations outside of the accounting and finance function, to discuss the contract activities. Further, we utilized a marine global positioning system tracking technology to validate equipment deployed on-site.</w:t>
      </w:r>
    </w:p>
    <w:p>
      <w:pPr>
        <w:spacing w:after="0" w:line="39" w:lineRule="exact"/>
        <w:rPr>
          <w:rFonts w:ascii="Times New Roman" w:cs="Times New Roman" w:eastAsia="Times New Roman" w:hAnsi="Times New Roman"/>
          <w:sz w:val="12"/>
          <w:szCs w:val="12"/>
          <w:color w:val="auto"/>
        </w:rPr>
      </w:pPr>
    </w:p>
    <w:p>
      <w:pPr>
        <w:ind w:left="1020" w:right="320" w:hanging="516"/>
        <w:spacing w:after="0" w:line="279" w:lineRule="auto"/>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evaluated management's ability to accurately estimate contract fulfillment costs at completion by performing a hindsight analysis using historical projects and comparing the margin at contract inception compared to the margin at contract completion.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Chicago, Illinois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1991.</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77" w:right="39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Great Lakes Dredge &amp; Dock Corporation and Subsidiaries</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b w:val="1"/>
          <w:bCs w:val="1"/>
          <w:color w:val="auto"/>
        </w:rPr>
        <w:t>As of December 31, 2024 and 2023</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40" w:type="dxa"/>
            <w:vAlign w:val="bottom"/>
          </w:tcPr>
          <w:p>
            <w:pPr>
              <w:spacing w:after="0"/>
              <w:rPr>
                <w:sz w:val="10"/>
                <w:szCs w:val="10"/>
                <w:color w:val="auto"/>
              </w:rPr>
            </w:pPr>
          </w:p>
        </w:tc>
        <w:tc>
          <w:tcPr>
            <w:tcW w:w="9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10"/>
                <w:szCs w:val="10"/>
                <w:color w:val="auto"/>
              </w:rPr>
            </w:pPr>
          </w:p>
        </w:tc>
      </w:tr>
      <w:tr>
        <w:trPr>
          <w:trHeight w:val="133"/>
        </w:trPr>
        <w:tc>
          <w:tcPr>
            <w:tcW w:w="77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9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980" w:type="dxa"/>
            <w:vAlign w:val="bottom"/>
            <w:shd w:val="clear" w:color="auto" w:fill="CFF0FC"/>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10,216</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22,841</w:t>
            </w: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receivable—net</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118,030</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54,810</w:t>
            </w: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Contract revenues in excess of billings</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74,197</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68,735</w:t>
            </w: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29,866</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33,912</w:t>
            </w: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Prepaid expenses</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2,828</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1,486</w:t>
            </w: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current assets</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28,281</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44,544</w:t>
            </w:r>
          </w:p>
        </w:tc>
        <w:tc>
          <w:tcPr>
            <w:tcW w:w="120" w:type="dxa"/>
            <w:vAlign w:val="bottom"/>
          </w:tcPr>
          <w:p>
            <w:pPr>
              <w:spacing w:after="0"/>
              <w:rPr>
                <w:sz w:val="12"/>
                <w:szCs w:val="12"/>
                <w:color w:val="auto"/>
              </w:rPr>
            </w:pPr>
          </w:p>
        </w:tc>
      </w:tr>
      <w:tr>
        <w:trPr>
          <w:trHeight w:val="133"/>
        </w:trPr>
        <w:tc>
          <w:tcPr>
            <w:tcW w:w="7740" w:type="dxa"/>
            <w:vAlign w:val="bottom"/>
            <w:shd w:val="clear" w:color="auto" w:fill="CFF0FC"/>
          </w:tcPr>
          <w:p>
            <w:pPr>
              <w:ind w:left="36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9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263,418</w:t>
            </w:r>
          </w:p>
        </w:tc>
        <w:tc>
          <w:tcPr>
            <w:tcW w:w="3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226,328</w:t>
            </w:r>
          </w:p>
        </w:tc>
        <w:tc>
          <w:tcPr>
            <w:tcW w:w="120" w:type="dxa"/>
            <w:vAlign w:val="bottom"/>
            <w:shd w:val="clear" w:color="auto" w:fill="CFF0FC"/>
          </w:tcPr>
          <w:p>
            <w:pPr>
              <w:spacing w:after="0"/>
              <w:rPr>
                <w:sz w:val="11"/>
                <w:szCs w:val="11"/>
                <w:color w:val="auto"/>
              </w:rPr>
            </w:pPr>
          </w:p>
        </w:tc>
      </w:tr>
      <w:tr>
        <w:trPr>
          <w:trHeight w:val="144"/>
        </w:trPr>
        <w:tc>
          <w:tcPr>
            <w:tcW w:w="7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PROPERTY AND EQUIPMENT—Net</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703,252</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614,608</w:t>
            </w: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ASSETS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96,099</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88,398</w:t>
            </w: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76,576</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76,576</w:t>
            </w: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INVENTORIES—Noncurrent</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95,269</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86,325</w:t>
            </w:r>
          </w:p>
        </w:tc>
        <w:tc>
          <w:tcPr>
            <w:tcW w:w="120" w:type="dxa"/>
            <w:vAlign w:val="bottom"/>
          </w:tcPr>
          <w:p>
            <w:pPr>
              <w:spacing w:after="0"/>
              <w:rPr>
                <w:sz w:val="12"/>
                <w:szCs w:val="12"/>
                <w:color w:val="auto"/>
              </w:rPr>
            </w:pPr>
          </w:p>
        </w:tc>
      </w:tr>
      <w:tr>
        <w:trPr>
          <w:trHeight w:val="144"/>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20,489</w:t>
            </w: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18,605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0"/>
        </w:trPr>
        <w:tc>
          <w:tcPr>
            <w:tcW w:w="77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auto"/>
            </w:tcBorders>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1,255,103</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1,110,840</w:t>
            </w: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980" w:type="dxa"/>
            <w:vAlign w:val="bottom"/>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101,309</w:t>
            </w:r>
          </w:p>
        </w:tc>
        <w:tc>
          <w:tcPr>
            <w:tcW w:w="30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83,835</w:t>
            </w: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41,640</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37,361</w:t>
            </w: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47,268</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28,687</w:t>
            </w:r>
          </w:p>
        </w:tc>
        <w:tc>
          <w:tcPr>
            <w:tcW w:w="120" w:type="dxa"/>
            <w:vAlign w:val="bottom"/>
          </w:tcPr>
          <w:p>
            <w:pPr>
              <w:spacing w:after="0"/>
              <w:rPr>
                <w:sz w:val="12"/>
                <w:szCs w:val="12"/>
                <w:color w:val="auto"/>
              </w:rPr>
            </w:pPr>
          </w:p>
        </w:tc>
      </w:tr>
      <w:tr>
        <w:trPr>
          <w:trHeight w:val="144"/>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Billings in excess of contract revenues</w:t>
            </w:r>
          </w:p>
        </w:tc>
        <w:tc>
          <w:tcPr>
            <w:tcW w:w="9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25,796</w:t>
            </w: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29,560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3"/>
        </w:trPr>
        <w:tc>
          <w:tcPr>
            <w:tcW w:w="774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98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216,013</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179,443</w:t>
            </w:r>
          </w:p>
        </w:tc>
        <w:tc>
          <w:tcPr>
            <w:tcW w:w="120" w:type="dxa"/>
            <w:vAlign w:val="bottom"/>
          </w:tcPr>
          <w:p>
            <w:pPr>
              <w:spacing w:after="0"/>
              <w:rPr>
                <w:sz w:val="11"/>
                <w:szCs w:val="11"/>
                <w:color w:val="auto"/>
              </w:rPr>
            </w:pPr>
          </w:p>
        </w:tc>
      </w:tr>
      <w:tr>
        <w:trPr>
          <w:trHeight w:val="144"/>
        </w:trPr>
        <w:tc>
          <w:tcPr>
            <w:tcW w:w="77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448,216</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412,070</w:t>
            </w: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LEASE LIABILITIES—Noncurrent</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50,432</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61,444</w:t>
            </w: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78,985</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62,232</w:t>
            </w:r>
          </w:p>
        </w:tc>
        <w:tc>
          <w:tcPr>
            <w:tcW w:w="120" w:type="dxa"/>
            <w:vAlign w:val="bottom"/>
          </w:tcPr>
          <w:p>
            <w:pPr>
              <w:spacing w:after="0"/>
              <w:rPr>
                <w:sz w:val="12"/>
                <w:szCs w:val="12"/>
                <w:color w:val="auto"/>
              </w:rPr>
            </w:pPr>
          </w:p>
        </w:tc>
      </w:tr>
      <w:tr>
        <w:trPr>
          <w:trHeight w:val="144"/>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12,547</w:t>
            </w: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10,103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3"/>
        </w:trPr>
        <w:tc>
          <w:tcPr>
            <w:tcW w:w="774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98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806,193</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725,292</w:t>
            </w:r>
          </w:p>
        </w:tc>
        <w:tc>
          <w:tcPr>
            <w:tcW w:w="120" w:type="dxa"/>
            <w:vAlign w:val="bottom"/>
          </w:tcPr>
          <w:p>
            <w:pPr>
              <w:spacing w:after="0"/>
              <w:rPr>
                <w:sz w:val="11"/>
                <w:szCs w:val="11"/>
                <w:color w:val="auto"/>
              </w:rPr>
            </w:pPr>
          </w:p>
        </w:tc>
      </w:tr>
      <w:tr>
        <w:trPr>
          <w:trHeight w:val="144"/>
        </w:trPr>
        <w:tc>
          <w:tcPr>
            <w:tcW w:w="77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spacing w:after="0"/>
              <w:rPr>
                <w:sz w:val="20"/>
                <w:szCs w:val="20"/>
                <w:color w:val="auto"/>
              </w:rPr>
            </w:pPr>
            <w:r>
              <w:rPr>
                <w:rFonts w:ascii="Times New Roman" w:cs="Times New Roman" w:eastAsia="Times New Roman" w:hAnsi="Times New Roman"/>
                <w:sz w:val="12"/>
                <w:szCs w:val="12"/>
                <w:color w:val="auto"/>
              </w:rPr>
              <w:t>COMMITMENTS AND CONTINGENCIES (Note 12)</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EQUITY:</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3"/>
        </w:trPr>
        <w:tc>
          <w:tcPr>
            <w:tcW w:w="77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Common stock—$.0001 par value; 170,000 shares authorized, 67,280 shares issued and outstanding at December 31, 2024; 90,000 shares authorized,</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66,623 shares issued and outstanding at December 31, 2023.</w:t>
            </w:r>
          </w:p>
        </w:tc>
        <w:tc>
          <w:tcPr>
            <w:tcW w:w="9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3"/>
                <w:szCs w:val="13"/>
                <w:color w:val="auto"/>
              </w:rPr>
            </w:pPr>
          </w:p>
        </w:tc>
      </w:tr>
      <w:tr>
        <w:trPr>
          <w:trHeight w:val="144"/>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322,383</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317,337</w:t>
            </w:r>
          </w:p>
        </w:tc>
        <w:tc>
          <w:tcPr>
            <w:tcW w:w="120" w:type="dxa"/>
            <w:vAlign w:val="bottom"/>
            <w:shd w:val="clear" w:color="auto" w:fill="CFF0FC"/>
          </w:tcPr>
          <w:p>
            <w:pPr>
              <w:spacing w:after="0"/>
              <w:rPr>
                <w:sz w:val="12"/>
                <w:szCs w:val="12"/>
                <w:color w:val="auto"/>
              </w:rPr>
            </w:pPr>
          </w:p>
        </w:tc>
      </w:tr>
      <w:tr>
        <w:trPr>
          <w:trHeight w:val="144"/>
        </w:trPr>
        <w:tc>
          <w:tcPr>
            <w:tcW w:w="7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retained earnings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127,485</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70,220</w:t>
            </w:r>
          </w:p>
        </w:tc>
        <w:tc>
          <w:tcPr>
            <w:tcW w:w="120" w:type="dxa"/>
            <w:vAlign w:val="bottom"/>
          </w:tcPr>
          <w:p>
            <w:pPr>
              <w:spacing w:after="0"/>
              <w:rPr>
                <w:sz w:val="12"/>
                <w:szCs w:val="12"/>
                <w:color w:val="auto"/>
              </w:rPr>
            </w:pPr>
          </w:p>
        </w:tc>
      </w:tr>
      <w:tr>
        <w:trPr>
          <w:trHeight w:val="144"/>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9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(965 )</w:t>
            </w:r>
          </w:p>
        </w:tc>
        <w:tc>
          <w:tcPr>
            <w:tcW w:w="3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(2,015 )</w:t>
            </w:r>
          </w:p>
        </w:tc>
      </w:tr>
      <w:tr>
        <w:trPr>
          <w:trHeight w:val="133"/>
        </w:trPr>
        <w:tc>
          <w:tcPr>
            <w:tcW w:w="774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Total equity</w:t>
            </w:r>
          </w:p>
        </w:tc>
        <w:tc>
          <w:tcPr>
            <w:tcW w:w="9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448,910</w:t>
            </w:r>
          </w:p>
        </w:tc>
        <w:tc>
          <w:tcPr>
            <w:tcW w:w="300" w:type="dxa"/>
            <w:vAlign w:val="bottom"/>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385,548</w:t>
            </w:r>
          </w:p>
        </w:tc>
        <w:tc>
          <w:tcPr>
            <w:tcW w:w="120" w:type="dxa"/>
            <w:vAlign w:val="bottom"/>
          </w:tcPr>
          <w:p>
            <w:pPr>
              <w:spacing w:after="0"/>
              <w:rPr>
                <w:sz w:val="11"/>
                <w:szCs w:val="11"/>
                <w:color w:val="auto"/>
              </w:rPr>
            </w:pPr>
          </w:p>
        </w:tc>
      </w:tr>
      <w:tr>
        <w:trPr>
          <w:trHeight w:val="140"/>
        </w:trPr>
        <w:tc>
          <w:tcPr>
            <w:tcW w:w="774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auto"/>
            </w:tcBorders>
            <w:shd w:val="clear" w:color="auto" w:fill="CFF0FC"/>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1,255,103</w:t>
            </w: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1,110,840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-2348230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-2348230</wp:posOffset>
            </wp:positionV>
            <wp:extent cx="7429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-1593850</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-1593850</wp:posOffset>
            </wp:positionV>
            <wp:extent cx="7429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-1039495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-1039495</wp:posOffset>
            </wp:positionV>
            <wp:extent cx="7429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-223520</wp:posOffset>
            </wp:positionV>
            <wp:extent cx="93980"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-223520</wp:posOffset>
            </wp:positionV>
            <wp:extent cx="99695"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9695" cy="12827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-16510</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-5080</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-16510</wp:posOffset>
            </wp:positionV>
            <wp:extent cx="7429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-5080</wp:posOffset>
            </wp:positionV>
            <wp:extent cx="7429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6" w:name="page57"/>
    <w:bookmarkEnd w:id="56"/>
    <w:p>
      <w:pPr>
        <w:ind w:left="4140"/>
        <w:spacing w:after="0"/>
        <w:rPr>
          <w:sz w:val="20"/>
          <w:szCs w:val="20"/>
          <w:color w:val="auto"/>
        </w:rPr>
      </w:pPr>
      <w:r>
        <w:rPr>
          <w:rFonts w:ascii="Times New Roman" w:cs="Times New Roman" w:eastAsia="Times New Roman" w:hAnsi="Times New Roman"/>
          <w:sz w:val="12"/>
          <w:szCs w:val="12"/>
          <w:b w:val="1"/>
          <w:bCs w:val="1"/>
          <w:color w:val="auto"/>
        </w:rPr>
        <w:t>Great Lakes Dredge &amp; Dock Corporation and Subsidiaries</w:t>
      </w:r>
    </w:p>
    <w:p>
      <w:pPr>
        <w:spacing w:after="0" w:line="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Years Ended December 31, 2024, 2023 and 2022</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82550</wp:posOffset>
            </wp:positionV>
            <wp:extent cx="99695" cy="99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82550</wp:posOffset>
            </wp:positionV>
            <wp:extent cx="93980" cy="996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82550</wp:posOffset>
            </wp:positionV>
            <wp:extent cx="93980" cy="99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9969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820" w:type="dxa"/>
            <w:vAlign w:val="bottom"/>
          </w:tcPr>
          <w:p>
            <w:pPr>
              <w:spacing w:after="0"/>
              <w:rPr>
                <w:sz w:val="9"/>
                <w:szCs w:val="9"/>
                <w:color w:val="auto"/>
              </w:rPr>
            </w:pPr>
          </w:p>
        </w:tc>
        <w:tc>
          <w:tcPr>
            <w:tcW w:w="1040" w:type="dxa"/>
            <w:vAlign w:val="bottom"/>
            <w:tcBorders>
              <w:top w:val="single" w:sz="8" w:color="auto"/>
            </w:tcBorders>
          </w:tcPr>
          <w:p>
            <w:pPr>
              <w:jc w:val="right"/>
              <w:ind w:right="82"/>
              <w:spacing w:after="0" w:line="108" w:lineRule="exact"/>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top w:val="single" w:sz="8" w:color="auto"/>
            </w:tcBorders>
            <w:gridSpan w:val="2"/>
          </w:tcPr>
          <w:p>
            <w:pPr>
              <w:jc w:val="right"/>
              <w:ind w:right="86"/>
              <w:spacing w:after="0" w:line="108" w:lineRule="exact"/>
              <w:rPr>
                <w:sz w:val="20"/>
                <w:szCs w:val="20"/>
                <w:color w:val="auto"/>
              </w:rPr>
            </w:pPr>
            <w:r>
              <w:rPr>
                <w:rFonts w:ascii="Times New Roman" w:cs="Times New Roman" w:eastAsia="Times New Roman" w:hAnsi="Times New Roman"/>
                <w:sz w:val="10"/>
                <w:szCs w:val="10"/>
                <w:b w:val="1"/>
                <w:bCs w:val="1"/>
                <w:color w:val="auto"/>
              </w:rPr>
              <w:t>2023</w:t>
            </w: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jc w:val="right"/>
              <w:ind w:right="621"/>
              <w:spacing w:after="0" w:line="10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9"/>
                <w:szCs w:val="9"/>
                <w:color w:val="auto"/>
              </w:rPr>
            </w:pPr>
          </w:p>
        </w:tc>
      </w:tr>
      <w:tr>
        <w:trPr>
          <w:trHeight w:val="70"/>
        </w:trPr>
        <w:tc>
          <w:tcPr>
            <w:tcW w:w="582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144"/>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Contract revenues</w:t>
            </w:r>
          </w:p>
        </w:tc>
        <w:tc>
          <w:tcPr>
            <w:tcW w:w="104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762,693</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90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589,625</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6"/>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648,781</w:t>
            </w:r>
          </w:p>
        </w:tc>
        <w:tc>
          <w:tcPr>
            <w:tcW w:w="120" w:type="dxa"/>
            <w:vAlign w:val="bottom"/>
            <w:shd w:val="clear" w:color="auto" w:fill="CFF0FC"/>
          </w:tcPr>
          <w:p>
            <w:pPr>
              <w:spacing w:after="0"/>
              <w:rPr>
                <w:sz w:val="12"/>
                <w:szCs w:val="12"/>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Costs of contract revenues</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602,117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511,893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617,608</w:t>
            </w:r>
          </w:p>
        </w:tc>
        <w:tc>
          <w:tcPr>
            <w:tcW w:w="120" w:type="dxa"/>
            <w:vAlign w:val="bottom"/>
          </w:tcPr>
          <w:p>
            <w:pPr>
              <w:spacing w:after="0"/>
              <w:rPr>
                <w:sz w:val="12"/>
                <w:szCs w:val="12"/>
                <w:color w:val="auto"/>
              </w:rPr>
            </w:pPr>
          </w:p>
        </w:tc>
      </w:tr>
      <w:tr>
        <w:trPr>
          <w:trHeight w:val="133"/>
        </w:trPr>
        <w:tc>
          <w:tcPr>
            <w:tcW w:w="582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10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160,576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77,732</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31,173</w:t>
            </w:r>
          </w:p>
        </w:tc>
        <w:tc>
          <w:tcPr>
            <w:tcW w:w="120" w:type="dxa"/>
            <w:vAlign w:val="bottom"/>
            <w:shd w:val="clear" w:color="auto" w:fill="CFF0FC"/>
          </w:tcPr>
          <w:p>
            <w:pPr>
              <w:spacing w:after="0"/>
              <w:rPr>
                <w:sz w:val="11"/>
                <w:szCs w:val="11"/>
                <w:color w:val="auto"/>
              </w:rPr>
            </w:pPr>
          </w:p>
        </w:tc>
      </w:tr>
      <w:tr>
        <w:trPr>
          <w:trHeight w:val="144"/>
        </w:trPr>
        <w:tc>
          <w:tcPr>
            <w:tcW w:w="5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70,769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57,056</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51,117</w:t>
            </w:r>
          </w:p>
        </w:tc>
        <w:tc>
          <w:tcPr>
            <w:tcW w:w="120" w:type="dxa"/>
            <w:vAlign w:val="bottom"/>
            <w:shd w:val="clear" w:color="auto" w:fill="CFF0FC"/>
          </w:tcPr>
          <w:p>
            <w:pPr>
              <w:spacing w:after="0"/>
              <w:rPr>
                <w:sz w:val="12"/>
                <w:szCs w:val="12"/>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Other (gains) losses</w:t>
            </w:r>
          </w:p>
        </w:tc>
        <w:tc>
          <w:tcPr>
            <w:tcW w:w="10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(2,998 )</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(7,543 )</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7,792</w:t>
            </w:r>
          </w:p>
        </w:tc>
        <w:tc>
          <w:tcPr>
            <w:tcW w:w="120" w:type="dxa"/>
            <w:vAlign w:val="bottom"/>
          </w:tcPr>
          <w:p>
            <w:pPr>
              <w:spacing w:after="0"/>
              <w:rPr>
                <w:sz w:val="12"/>
                <w:szCs w:val="12"/>
                <w:color w:val="auto"/>
              </w:rPr>
            </w:pPr>
          </w:p>
        </w:tc>
      </w:tr>
      <w:tr>
        <w:trPr>
          <w:trHeight w:val="20"/>
        </w:trPr>
        <w:tc>
          <w:tcPr>
            <w:tcW w:w="5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582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Operating income (loss)</w:t>
            </w:r>
          </w:p>
        </w:tc>
        <w:tc>
          <w:tcPr>
            <w:tcW w:w="10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92,805</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28,219</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(27,736 )</w:t>
            </w:r>
          </w:p>
        </w:tc>
      </w:tr>
      <w:tr>
        <w:trPr>
          <w:trHeight w:val="144"/>
        </w:trPr>
        <w:tc>
          <w:tcPr>
            <w:tcW w:w="5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Interest expense—net</w:t>
            </w:r>
          </w:p>
        </w:tc>
        <w:tc>
          <w:tcPr>
            <w:tcW w:w="10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(17,880 )</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(12,140 )</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(14,108 )</w:t>
            </w: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10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(1,571 )</w:t>
            </w:r>
          </w:p>
        </w:tc>
      </w:tr>
      <w:tr>
        <w:trPr>
          <w:trHeight w:val="20"/>
        </w:trPr>
        <w:tc>
          <w:tcPr>
            <w:tcW w:w="5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582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Income (loss) before income taxes</w:t>
            </w:r>
          </w:p>
        </w:tc>
        <w:tc>
          <w:tcPr>
            <w:tcW w:w="10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75,385</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18,312</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(43,415 )</w:t>
            </w:r>
          </w:p>
        </w:tc>
      </w:tr>
      <w:tr>
        <w:trPr>
          <w:trHeight w:val="144"/>
        </w:trPr>
        <w:tc>
          <w:tcPr>
            <w:tcW w:w="5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10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(18,120 )</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(4,406 )</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9,360</w:t>
            </w:r>
          </w:p>
        </w:tc>
        <w:tc>
          <w:tcPr>
            <w:tcW w:w="120" w:type="dxa"/>
            <w:vAlign w:val="bottom"/>
            <w:shd w:val="clear" w:color="auto" w:fill="CFF0FC"/>
          </w:tcPr>
          <w:p>
            <w:pPr>
              <w:spacing w:after="0"/>
              <w:rPr>
                <w:sz w:val="12"/>
                <w:szCs w:val="12"/>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0"/>
        </w:trPr>
        <w:tc>
          <w:tcPr>
            <w:tcW w:w="582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1040" w:type="dxa"/>
            <w:vAlign w:val="bottom"/>
          </w:tcPr>
          <w:p>
            <w:pPr>
              <w:jc w:val="right"/>
              <w:ind w:right="902"/>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57,265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9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13,906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(34,055 )</w:t>
            </w:r>
          </w:p>
        </w:tc>
      </w:tr>
      <w:tr>
        <w:trPr>
          <w:trHeight w:val="144"/>
        </w:trPr>
        <w:tc>
          <w:tcPr>
            <w:tcW w:w="582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Basic earnings (loss) per share</w:t>
            </w:r>
          </w:p>
        </w:tc>
        <w:tc>
          <w:tcPr>
            <w:tcW w:w="1040" w:type="dxa"/>
            <w:vAlign w:val="bottom"/>
          </w:tcPr>
          <w:p>
            <w:pPr>
              <w:jc w:val="right"/>
              <w:ind w:right="90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0.85</w:t>
            </w:r>
          </w:p>
        </w:tc>
        <w:tc>
          <w:tcPr>
            <w:tcW w:w="120" w:type="dxa"/>
            <w:vAlign w:val="bottom"/>
          </w:tcPr>
          <w:p>
            <w:pPr>
              <w:spacing w:after="0"/>
              <w:rPr>
                <w:sz w:val="12"/>
                <w:szCs w:val="12"/>
                <w:color w:val="auto"/>
              </w:rPr>
            </w:pPr>
          </w:p>
        </w:tc>
        <w:tc>
          <w:tcPr>
            <w:tcW w:w="1220" w:type="dxa"/>
            <w:vAlign w:val="bottom"/>
            <w:gridSpan w:val="2"/>
          </w:tcPr>
          <w:p>
            <w:pPr>
              <w:jc w:val="right"/>
              <w:ind w:right="90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120" w:type="dxa"/>
            <w:vAlign w:val="bottom"/>
          </w:tcPr>
          <w:p>
            <w:pPr>
              <w:spacing w:after="0"/>
              <w:rPr>
                <w:sz w:val="12"/>
                <w:szCs w:val="12"/>
                <w:color w:val="auto"/>
              </w:rPr>
            </w:pPr>
          </w:p>
        </w:tc>
        <w:tc>
          <w:tcPr>
            <w:tcW w:w="580" w:type="dxa"/>
            <w:vAlign w:val="bottom"/>
            <w:gridSpan w:val="2"/>
          </w:tcPr>
          <w:p>
            <w:pPr>
              <w:jc w:val="right"/>
              <w:ind w:right="26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(0.52 )</w:t>
            </w:r>
          </w:p>
        </w:tc>
      </w:tr>
      <w:tr>
        <w:trPr>
          <w:trHeight w:val="144"/>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Basic weighted average shares</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67,085</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66,469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66,051</w:t>
            </w:r>
          </w:p>
        </w:tc>
        <w:tc>
          <w:tcPr>
            <w:tcW w:w="120" w:type="dxa"/>
            <w:vAlign w:val="bottom"/>
            <w:shd w:val="clear" w:color="auto" w:fill="CFF0FC"/>
          </w:tcPr>
          <w:p>
            <w:pPr>
              <w:spacing w:after="0"/>
              <w:rPr>
                <w:sz w:val="12"/>
                <w:szCs w:val="12"/>
                <w:color w:val="auto"/>
              </w:rPr>
            </w:pPr>
          </w:p>
        </w:tc>
      </w:tr>
      <w:tr>
        <w:trPr>
          <w:trHeight w:val="144"/>
        </w:trPr>
        <w:tc>
          <w:tcPr>
            <w:tcW w:w="5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Diluted earnings (loss) per share</w:t>
            </w:r>
          </w:p>
        </w:tc>
        <w:tc>
          <w:tcPr>
            <w:tcW w:w="104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0.84</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90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(0.52 )</w:t>
            </w:r>
          </w:p>
        </w:tc>
      </w:tr>
      <w:tr>
        <w:trPr>
          <w:trHeight w:val="155"/>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Diluted weighted average shares</w:t>
            </w: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67,847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66,957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66,051</w:t>
            </w:r>
          </w:p>
        </w:tc>
        <w:tc>
          <w:tcPr>
            <w:tcW w:w="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4709795</wp:posOffset>
            </wp:positionH>
            <wp:positionV relativeFrom="paragraph">
              <wp:posOffset>-669290</wp:posOffset>
            </wp:positionV>
            <wp:extent cx="7429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-669290</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-669290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7" w:name="page58"/>
    <w:bookmarkEnd w:id="5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Great Lakes Dredge &amp; Dock Corporation and Subsidiaries</w:t>
      </w:r>
    </w:p>
    <w:p>
      <w:pPr>
        <w:spacing w:after="0" w:line="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 (Loss)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Years Ended December 31, 2024, 2023 and 2022</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5085080</wp:posOffset>
            </wp:positionH>
            <wp:positionV relativeFrom="paragraph">
              <wp:posOffset>82550</wp:posOffset>
            </wp:positionV>
            <wp:extent cx="99695" cy="99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6096635</wp:posOffset>
            </wp:positionH>
            <wp:positionV relativeFrom="paragraph">
              <wp:posOffset>82550</wp:posOffset>
            </wp:positionV>
            <wp:extent cx="93980" cy="996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82550</wp:posOffset>
            </wp:positionV>
            <wp:extent cx="93980" cy="996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99695"/>
                    </a:xfrm>
                    <a:prstGeom prst="rect">
                      <a:avLst/>
                    </a:prstGeom>
                    <a:noFill/>
                  </pic:spPr>
                </pic:pic>
              </a:graphicData>
            </a:graphic>
          </wp:anchor>
        </w:drawing>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6700" w:type="dxa"/>
            <w:vAlign w:val="bottom"/>
          </w:tcPr>
          <w:p>
            <w:pPr>
              <w:spacing w:after="0"/>
              <w:rPr>
                <w:sz w:val="9"/>
                <w:szCs w:val="9"/>
                <w:color w:val="auto"/>
              </w:rPr>
            </w:pPr>
          </w:p>
        </w:tc>
        <w:tc>
          <w:tcPr>
            <w:tcW w:w="860" w:type="dxa"/>
            <w:vAlign w:val="bottom"/>
            <w:tcBorders>
              <w:top w:val="single" w:sz="8" w:color="auto"/>
            </w:tcBorders>
          </w:tcPr>
          <w:p>
            <w:pPr>
              <w:jc w:val="right"/>
              <w:ind w:right="48"/>
              <w:spacing w:after="0" w:line="108" w:lineRule="exact"/>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top w:val="single" w:sz="8" w:color="auto"/>
            </w:tcBorders>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b w:val="1"/>
                <w:bCs w:val="1"/>
                <w:color w:val="auto"/>
              </w:rPr>
              <w:t>2023</w:t>
            </w: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483"/>
              <w:spacing w:after="0" w:line="10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9"/>
                <w:szCs w:val="9"/>
                <w:color w:val="auto"/>
              </w:rPr>
            </w:pPr>
          </w:p>
        </w:tc>
      </w:tr>
      <w:tr>
        <w:trPr>
          <w:trHeight w:val="70"/>
        </w:trPr>
        <w:tc>
          <w:tcPr>
            <w:tcW w:w="6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144"/>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860" w:type="dxa"/>
            <w:vAlign w:val="bottom"/>
            <w:shd w:val="clear" w:color="auto" w:fill="CFF0FC"/>
          </w:tcPr>
          <w:p>
            <w:pPr>
              <w:jc w:val="right"/>
              <w:ind w:right="74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57,265</w:t>
            </w:r>
          </w:p>
        </w:tc>
        <w:tc>
          <w:tcPr>
            <w:tcW w:w="114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13,906</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(34,055 )</w:t>
            </w:r>
          </w:p>
        </w:tc>
      </w:tr>
      <w:tr>
        <w:trPr>
          <w:trHeight w:val="144"/>
        </w:trPr>
        <w:tc>
          <w:tcPr>
            <w:tcW w:w="6700" w:type="dxa"/>
            <w:vAlign w:val="bottom"/>
          </w:tcPr>
          <w:p>
            <w:pPr>
              <w:spacing w:after="0"/>
              <w:rPr>
                <w:sz w:val="20"/>
                <w:szCs w:val="20"/>
                <w:color w:val="auto"/>
              </w:rPr>
            </w:pPr>
            <w:r>
              <w:rPr>
                <w:rFonts w:ascii="Times New Roman" w:cs="Times New Roman" w:eastAsia="Times New Roman" w:hAnsi="Times New Roman"/>
                <w:sz w:val="12"/>
                <w:szCs w:val="12"/>
                <w:color w:val="auto"/>
              </w:rPr>
              <w:t>Net change in cash flow derivative hedges—net of tax (1)</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(1,824 )</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(331 )</w:t>
            </w:r>
          </w:p>
        </w:tc>
      </w:tr>
      <w:tr>
        <w:trPr>
          <w:trHeight w:val="20"/>
        </w:trPr>
        <w:tc>
          <w:tcPr>
            <w:tcW w:w="6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7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 (loss)</w:t>
            </w:r>
          </w:p>
        </w:tc>
        <w:tc>
          <w:tcPr>
            <w:tcW w:w="860" w:type="dxa"/>
            <w:vAlign w:val="bottom"/>
            <w:shd w:val="clear" w:color="auto" w:fill="CFF0FC"/>
          </w:tcPr>
          <w:p>
            <w:pPr>
              <w:jc w:val="right"/>
              <w:ind w:right="74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58,315</w:t>
            </w:r>
          </w:p>
        </w:tc>
        <w:tc>
          <w:tcPr>
            <w:tcW w:w="280" w:type="dxa"/>
            <w:vAlign w:val="bottom"/>
            <w:gridSpan w:val="2"/>
            <w:shd w:val="clear" w:color="auto" w:fill="CFF0FC"/>
          </w:tcPr>
          <w:p>
            <w:pPr>
              <w:spacing w:after="0"/>
              <w:rPr>
                <w:sz w:val="11"/>
                <w:szCs w:val="11"/>
                <w:color w:val="auto"/>
              </w:rPr>
            </w:pPr>
          </w:p>
        </w:tc>
        <w:tc>
          <w:tcPr>
            <w:tcW w:w="860" w:type="dxa"/>
            <w:vAlign w:val="bottom"/>
            <w:shd w:val="clear" w:color="auto" w:fill="CFF0FC"/>
          </w:tcPr>
          <w:p>
            <w:pPr>
              <w:jc w:val="right"/>
              <w:ind w:right="7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12,082</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(34,386 )</w:t>
            </w:r>
          </w:p>
        </w:tc>
      </w:tr>
      <w:tr>
        <w:trPr>
          <w:trHeight w:val="27"/>
        </w:trPr>
        <w:tc>
          <w:tcPr>
            <w:tcW w:w="6700" w:type="dxa"/>
            <w:vAlign w:val="bottom"/>
            <w:shd w:val="clear" w:color="auto" w:fill="CFF0F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-16510</wp:posOffset>
            </wp:positionV>
            <wp:extent cx="7429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-5080</wp:posOffset>
            </wp:positionV>
            <wp:extent cx="7429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-16510</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-5080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-16510</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-5080</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508" w:hanging="508"/>
        <w:spacing w:after="0"/>
        <w:tabs>
          <w:tab w:leader="none" w:pos="5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of income tax provision of $355 for the year ended December 31, 2024, and net of income tax benefit of $616 and $112 for the years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58" w:name="page59"/>
    <w:bookmarkEnd w:id="58"/>
    <w:p>
      <w:pPr>
        <w:ind w:left="4140"/>
        <w:spacing w:after="0"/>
        <w:rPr>
          <w:sz w:val="20"/>
          <w:szCs w:val="20"/>
          <w:color w:val="auto"/>
        </w:rPr>
      </w:pPr>
      <w:r>
        <w:rPr>
          <w:rFonts w:ascii="Times New Roman" w:cs="Times New Roman" w:eastAsia="Times New Roman" w:hAnsi="Times New Roman"/>
          <w:sz w:val="12"/>
          <w:szCs w:val="12"/>
          <w:b w:val="1"/>
          <w:bCs w:val="1"/>
          <w:color w:val="auto"/>
        </w:rPr>
        <w:t>Great Lakes Dredge &amp; Dock Corporation and Subsidiaries</w:t>
      </w:r>
    </w:p>
    <w:p>
      <w:pPr>
        <w:spacing w:after="0" w:line="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b w:val="1"/>
          <w:bCs w:val="1"/>
          <w:color w:val="auto"/>
        </w:rPr>
        <w:t>Consolidated Statements of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Years Ended December 31, 2024, 2023 and 2022</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60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Shares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right"/>
              <w:ind w:right="440"/>
              <w:spacing w:after="0" w:line="108"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ind w:right="101"/>
              <w:spacing w:after="0" w:line="108" w:lineRule="exact"/>
              <w:rPr>
                <w:sz w:val="20"/>
                <w:szCs w:val="20"/>
                <w:color w:val="auto"/>
              </w:rPr>
            </w:pPr>
            <w:r>
              <w:rPr>
                <w:rFonts w:ascii="Times New Roman" w:cs="Times New Roman" w:eastAsia="Times New Roman" w:hAnsi="Times New Roman"/>
                <w:sz w:val="10"/>
                <w:szCs w:val="10"/>
                <w:b w:val="1"/>
                <w:bCs w:val="1"/>
                <w:color w:val="auto"/>
              </w:rPr>
              <w:t>Common</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right"/>
              <w:ind w:right="520"/>
              <w:spacing w:after="0" w:line="10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80" w:type="dxa"/>
            <w:vAlign w:val="bottom"/>
          </w:tcPr>
          <w:p>
            <w:pPr>
              <w:spacing w:after="0"/>
              <w:rPr>
                <w:sz w:val="9"/>
                <w:szCs w:val="9"/>
                <w:color w:val="auto"/>
              </w:rPr>
            </w:pPr>
          </w:p>
        </w:tc>
        <w:tc>
          <w:tcPr>
            <w:tcW w:w="1020" w:type="dxa"/>
            <w:vAlign w:val="bottom"/>
            <w:gridSpan w:val="2"/>
          </w:tcPr>
          <w:p>
            <w:pPr>
              <w:jc w:val="right"/>
              <w:ind w:right="520"/>
              <w:spacing w:after="0" w:line="108"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80" w:type="dxa"/>
            <w:vAlign w:val="bottom"/>
          </w:tcPr>
          <w:p>
            <w:pPr>
              <w:spacing w:after="0"/>
              <w:rPr>
                <w:sz w:val="9"/>
                <w:szCs w:val="9"/>
                <w:color w:val="auto"/>
              </w:rPr>
            </w:pPr>
          </w:p>
        </w:tc>
        <w:tc>
          <w:tcPr>
            <w:tcW w:w="126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6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BALANCE—January 1, 2022</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65,746</w:t>
            </w:r>
          </w:p>
        </w:tc>
        <w:tc>
          <w:tcPr>
            <w:tcW w:w="340" w:type="dxa"/>
            <w:vAlign w:val="bottom"/>
            <w:gridSpan w:val="2"/>
            <w:shd w:val="clear" w:color="auto" w:fill="CFF0FC"/>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36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308,482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90,369</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140</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398,997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Vesting of restricted stock units and impact of shares withheld for taxes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(1,827 )</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(1,827 )</w:t>
            </w:r>
          </w:p>
        </w:tc>
        <w:tc>
          <w:tcPr>
            <w:tcW w:w="0" w:type="dxa"/>
            <w:vAlign w:val="bottom"/>
          </w:tcPr>
          <w:p>
            <w:pPr>
              <w:spacing w:after="0"/>
              <w:rPr>
                <w:sz w:val="1"/>
                <w:szCs w:val="1"/>
                <w:color w:val="auto"/>
              </w:rPr>
            </w:pPr>
          </w:p>
        </w:tc>
      </w:tr>
      <w:tr>
        <w:trPr>
          <w:trHeight w:val="144"/>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options and purchases from employee stock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(34,055 )</w:t>
            </w: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(34,055 )</w:t>
            </w:r>
          </w:p>
        </w:tc>
        <w:tc>
          <w:tcPr>
            <w:tcW w:w="0" w:type="dxa"/>
            <w:vAlign w:val="bottom"/>
          </w:tcPr>
          <w:p>
            <w:pPr>
              <w:spacing w:after="0"/>
              <w:rPr>
                <w:sz w:val="1"/>
                <w:szCs w:val="1"/>
                <w:color w:val="auto"/>
              </w:rPr>
            </w:pPr>
          </w:p>
        </w:tc>
      </w:tr>
      <w:tr>
        <w:trPr>
          <w:trHeight w:val="144"/>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comprehensive loss—net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(331 )</w:t>
            </w:r>
          </w:p>
        </w:tc>
        <w:tc>
          <w:tcPr>
            <w:tcW w:w="2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(331 )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2022</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66,188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312,091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56,314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(191 )</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368,220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5,231</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5,231</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Vesting of restricted stock units and impact of shares withheld for taxes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(1,019 )</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(1,019 )</w:t>
            </w:r>
          </w:p>
        </w:tc>
        <w:tc>
          <w:tcPr>
            <w:tcW w:w="0" w:type="dxa"/>
            <w:vAlign w:val="bottom"/>
          </w:tcPr>
          <w:p>
            <w:pPr>
              <w:spacing w:after="0"/>
              <w:rPr>
                <w:sz w:val="1"/>
                <w:szCs w:val="1"/>
                <w:color w:val="auto"/>
              </w:rPr>
            </w:pPr>
          </w:p>
        </w:tc>
      </w:tr>
      <w:tr>
        <w:trPr>
          <w:trHeight w:val="144"/>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options and purchases from employee stock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13,906</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comprehensive loss—net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(1,824 )</w:t>
            </w:r>
          </w:p>
        </w:tc>
        <w:tc>
          <w:tcPr>
            <w:tcW w:w="2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(1,824 )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BALANCE—December 31, 2023</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66,623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317,337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70,220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(2,015 )</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385,548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4,751</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4,752</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Vesting of restricted stock units and impact of shares withheld for taxes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(1,332 )</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(1,332 )</w:t>
            </w:r>
          </w:p>
        </w:tc>
        <w:tc>
          <w:tcPr>
            <w:tcW w:w="0" w:type="dxa"/>
            <w:vAlign w:val="bottom"/>
          </w:tcPr>
          <w:p>
            <w:pPr>
              <w:spacing w:after="0"/>
              <w:rPr>
                <w:sz w:val="1"/>
                <w:szCs w:val="1"/>
                <w:color w:val="auto"/>
              </w:rPr>
            </w:pPr>
          </w:p>
        </w:tc>
      </w:tr>
      <w:tr>
        <w:trPr>
          <w:trHeight w:val="144"/>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options and purchases from employee stock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57,265</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57,265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comprehensive income—net of tax</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BALANCE—December 31, 2024</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67,280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322,383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127,485</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(965 )</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448,910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60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-1159510</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-1148080</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-1159510</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-1148080</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-1159510</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-1148080</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-1159510</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-1148080</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-1159510</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-1148080</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-1159510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-1148080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-588010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-576580</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-588010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-576580</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-588010</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-576580</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-588010</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-576580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-588010</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-576580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-588010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-576580</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-16510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-5080</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-16510</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-5080</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-16510</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-5080</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-16510</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-5080</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-16510</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-5080</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-16510</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-5080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Great Lakes Dredge &amp; Dock Corporation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Years Ended December 31, 2024, 2023 and 2022</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60" w:type="dxa"/>
            <w:vAlign w:val="bottom"/>
          </w:tcPr>
          <w:p>
            <w:pPr>
              <w:spacing w:after="0"/>
              <w:rPr>
                <w:sz w:val="10"/>
                <w:szCs w:val="10"/>
                <w:color w:val="auto"/>
              </w:rPr>
            </w:pP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0"/>
                <w:szCs w:val="10"/>
                <w:color w:val="auto"/>
              </w:rPr>
            </w:pPr>
          </w:p>
        </w:tc>
      </w:tr>
      <w:tr>
        <w:trPr>
          <w:trHeight w:val="133"/>
        </w:trPr>
        <w:tc>
          <w:tcPr>
            <w:tcW w:w="62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10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1060" w:type="dxa"/>
            <w:vAlign w:val="bottom"/>
          </w:tcPr>
          <w:p>
            <w:pPr>
              <w:jc w:val="right"/>
              <w:ind w:right="9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57,265</w:t>
            </w:r>
          </w:p>
        </w:tc>
        <w:tc>
          <w:tcPr>
            <w:tcW w:w="26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13,906</w:t>
            </w:r>
          </w:p>
        </w:tc>
        <w:tc>
          <w:tcPr>
            <w:tcW w:w="28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(34,055 )</w:t>
            </w: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Adjustments to reconcile net income (loss) to net cash flows provided by operating activities:</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6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42,699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46,273</w:t>
            </w:r>
          </w:p>
        </w:tc>
        <w:tc>
          <w:tcPr>
            <w:tcW w:w="120" w:type="dxa"/>
            <w:vAlign w:val="bottom"/>
          </w:tcPr>
          <w:p>
            <w:pPr>
              <w:spacing w:after="0"/>
              <w:rPr>
                <w:sz w:val="12"/>
                <w:szCs w:val="12"/>
                <w:color w:val="auto"/>
              </w:rPr>
            </w:pPr>
          </w:p>
        </w:tc>
      </w:tr>
      <w:tr>
        <w:trPr>
          <w:trHeight w:val="144"/>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Deferred income taxes</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16,398</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3,733</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(9,270 )</w:t>
            </w:r>
          </w:p>
        </w:tc>
      </w:tr>
      <w:tr>
        <w:trPr>
          <w:trHeight w:val="144"/>
        </w:trPr>
        <w:tc>
          <w:tcPr>
            <w:tcW w:w="6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loss on sale of assets</w:t>
            </w:r>
          </w:p>
        </w:tc>
        <w:tc>
          <w:tcPr>
            <w:tcW w:w="10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(2,897 )</w:t>
            </w:r>
          </w:p>
        </w:tc>
        <w:tc>
          <w:tcPr>
            <w:tcW w:w="34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(485 )</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7,792</w:t>
            </w:r>
          </w:p>
        </w:tc>
        <w:tc>
          <w:tcPr>
            <w:tcW w:w="120" w:type="dxa"/>
            <w:vAlign w:val="bottom"/>
          </w:tcPr>
          <w:p>
            <w:pPr>
              <w:spacing w:after="0"/>
              <w:rPr>
                <w:sz w:val="12"/>
                <w:szCs w:val="12"/>
                <w:color w:val="auto"/>
              </w:rPr>
            </w:pPr>
          </w:p>
        </w:tc>
      </w:tr>
      <w:tr>
        <w:trPr>
          <w:trHeight w:val="144"/>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Amortization of capitalized contract costs</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21,895</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11,474</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11,148</w:t>
            </w:r>
          </w:p>
        </w:tc>
        <w:tc>
          <w:tcPr>
            <w:tcW w:w="120" w:type="dxa"/>
            <w:vAlign w:val="bottom"/>
            <w:shd w:val="clear" w:color="auto" w:fill="CFF0FC"/>
          </w:tcPr>
          <w:p>
            <w:pPr>
              <w:spacing w:after="0"/>
              <w:rPr>
                <w:sz w:val="12"/>
                <w:szCs w:val="12"/>
                <w:color w:val="auto"/>
              </w:rPr>
            </w:pPr>
          </w:p>
        </w:tc>
      </w:tr>
      <w:tr>
        <w:trPr>
          <w:trHeight w:val="144"/>
        </w:trPr>
        <w:tc>
          <w:tcPr>
            <w:tcW w:w="6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deferred financing fees</w:t>
            </w: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2,581</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120" w:type="dxa"/>
            <w:vAlign w:val="bottom"/>
          </w:tcPr>
          <w:p>
            <w:pPr>
              <w:spacing w:after="0"/>
              <w:rPr>
                <w:sz w:val="12"/>
                <w:szCs w:val="12"/>
                <w:color w:val="auto"/>
              </w:rPr>
            </w:pPr>
          </w:p>
        </w:tc>
      </w:tr>
      <w:tr>
        <w:trPr>
          <w:trHeight w:val="144"/>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8,580</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6,316</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4,288</w:t>
            </w:r>
          </w:p>
        </w:tc>
        <w:tc>
          <w:tcPr>
            <w:tcW w:w="120" w:type="dxa"/>
            <w:vAlign w:val="bottom"/>
            <w:shd w:val="clear" w:color="auto" w:fill="CFF0FC"/>
          </w:tcPr>
          <w:p>
            <w:pPr>
              <w:spacing w:after="0"/>
              <w:rPr>
                <w:sz w:val="12"/>
                <w:szCs w:val="12"/>
                <w:color w:val="auto"/>
              </w:rPr>
            </w:pPr>
          </w:p>
        </w:tc>
      </w:tr>
      <w:tr>
        <w:trPr>
          <w:trHeight w:val="144"/>
        </w:trPr>
        <w:tc>
          <w:tcPr>
            <w:tcW w:w="6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Accounts receivable</w:t>
            </w:r>
          </w:p>
        </w:tc>
        <w:tc>
          <w:tcPr>
            <w:tcW w:w="10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(63,220 )</w:t>
            </w:r>
          </w:p>
        </w:tc>
        <w:tc>
          <w:tcPr>
            <w:tcW w:w="3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(9,921 )</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38,064</w:t>
            </w:r>
          </w:p>
        </w:tc>
        <w:tc>
          <w:tcPr>
            <w:tcW w:w="120" w:type="dxa"/>
            <w:vAlign w:val="bottom"/>
            <w:shd w:val="clear" w:color="auto" w:fill="CFF0FC"/>
          </w:tcPr>
          <w:p>
            <w:pPr>
              <w:spacing w:after="0"/>
              <w:rPr>
                <w:sz w:val="12"/>
                <w:szCs w:val="12"/>
                <w:color w:val="auto"/>
              </w:rPr>
            </w:pPr>
          </w:p>
        </w:tc>
      </w:tr>
      <w:tr>
        <w:trPr>
          <w:trHeight w:val="144"/>
        </w:trPr>
        <w:tc>
          <w:tcPr>
            <w:tcW w:w="62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Contract revenues in excess of billings</w:t>
            </w:r>
          </w:p>
        </w:tc>
        <w:tc>
          <w:tcPr>
            <w:tcW w:w="10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(5,462 )</w:t>
            </w:r>
          </w:p>
        </w:tc>
        <w:tc>
          <w:tcPr>
            <w:tcW w:w="34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(2,813 )</w:t>
            </w:r>
          </w:p>
        </w:tc>
        <w:tc>
          <w:tcPr>
            <w:tcW w:w="32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(26,078 )</w:t>
            </w:r>
          </w:p>
        </w:tc>
      </w:tr>
      <w:tr>
        <w:trPr>
          <w:trHeight w:val="144"/>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Inventories</w:t>
            </w:r>
          </w:p>
        </w:tc>
        <w:tc>
          <w:tcPr>
            <w:tcW w:w="10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(4,898 )</w:t>
            </w:r>
          </w:p>
        </w:tc>
        <w:tc>
          <w:tcPr>
            <w:tcW w:w="3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(11,000 )</w:t>
            </w: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(14,255 )</w:t>
            </w:r>
          </w:p>
        </w:tc>
      </w:tr>
      <w:tr>
        <w:trPr>
          <w:trHeight w:val="144"/>
        </w:trPr>
        <w:tc>
          <w:tcPr>
            <w:tcW w:w="62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0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(7,510 )</w:t>
            </w:r>
          </w:p>
        </w:tc>
        <w:tc>
          <w:tcPr>
            <w:tcW w:w="34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(21,724 )</w:t>
            </w:r>
          </w:p>
        </w:tc>
        <w:tc>
          <w:tcPr>
            <w:tcW w:w="32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(18,784 )</w:t>
            </w:r>
          </w:p>
        </w:tc>
      </w:tr>
      <w:tr>
        <w:trPr>
          <w:trHeight w:val="144"/>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8,689</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1,376</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(1,966 )</w:t>
            </w:r>
          </w:p>
        </w:tc>
      </w:tr>
      <w:tr>
        <w:trPr>
          <w:trHeight w:val="144"/>
        </w:trPr>
        <w:tc>
          <w:tcPr>
            <w:tcW w:w="62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Billings in excess of contract revenues</w:t>
            </w:r>
          </w:p>
        </w:tc>
        <w:tc>
          <w:tcPr>
            <w:tcW w:w="10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(3,764 )</w:t>
            </w: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19,647</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(4,900 )</w:t>
            </w:r>
          </w:p>
        </w:tc>
      </w:tr>
      <w:tr>
        <w:trPr>
          <w:trHeight w:val="144"/>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Other noncurrent assets and liabilities</w:t>
            </w:r>
          </w:p>
        </w:tc>
        <w:tc>
          <w:tcPr>
            <w:tcW w:w="10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(294 )</w:t>
            </w:r>
          </w:p>
        </w:tc>
        <w:tc>
          <w:tcPr>
            <w:tcW w:w="3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(6,574 )</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2,097</w:t>
            </w:r>
          </w:p>
        </w:tc>
        <w:tc>
          <w:tcPr>
            <w:tcW w:w="120" w:type="dxa"/>
            <w:vAlign w:val="bottom"/>
            <w:shd w:val="clear" w:color="auto" w:fill="CFF0FC"/>
          </w:tcPr>
          <w:p>
            <w:pPr>
              <w:spacing w:after="0"/>
              <w:rPr>
                <w:sz w:val="12"/>
                <w:szCs w:val="12"/>
                <w:color w:val="auto"/>
              </w:rPr>
            </w:pPr>
          </w:p>
        </w:tc>
      </w:tr>
      <w:tr>
        <w:trPr>
          <w:trHeight w:val="133"/>
        </w:trPr>
        <w:tc>
          <w:tcPr>
            <w:tcW w:w="6260" w:type="dxa"/>
            <w:vAlign w:val="bottom"/>
            <w:tcBorders>
              <w:top w:val="single" w:sz="8" w:color="CFF0FC"/>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Cash provided by operating activities</w:t>
            </w:r>
          </w:p>
        </w:tc>
        <w:tc>
          <w:tcPr>
            <w:tcW w:w="10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70,062</w:t>
            </w:r>
          </w:p>
        </w:tc>
        <w:tc>
          <w:tcPr>
            <w:tcW w:w="26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47,425</w:t>
            </w:r>
          </w:p>
        </w:tc>
        <w:tc>
          <w:tcPr>
            <w:tcW w:w="28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1,653</w:t>
            </w:r>
          </w:p>
        </w:tc>
        <w:tc>
          <w:tcPr>
            <w:tcW w:w="120" w:type="dxa"/>
            <w:vAlign w:val="bottom"/>
            <w:tcBorders>
              <w:top w:val="single" w:sz="8" w:color="CFF0FC"/>
            </w:tcBorders>
          </w:tcPr>
          <w:p>
            <w:pPr>
              <w:spacing w:after="0"/>
              <w:rPr>
                <w:sz w:val="11"/>
                <w:szCs w:val="11"/>
                <w:color w:val="auto"/>
              </w:rPr>
            </w:pP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0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(125,145 )</w:t>
            </w:r>
          </w:p>
        </w:tc>
        <w:tc>
          <w:tcPr>
            <w:tcW w:w="34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(150,840 )</w:t>
            </w:r>
          </w:p>
        </w:tc>
        <w:tc>
          <w:tcPr>
            <w:tcW w:w="32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(143,006 )</w:t>
            </w:r>
          </w:p>
        </w:tc>
      </w:tr>
      <w:tr>
        <w:trPr>
          <w:trHeight w:val="144"/>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dispositions of property and equipment</w:t>
            </w:r>
          </w:p>
        </w:tc>
        <w:tc>
          <w:tcPr>
            <w:tcW w:w="10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9,450</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30,699</w:t>
            </w:r>
          </w:p>
        </w:tc>
        <w:tc>
          <w:tcPr>
            <w:tcW w:w="2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3"/>
        </w:trPr>
        <w:tc>
          <w:tcPr>
            <w:tcW w:w="62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Cash used in investing activities</w:t>
            </w:r>
          </w:p>
        </w:tc>
        <w:tc>
          <w:tcPr>
            <w:tcW w:w="106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(115,695 )</w:t>
            </w:r>
          </w:p>
        </w:tc>
        <w:tc>
          <w:tcPr>
            <w:tcW w:w="340" w:type="dxa"/>
            <w:vAlign w:val="bottom"/>
          </w:tcPr>
          <w:p>
            <w:pPr>
              <w:spacing w:after="0"/>
              <w:rPr>
                <w:sz w:val="11"/>
                <w:szCs w:val="11"/>
                <w:color w:val="auto"/>
              </w:rPr>
            </w:pPr>
          </w:p>
        </w:tc>
        <w:tc>
          <w:tcPr>
            <w:tcW w:w="13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(120,141 )</w:t>
            </w:r>
          </w:p>
        </w:tc>
        <w:tc>
          <w:tcPr>
            <w:tcW w:w="320" w:type="dxa"/>
            <w:vAlign w:val="bottom"/>
          </w:tcPr>
          <w:p>
            <w:pPr>
              <w:spacing w:after="0"/>
              <w:rPr>
                <w:sz w:val="11"/>
                <w:szCs w:val="11"/>
                <w:color w:val="auto"/>
              </w:rPr>
            </w:pPr>
          </w:p>
        </w:tc>
        <w:tc>
          <w:tcPr>
            <w:tcW w:w="11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(140,906 )</w:t>
            </w: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Deferred financing fees</w:t>
            </w:r>
          </w:p>
        </w:tc>
        <w:tc>
          <w:tcPr>
            <w:tcW w:w="10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(11,564 )</w:t>
            </w:r>
          </w:p>
        </w:tc>
        <w:tc>
          <w:tcPr>
            <w:tcW w:w="3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(981 )</w:t>
            </w: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Taxes paid on settlement of vested share awards</w:t>
            </w:r>
          </w:p>
        </w:tc>
        <w:tc>
          <w:tcPr>
            <w:tcW w:w="10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(1,332 )</w:t>
            </w:r>
          </w:p>
        </w:tc>
        <w:tc>
          <w:tcPr>
            <w:tcW w:w="3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(1,019 )</w:t>
            </w: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(1,827 )</w:t>
            </w:r>
          </w:p>
        </w:tc>
      </w:tr>
      <w:tr>
        <w:trPr>
          <w:trHeight w:val="144"/>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Exercise of options and purchases from employee stock plans</w:t>
            </w: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1,627</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120" w:type="dxa"/>
            <w:vAlign w:val="bottom"/>
          </w:tcPr>
          <w:p>
            <w:pPr>
              <w:spacing w:after="0"/>
              <w:rPr>
                <w:sz w:val="12"/>
                <w:szCs w:val="12"/>
                <w:color w:val="auto"/>
              </w:rPr>
            </w:pP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Borrowings under revolving loans</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86,000</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208,000</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20" w:type="dxa"/>
            <w:vAlign w:val="bottom"/>
            <w:shd w:val="clear" w:color="auto" w:fill="CFF0FC"/>
          </w:tcPr>
          <w:p>
            <w:pPr>
              <w:spacing w:after="0"/>
              <w:rPr>
                <w:sz w:val="12"/>
                <w:szCs w:val="12"/>
                <w:color w:val="auto"/>
              </w:rPr>
            </w:pPr>
          </w:p>
        </w:tc>
      </w:tr>
      <w:tr>
        <w:trPr>
          <w:trHeight w:val="144"/>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Borrowings under Second Lien Credit Agreement</w:t>
            </w: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Repayments of revolving loans</w:t>
            </w:r>
          </w:p>
        </w:tc>
        <w:tc>
          <w:tcPr>
            <w:tcW w:w="10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(141,000 )</w:t>
            </w:r>
          </w:p>
        </w:tc>
        <w:tc>
          <w:tcPr>
            <w:tcW w:w="3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(118,000 )</w:t>
            </w: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(10,000 )</w:t>
            </w:r>
          </w:p>
        </w:tc>
      </w:tr>
      <w:tr>
        <w:trPr>
          <w:trHeight w:val="144"/>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Payments on finance lease obligations</w:t>
            </w:r>
          </w:p>
        </w:tc>
        <w:tc>
          <w:tcPr>
            <w:tcW w:w="10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(1,643 )</w:t>
            </w:r>
          </w:p>
        </w:tc>
        <w:tc>
          <w:tcPr>
            <w:tcW w:w="34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(84 )</w:t>
            </w:r>
          </w:p>
        </w:tc>
        <w:tc>
          <w:tcPr>
            <w:tcW w:w="3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26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Cash provided by (used in) financing activities</w:t>
            </w:r>
          </w:p>
        </w:tc>
        <w:tc>
          <w:tcPr>
            <w:tcW w:w="10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32,088</w:t>
            </w: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89,931</w:t>
            </w: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(1,660 )</w:t>
            </w:r>
          </w:p>
        </w:tc>
      </w:tr>
      <w:tr>
        <w:trPr>
          <w:trHeight w:val="144"/>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10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(13,545 )</w:t>
            </w: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17,215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(140,913 )</w:t>
            </w:r>
          </w:p>
        </w:tc>
      </w:tr>
      <w:tr>
        <w:trPr>
          <w:trHeight w:val="144"/>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10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23,761</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6,546</w:t>
            </w:r>
          </w:p>
        </w:tc>
        <w:tc>
          <w:tcPr>
            <w:tcW w:w="2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147,459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0"/>
        </w:trPr>
        <w:tc>
          <w:tcPr>
            <w:tcW w:w="62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1060" w:type="dxa"/>
            <w:vAlign w:val="bottom"/>
            <w:tcBorders>
              <w:bottom w:val="single" w:sz="8" w:color="auto"/>
            </w:tcBorders>
          </w:tcPr>
          <w:p>
            <w:pPr>
              <w:jc w:val="right"/>
              <w:ind w:right="922"/>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10,216</w:t>
            </w:r>
          </w:p>
        </w:tc>
        <w:tc>
          <w:tcPr>
            <w:tcW w:w="26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23,761</w:t>
            </w:r>
          </w:p>
        </w:tc>
        <w:tc>
          <w:tcPr>
            <w:tcW w:w="28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6,546</w:t>
            </w:r>
          </w:p>
        </w:tc>
        <w:tc>
          <w:tcPr>
            <w:tcW w:w="120" w:type="dxa"/>
            <w:vAlign w:val="bottom"/>
          </w:tcPr>
          <w:p>
            <w:pPr>
              <w:spacing w:after="0"/>
              <w:rPr>
                <w:sz w:val="12"/>
                <w:szCs w:val="12"/>
                <w:color w:val="auto"/>
              </w:rPr>
            </w:pPr>
          </w:p>
        </w:tc>
      </w:tr>
      <w:tr>
        <w:trPr>
          <w:trHeight w:val="144"/>
        </w:trPr>
        <w:tc>
          <w:tcPr>
            <w:tcW w:w="6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cash equivalents and restricted cash</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60" w:type="dxa"/>
            <w:vAlign w:val="bottom"/>
          </w:tcPr>
          <w:p>
            <w:pPr>
              <w:jc w:val="right"/>
              <w:ind w:right="9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10,216</w:t>
            </w:r>
          </w:p>
        </w:tc>
        <w:tc>
          <w:tcPr>
            <w:tcW w:w="26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22,841</w:t>
            </w:r>
          </w:p>
        </w:tc>
        <w:tc>
          <w:tcPr>
            <w:tcW w:w="28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6,546</w:t>
            </w:r>
          </w:p>
        </w:tc>
        <w:tc>
          <w:tcPr>
            <w:tcW w:w="120" w:type="dxa"/>
            <w:vAlign w:val="bottom"/>
          </w:tcPr>
          <w:p>
            <w:pPr>
              <w:spacing w:after="0"/>
              <w:rPr>
                <w:sz w:val="12"/>
                <w:szCs w:val="12"/>
                <w:color w:val="auto"/>
              </w:rPr>
            </w:pP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Restricted cash included in other long-term assets</w:t>
            </w:r>
          </w:p>
        </w:tc>
        <w:tc>
          <w:tcPr>
            <w:tcW w:w="10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2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1060" w:type="dxa"/>
            <w:vAlign w:val="bottom"/>
            <w:tcBorders>
              <w:top w:val="single" w:sz="8" w:color="auto"/>
              <w:bottom w:val="single" w:sz="8" w:color="auto"/>
            </w:tcBorders>
          </w:tcPr>
          <w:p>
            <w:pPr>
              <w:jc w:val="right"/>
              <w:ind w:right="922"/>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10,216</w:t>
            </w:r>
          </w:p>
        </w:tc>
        <w:tc>
          <w:tcPr>
            <w:tcW w:w="26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23,761</w:t>
            </w:r>
          </w:p>
        </w:tc>
        <w:tc>
          <w:tcPr>
            <w:tcW w:w="280" w:type="dxa"/>
            <w:vAlign w:val="bottom"/>
            <w:tcBorders>
              <w:top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6,546</w:t>
            </w:r>
          </w:p>
        </w:tc>
        <w:tc>
          <w:tcPr>
            <w:tcW w:w="120" w:type="dxa"/>
            <w:vAlign w:val="bottom"/>
            <w:tcBorders>
              <w:top w:val="single" w:sz="8" w:color="CFF0FC"/>
            </w:tcBorders>
          </w:tcPr>
          <w:p>
            <w:pPr>
              <w:spacing w:after="0"/>
              <w:rPr>
                <w:sz w:val="12"/>
                <w:szCs w:val="12"/>
                <w:color w:val="auto"/>
              </w:rPr>
            </w:pPr>
          </w:p>
        </w:tc>
      </w:tr>
      <w:tr>
        <w:trPr>
          <w:trHeight w:val="144"/>
        </w:trPr>
        <w:tc>
          <w:tcPr>
            <w:tcW w:w="6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Supplemental Cash Flow Information</w:t>
            </w:r>
          </w:p>
        </w:tc>
        <w:tc>
          <w:tcPr>
            <w:tcW w:w="10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1"/>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interest</w:t>
            </w:r>
          </w:p>
        </w:tc>
        <w:tc>
          <w:tcPr>
            <w:tcW w:w="106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29,729</w:t>
            </w:r>
          </w:p>
        </w:tc>
        <w:tc>
          <w:tcPr>
            <w:tcW w:w="260" w:type="dxa"/>
            <w:vAlign w:val="bottom"/>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20,738</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17,742</w:t>
            </w:r>
          </w:p>
        </w:tc>
        <w:tc>
          <w:tcPr>
            <w:tcW w:w="120" w:type="dxa"/>
            <w:vAlign w:val="bottom"/>
          </w:tcPr>
          <w:p>
            <w:pPr>
              <w:spacing w:after="0"/>
              <w:rPr>
                <w:sz w:val="13"/>
                <w:szCs w:val="13"/>
                <w:color w:val="auto"/>
              </w:rPr>
            </w:pPr>
          </w:p>
        </w:tc>
      </w:tr>
      <w:tr>
        <w:trPr>
          <w:trHeight w:val="151"/>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1060" w:type="dxa"/>
            <w:vAlign w:val="bottom"/>
            <w:tcBorders>
              <w:bottom w:val="single" w:sz="8" w:color="auto"/>
            </w:tcBorders>
            <w:shd w:val="clear" w:color="auto" w:fill="CFF0FC"/>
          </w:tcPr>
          <w:p>
            <w:pPr>
              <w:jc w:val="right"/>
              <w:ind w:right="9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2,489</w:t>
            </w:r>
          </w:p>
        </w:tc>
        <w:tc>
          <w:tcPr>
            <w:tcW w:w="2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8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1,264</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88"/>
        </w:trPr>
        <w:tc>
          <w:tcPr>
            <w:tcW w:w="6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1"/>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Property and equipment purchased but not yet paid</w:t>
            </w:r>
          </w:p>
        </w:tc>
        <w:tc>
          <w:tcPr>
            <w:tcW w:w="1060" w:type="dxa"/>
            <w:vAlign w:val="bottom"/>
            <w:tcBorders>
              <w:bottom w:val="single" w:sz="8" w:color="auto"/>
            </w:tcBorders>
            <w:shd w:val="clear" w:color="auto" w:fill="CFF0FC"/>
          </w:tcPr>
          <w:p>
            <w:pPr>
              <w:jc w:val="right"/>
              <w:ind w:right="9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13,211</w:t>
            </w:r>
          </w:p>
        </w:tc>
        <w:tc>
          <w:tcPr>
            <w:tcW w:w="2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28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8,686</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5024120</wp:posOffset>
            </wp:positionH>
            <wp:positionV relativeFrom="paragraph">
              <wp:posOffset>-2765425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-2765425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-2765425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-2393950</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-2393950</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-2393950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-1285240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-1285240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-1285240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-805180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-805180</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-805180</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-307975</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-296545</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-307975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-296545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-307975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-296545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-16510</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-5080</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-16510</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-5080</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-16510</wp:posOffset>
            </wp:positionV>
            <wp:extent cx="685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-5080</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2"/>
          <w:szCs w:val="12"/>
          <w:b w:val="1"/>
          <w:bCs w:val="1"/>
          <w:color w:val="auto"/>
        </w:rPr>
        <w:t>GREAT LAKES DREDGE &amp; DOCK CORPORATION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2024 AND 2023 AND FOR THE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2024, 2023 AND 2022</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per share amounts or as otherwise noted)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NATURE OF BUSINESS AND SUMMARY OF SIGNIFICANT ACCOUNTING POLICIES</w:t>
      </w:r>
    </w:p>
    <w:p>
      <w:pPr>
        <w:spacing w:after="0" w:line="78" w:lineRule="exact"/>
        <w:rPr>
          <w:sz w:val="20"/>
          <w:szCs w:val="20"/>
          <w:color w:val="auto"/>
        </w:rPr>
      </w:pPr>
    </w:p>
    <w:p>
      <w:pPr>
        <w:jc w:val="both"/>
        <w:ind w:right="380" w:firstLine="512"/>
        <w:spacing w:after="0" w:line="268" w:lineRule="auto"/>
        <w:rPr>
          <w:sz w:val="20"/>
          <w:szCs w:val="20"/>
          <w:color w:val="auto"/>
        </w:rPr>
      </w:pPr>
      <w:r>
        <w:rPr>
          <w:rFonts w:ascii="Times New Roman" w:cs="Times New Roman" w:eastAsia="Times New Roman" w:hAnsi="Times New Roman"/>
          <w:sz w:val="12"/>
          <w:szCs w:val="12"/>
          <w:b w:val="1"/>
          <w:bCs w:val="1"/>
          <w:color w:val="auto"/>
        </w:rPr>
        <w:t>Organization</w:t>
      </w:r>
      <w:r>
        <w:rPr>
          <w:rFonts w:ascii="Times New Roman" w:cs="Times New Roman" w:eastAsia="Times New Roman" w:hAnsi="Times New Roman"/>
          <w:sz w:val="12"/>
          <w:szCs w:val="12"/>
          <w:color w:val="auto"/>
        </w:rPr>
        <w:t>—Great Lakes Dredge &amp; Dock Corporation and its subsidiaries (the “Company” or “Great Lakes”) are in the business of marine construction, primarily dredging. The Company is the largest provider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dredging services in the United States which is complemented with a long history of performing significant international projects. In addition, the Company is fully engaged in expanding its core business into the offshore energy industry. The mobility of the Company’s fleet enables the Company to move equipment in response to changes in demand for dredging services.</w:t>
      </w:r>
    </w:p>
    <w:p>
      <w:pPr>
        <w:spacing w:after="0" w:line="114" w:lineRule="exact"/>
        <w:rPr>
          <w:sz w:val="20"/>
          <w:szCs w:val="20"/>
          <w:color w:val="auto"/>
        </w:rPr>
      </w:pPr>
    </w:p>
    <w:p>
      <w:pPr>
        <w:ind w:right="40" w:firstLine="512"/>
        <w:spacing w:after="0" w:line="268" w:lineRule="auto"/>
        <w:rPr>
          <w:sz w:val="20"/>
          <w:szCs w:val="20"/>
          <w:color w:val="auto"/>
        </w:rPr>
      </w:pPr>
      <w:r>
        <w:rPr>
          <w:rFonts w:ascii="Times New Roman" w:cs="Times New Roman" w:eastAsia="Times New Roman" w:hAnsi="Times New Roman"/>
          <w:sz w:val="12"/>
          <w:szCs w:val="12"/>
          <w:b w:val="1"/>
          <w:bCs w:val="1"/>
          <w:color w:val="auto"/>
        </w:rPr>
        <w:t>Principles of Consolidation and Basis of Presentation</w:t>
      </w:r>
      <w:r>
        <w:rPr>
          <w:rFonts w:ascii="Times New Roman" w:cs="Times New Roman" w:eastAsia="Times New Roman" w:hAnsi="Times New Roman"/>
          <w:sz w:val="12"/>
          <w:szCs w:val="12"/>
          <w:color w:val="auto"/>
        </w:rPr>
        <w:t>—The consolidated financial statements include the accounts of Great Lakes Dredge &amp; Dock Corporation and its majority-owned subsidiaries. All intercompany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14" w:lineRule="exact"/>
        <w:rPr>
          <w:sz w:val="20"/>
          <w:szCs w:val="20"/>
          <w:color w:val="auto"/>
        </w:rPr>
      </w:pPr>
    </w:p>
    <w:p>
      <w:pPr>
        <w:ind w:right="180" w:firstLine="512"/>
        <w:spacing w:after="0" w:line="286" w:lineRule="auto"/>
        <w:rPr>
          <w:sz w:val="20"/>
          <w:szCs w:val="20"/>
          <w:color w:val="auto"/>
        </w:rPr>
      </w:pPr>
      <w:r>
        <w:rPr>
          <w:rFonts w:ascii="Times New Roman" w:cs="Times New Roman" w:eastAsia="Times New Roman" w:hAnsi="Times New Roman"/>
          <w:sz w:val="12"/>
          <w:szCs w:val="12"/>
          <w:b w:val="1"/>
          <w:bCs w:val="1"/>
          <w:color w:val="auto"/>
        </w:rPr>
        <w:t>Use of Estimates</w:t>
      </w:r>
      <w:r>
        <w:rPr>
          <w:rFonts w:ascii="Times New Roman" w:cs="Times New Roman" w:eastAsia="Times New Roman" w:hAnsi="Times New Roman"/>
          <w:sz w:val="12"/>
          <w:szCs w:val="12"/>
          <w:color w:val="auto"/>
        </w:rPr>
        <w:t>—The preparation of financial statements in conformity with accounting principles generally accepted in the United States of America (“GAAP”) requires management to make estimates and assumptions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affect certain reported amounts and disclosures. Accordingly, actual results could differ from those estimates.</w:t>
      </w:r>
    </w:p>
    <w:p>
      <w:pPr>
        <w:spacing w:after="0" w:line="103" w:lineRule="exact"/>
        <w:rPr>
          <w:sz w:val="20"/>
          <w:szCs w:val="20"/>
          <w:color w:val="auto"/>
        </w:rPr>
      </w:pPr>
    </w:p>
    <w:p>
      <w:pPr>
        <w:ind w:firstLine="512"/>
        <w:spacing w:after="0" w:line="255" w:lineRule="auto"/>
        <w:rPr>
          <w:sz w:val="20"/>
          <w:szCs w:val="20"/>
          <w:color w:val="auto"/>
        </w:rPr>
      </w:pPr>
      <w:r>
        <w:rPr>
          <w:rFonts w:ascii="Times New Roman" w:cs="Times New Roman" w:eastAsia="Times New Roman" w:hAnsi="Times New Roman"/>
          <w:sz w:val="12"/>
          <w:szCs w:val="12"/>
          <w:b w:val="1"/>
          <w:bCs w:val="1"/>
          <w:color w:val="auto"/>
        </w:rPr>
        <w:t>Revenue and Cost Recognition on Contracts</w:t>
      </w:r>
      <w:r>
        <w:rPr>
          <w:rFonts w:ascii="Times New Roman" w:cs="Times New Roman" w:eastAsia="Times New Roman" w:hAnsi="Times New Roman"/>
          <w:sz w:val="12"/>
          <w:szCs w:val="12"/>
          <w:color w:val="auto"/>
        </w:rPr>
        <w:t>—Revenue is recognized using contract fulfillment costs incurred to date compared to total estimated costs at completion, also known as cost-to-cost, to measure progress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towards completion. Additionally, the Company capitalizes certain pre-contract and pre-construction costs, and defers recognition over the life of the contract. The Company’s performance obligations are satisfied over time and revenue is recognized using the cost-to-cost method, described above.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routine in the performance of the Company’s contracts. In most instances, contract modifications are for services that are not distinct, and, therefore, are accounted for as part of the existing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127" w:lineRule="exact"/>
        <w:rPr>
          <w:sz w:val="20"/>
          <w:szCs w:val="20"/>
          <w:color w:val="auto"/>
        </w:rPr>
      </w:pPr>
    </w:p>
    <w:p>
      <w:pPr>
        <w:ind w:right="240" w:firstLine="512"/>
        <w:spacing w:after="0" w:line="279" w:lineRule="auto"/>
        <w:rPr>
          <w:sz w:val="20"/>
          <w:szCs w:val="20"/>
          <w:color w:val="auto"/>
        </w:rPr>
      </w:pPr>
      <w:r>
        <w:rPr>
          <w:rFonts w:ascii="Times New Roman" w:cs="Times New Roman" w:eastAsia="Times New Roman" w:hAnsi="Times New Roman"/>
          <w:sz w:val="12"/>
          <w:szCs w:val="12"/>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its relationships with its unionized hourly workforce.</w:t>
      </w:r>
    </w:p>
    <w:p>
      <w:pPr>
        <w:spacing w:after="0" w:line="107" w:lineRule="exact"/>
        <w:rPr>
          <w:sz w:val="20"/>
          <w:szCs w:val="20"/>
          <w:color w:val="auto"/>
        </w:rPr>
      </w:pPr>
    </w:p>
    <w:p>
      <w:pPr>
        <w:ind w:right="260" w:firstLine="512"/>
        <w:spacing w:after="0" w:line="286" w:lineRule="auto"/>
        <w:rPr>
          <w:sz w:val="20"/>
          <w:szCs w:val="20"/>
          <w:color w:val="auto"/>
        </w:rPr>
      </w:pPr>
      <w:r>
        <w:rPr>
          <w:rFonts w:ascii="Times New Roman" w:cs="Times New Roman" w:eastAsia="Times New Roman" w:hAnsi="Times New Roman"/>
          <w:sz w:val="12"/>
          <w:szCs w:val="12"/>
          <w:b w:val="1"/>
          <w:bCs w:val="1"/>
          <w:color w:val="auto"/>
        </w:rPr>
        <w:t>Classification of Current Assets and Liabilities</w:t>
      </w:r>
      <w:r>
        <w:rPr>
          <w:rFonts w:ascii="Times New Roman" w:cs="Times New Roman" w:eastAsia="Times New Roman" w:hAnsi="Times New Roman"/>
          <w:sz w:val="12"/>
          <w:szCs w:val="12"/>
          <w:color w:val="auto"/>
        </w:rPr>
        <w:t>—The Company includes in current assets and liabilities amounts realizable and payable in the normal course of contract completion, unless completion of such contracts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extends significantly beyond one year.</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b w:val="1"/>
          <w:bCs w:val="1"/>
          <w:color w:val="auto"/>
        </w:rPr>
        <w:t>Cash Equivalents</w:t>
      </w:r>
      <w:r>
        <w:rPr>
          <w:rFonts w:ascii="Times New Roman" w:cs="Times New Roman" w:eastAsia="Times New Roman" w:hAnsi="Times New Roman"/>
          <w:sz w:val="12"/>
          <w:szCs w:val="12"/>
          <w:color w:val="auto"/>
        </w:rPr>
        <w:t>—The Company considers all highly liquid investments with a maturity at purchase of three months or less to be cash equivalents.</w:t>
      </w:r>
    </w:p>
    <w:p>
      <w:pPr>
        <w:spacing w:after="0" w:line="150" w:lineRule="exact"/>
        <w:rPr>
          <w:sz w:val="20"/>
          <w:szCs w:val="20"/>
          <w:color w:val="auto"/>
        </w:rPr>
      </w:pPr>
    </w:p>
    <w:p>
      <w:pPr>
        <w:jc w:val="both"/>
        <w:ind w:right="60" w:firstLine="512"/>
        <w:spacing w:after="0" w:line="268" w:lineRule="auto"/>
        <w:rPr>
          <w:sz w:val="20"/>
          <w:szCs w:val="20"/>
          <w:color w:val="auto"/>
        </w:rPr>
      </w:pPr>
      <w:r>
        <w:rPr>
          <w:rFonts w:ascii="Times New Roman" w:cs="Times New Roman" w:eastAsia="Times New Roman" w:hAnsi="Times New Roman"/>
          <w:sz w:val="12"/>
          <w:szCs w:val="12"/>
          <w:b w:val="1"/>
          <w:bCs w:val="1"/>
          <w:color w:val="auto"/>
        </w:rPr>
        <w:t>Accounts Receivable</w:t>
      </w:r>
      <w:r>
        <w:rPr>
          <w:rFonts w:ascii="Times New Roman" w:cs="Times New Roman" w:eastAsia="Times New Roman" w:hAnsi="Times New Roman"/>
          <w:sz w:val="12"/>
          <w:szCs w:val="12"/>
          <w:color w:val="auto"/>
        </w:rPr>
        <w:t>—Accounts receivable represent amounts due or billable under the terms of contracts with customers, including amounts related to retainage. The Company anticipates collection of retainage generally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one year, and accordingly presents retainage as a current asset. The Company provides an allowance for estimated uncollectible accounts receivable based on historical and expected losses and when events or conditions indicate that amounts outstanding are not recoverable.</w:t>
      </w:r>
    </w:p>
    <w:p>
      <w:pPr>
        <w:spacing w:after="0" w:line="114" w:lineRule="exact"/>
        <w:rPr>
          <w:sz w:val="20"/>
          <w:szCs w:val="20"/>
          <w:color w:val="auto"/>
        </w:rPr>
      </w:pPr>
    </w:p>
    <w:p>
      <w:pPr>
        <w:jc w:val="both"/>
        <w:ind w:right="80" w:firstLine="512"/>
        <w:spacing w:after="0" w:line="286" w:lineRule="auto"/>
        <w:rPr>
          <w:sz w:val="20"/>
          <w:szCs w:val="20"/>
          <w:color w:val="auto"/>
        </w:rPr>
      </w:pPr>
      <w:r>
        <w:rPr>
          <w:rFonts w:ascii="Times New Roman" w:cs="Times New Roman" w:eastAsia="Times New Roman" w:hAnsi="Times New Roman"/>
          <w:sz w:val="12"/>
          <w:szCs w:val="12"/>
          <w:b w:val="1"/>
          <w:bCs w:val="1"/>
          <w:color w:val="auto"/>
        </w:rPr>
        <w:t>Inventories</w:t>
      </w:r>
      <w:r>
        <w:rPr>
          <w:rFonts w:ascii="Times New Roman" w:cs="Times New Roman" w:eastAsia="Times New Roman" w:hAnsi="Times New Roman"/>
          <w:sz w:val="12"/>
          <w:szCs w:val="12"/>
          <w:color w:val="auto"/>
        </w:rPr>
        <w:t>—Inventories consist of pipe and spare parts used in the Company’s dredging operations. Pipe and spare parts are purchased in large quantities; therefore, a certain amount of pipe and spare part inventories is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anticipated to be used within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61" w:name="page62"/>
    <w:bookmarkEnd w:id="61"/>
    <w:p>
      <w:pPr>
        <w:ind w:right="100"/>
        <w:spacing w:after="0" w:line="279" w:lineRule="auto"/>
        <w:rPr>
          <w:sz w:val="20"/>
          <w:szCs w:val="20"/>
          <w:color w:val="auto"/>
        </w:rPr>
      </w:pPr>
      <w:r>
        <w:rPr>
          <w:rFonts w:ascii="Times New Roman" w:cs="Times New Roman" w:eastAsia="Times New Roman" w:hAnsi="Times New Roman"/>
          <w:sz w:val="12"/>
          <w:szCs w:val="12"/>
          <w:color w:val="auto"/>
        </w:rPr>
        <w:t>current year and is classified as long-term. Spare part inventories are stated at weighted average historical cost, and are charged to expense when used in operations. Pipe inventory is recorded at cost and amortized to expense over the period of its use.</w:t>
      </w:r>
    </w:p>
    <w:p>
      <w:pPr>
        <w:spacing w:after="0" w:line="107" w:lineRule="exact"/>
        <w:rPr>
          <w:sz w:val="20"/>
          <w:szCs w:val="20"/>
          <w:color w:val="auto"/>
        </w:rPr>
      </w:pPr>
    </w:p>
    <w:p>
      <w:pPr>
        <w:ind w:right="60" w:firstLine="512"/>
        <w:spacing w:after="0" w:line="268" w:lineRule="auto"/>
        <w:rPr>
          <w:sz w:val="20"/>
          <w:szCs w:val="20"/>
          <w:color w:val="auto"/>
        </w:rPr>
      </w:pPr>
      <w:r>
        <w:rPr>
          <w:rFonts w:ascii="Times New Roman" w:cs="Times New Roman" w:eastAsia="Times New Roman" w:hAnsi="Times New Roman"/>
          <w:sz w:val="12"/>
          <w:szCs w:val="12"/>
          <w:b w:val="1"/>
          <w:bCs w:val="1"/>
          <w:color w:val="auto"/>
        </w:rPr>
        <w:t>Property and Equipment</w:t>
      </w:r>
      <w:r>
        <w:rPr>
          <w:rFonts w:ascii="Times New Roman" w:cs="Times New Roman" w:eastAsia="Times New Roman" w:hAnsi="Times New Roman"/>
          <w:sz w:val="12"/>
          <w:szCs w:val="12"/>
          <w:color w:val="auto"/>
        </w:rPr>
        <w:t>—Capital additions, improvements, and major renewals are classified as property and equipment and are carried at depreciated cost. Maintenance and repairs that do not significantly extend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12" w:lineRule="exact"/>
        <w:rPr>
          <w:sz w:val="20"/>
          <w:szCs w:val="20"/>
          <w:color w:val="auto"/>
        </w:rPr>
      </w:pPr>
    </w:p>
    <w:tbl>
      <w:tblPr>
        <w:tblLayout w:type="fixed"/>
        <w:tblInd w:w="1460" w:type="dxa"/>
        <w:tblCellMar>
          <w:top w:w="0" w:type="dxa"/>
          <w:left w:w="0" w:type="dxa"/>
          <w:bottom w:w="0" w:type="dxa"/>
          <w:right w:w="0" w:type="dxa"/>
        </w:tblCellMar>
      </w:tblPr>
      <w:tr>
        <w:trPr>
          <w:trHeight w:val="115"/>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Class</w:t>
            </w:r>
          </w:p>
        </w:tc>
        <w:tc>
          <w:tcPr>
            <w:tcW w:w="154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Useful Life (years)</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133"/>
        </w:trPr>
        <w:tc>
          <w:tcPr>
            <w:tcW w:w="6820" w:type="dxa"/>
            <w:vAlign w:val="bottom"/>
            <w:gridSpan w:val="3"/>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Buildings and improvements</w:t>
            </w:r>
          </w:p>
        </w:tc>
        <w:tc>
          <w:tcPr>
            <w:tcW w:w="154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10</w:t>
            </w:r>
          </w:p>
        </w:tc>
      </w:tr>
      <w:tr>
        <w:trPr>
          <w:trHeight w:val="144"/>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Furniture and fixtures</w:t>
            </w: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5-10</w:t>
            </w:r>
          </w:p>
        </w:tc>
      </w:tr>
      <w:tr>
        <w:trPr>
          <w:trHeight w:val="144"/>
        </w:trPr>
        <w:tc>
          <w:tcPr>
            <w:tcW w:w="6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Vehicles, dozers, and other light operating equipment and systems</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3-5</w:t>
            </w:r>
          </w:p>
        </w:tc>
      </w:tr>
      <w:tr>
        <w:trPr>
          <w:trHeight w:val="155"/>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Heavy operating equipment (dredges and barges)</w:t>
            </w: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10-30</w:t>
            </w:r>
          </w:p>
        </w:tc>
      </w:tr>
    </w:tbl>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Leasehold improvements are amortized over the shorter of their remaining useful lives or the remaining terms of the leases.</w:t>
      </w:r>
    </w:p>
    <w:p>
      <w:pPr>
        <w:spacing w:after="0" w:line="146" w:lineRule="exact"/>
        <w:rPr>
          <w:sz w:val="20"/>
          <w:szCs w:val="20"/>
          <w:color w:val="auto"/>
        </w:rPr>
      </w:pPr>
    </w:p>
    <w:p>
      <w:pPr>
        <w:ind w:right="140" w:firstLine="512"/>
        <w:spacing w:after="0" w:line="268" w:lineRule="auto"/>
        <w:rPr>
          <w:sz w:val="20"/>
          <w:szCs w:val="20"/>
          <w:color w:val="auto"/>
        </w:rPr>
      </w:pPr>
      <w:r>
        <w:rPr>
          <w:rFonts w:ascii="Times New Roman" w:cs="Times New Roman" w:eastAsia="Times New Roman" w:hAnsi="Times New Roman"/>
          <w:sz w:val="12"/>
          <w:szCs w:val="12"/>
          <w:b w:val="1"/>
          <w:bCs w:val="1"/>
          <w:color w:val="auto"/>
        </w:rPr>
        <w:t>Goodwill</w:t>
      </w:r>
      <w:r>
        <w:rPr>
          <w:rFonts w:ascii="Times New Roman" w:cs="Times New Roman" w:eastAsia="Times New Roman" w:hAnsi="Times New Roman"/>
          <w:sz w:val="12"/>
          <w:szCs w:val="12"/>
          <w:color w:val="auto"/>
        </w:rPr>
        <w:t>—Goodwill represents the excess of acquisition cost over fair value of the net assets acquired. Goodwill is tested annually for impairment in the third quarter of each year, or more frequently should circumstances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18" w:lineRule="exact"/>
        <w:rPr>
          <w:sz w:val="20"/>
          <w:szCs w:val="20"/>
          <w:color w:val="auto"/>
        </w:rPr>
      </w:pPr>
    </w:p>
    <w:p>
      <w:pPr>
        <w:ind w:right="20" w:firstLine="512"/>
        <w:spacing w:after="0" w:line="265" w:lineRule="auto"/>
        <w:rPr>
          <w:sz w:val="20"/>
          <w:szCs w:val="20"/>
          <w:color w:val="auto"/>
        </w:rPr>
      </w:pPr>
      <w:r>
        <w:rPr>
          <w:rFonts w:ascii="Times New Roman" w:cs="Times New Roman" w:eastAsia="Times New Roman" w:hAnsi="Times New Roman"/>
          <w:sz w:val="12"/>
          <w:szCs w:val="12"/>
          <w:color w:val="auto"/>
        </w:rPr>
        <w:t>When conducting the annual impairment test for goodwill, the Company can choose to assess qualitative factors to determine whether it is more likely than not the fair value of the reporting unit is below its carrying value. Qualitative factors considered include macroeconomic, industry and market environments, overall financial performance and market indications of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spacing w:after="0" w:line="119" w:lineRule="exact"/>
        <w:rPr>
          <w:sz w:val="20"/>
          <w:szCs w:val="20"/>
          <w:color w:val="auto"/>
        </w:rPr>
      </w:pPr>
    </w:p>
    <w:p>
      <w:pPr>
        <w:ind w:firstLine="512"/>
        <w:spacing w:after="0" w:line="256" w:lineRule="auto"/>
        <w:rPr>
          <w:sz w:val="20"/>
          <w:szCs w:val="20"/>
          <w:color w:val="auto"/>
        </w:rPr>
      </w:pPr>
      <w:r>
        <w:rPr>
          <w:rFonts w:ascii="Times New Roman" w:cs="Times New Roman" w:eastAsia="Times New Roman" w:hAnsi="Times New Roman"/>
          <w:sz w:val="12"/>
          <w:szCs w:val="12"/>
          <w:color w:val="auto"/>
        </w:rPr>
        <w:t>When performing a quantitative impairment test, the Company assesses the fair values of its reporting unit using both an income-based approach and a market-based approach. Under the income approach, the fair value of the reporting unit is based on the present value of estimated future cash flows. The income approach is dependent on a number of factors, including estimates of expected future revenue, profitability and capital expenditures related to our new build program, future market growth trends, forecasted revenues and expenses, working capital assumptions,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trailing and forward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25" w:lineRule="exact"/>
        <w:rPr>
          <w:sz w:val="20"/>
          <w:szCs w:val="20"/>
          <w:color w:val="auto"/>
        </w:rPr>
      </w:pPr>
    </w:p>
    <w:p>
      <w:pPr>
        <w:ind w:right="20" w:firstLine="512"/>
        <w:spacing w:after="0" w:line="257" w:lineRule="auto"/>
        <w:rPr>
          <w:sz w:val="20"/>
          <w:szCs w:val="20"/>
          <w:color w:val="auto"/>
        </w:rPr>
      </w:pPr>
      <w:r>
        <w:rPr>
          <w:rFonts w:ascii="Times New Roman" w:cs="Times New Roman" w:eastAsia="Times New Roman" w:hAnsi="Times New Roman"/>
          <w:sz w:val="12"/>
          <w:szCs w:val="12"/>
          <w:color w:val="auto"/>
        </w:rPr>
        <w:t>The Company has one operating segment which is also the Company’s one reportable segment and reporting unit of which the Company tests goodwill for impairment. In 2024, the Company performed a qualitative goodwill impairment test. The Company performed its annual test of impairment as of July 1, 2024 with no indication of impairment as of the test date. The Company assessed qualitative factors for any indications of potential impairment of the reporting unit. Upon completing this assessment, it was determined that the fair value of the reporting unit is more likely than not greater than its carrying value as of the assessment date and, as a result, a quantitative test was not performed. The Company will continue to monitor for changes in facts or circumstances that may impact its estimates. The Company will perform its next scheduled annual test of goodwill in the third quarter of 2025 should no triggering events occur which would require a test prior to the next annual test.</w:t>
      </w:r>
    </w:p>
    <w:p>
      <w:pPr>
        <w:spacing w:after="0" w:line="121" w:lineRule="exact"/>
        <w:rPr>
          <w:sz w:val="20"/>
          <w:szCs w:val="20"/>
          <w:color w:val="auto"/>
        </w:rPr>
      </w:pPr>
    </w:p>
    <w:p>
      <w:pPr>
        <w:ind w:firstLine="512"/>
        <w:spacing w:after="0" w:line="262" w:lineRule="auto"/>
        <w:rPr>
          <w:sz w:val="20"/>
          <w:szCs w:val="20"/>
          <w:color w:val="auto"/>
        </w:rPr>
      </w:pPr>
      <w:r>
        <w:rPr>
          <w:rFonts w:ascii="Times New Roman" w:cs="Times New Roman" w:eastAsia="Times New Roman" w:hAnsi="Times New Roman"/>
          <w:sz w:val="12"/>
          <w:szCs w:val="12"/>
          <w:b w:val="1"/>
          <w:bCs w:val="1"/>
          <w:color w:val="auto"/>
        </w:rPr>
        <w:t>Long-Lived Assets</w:t>
      </w:r>
      <w:r>
        <w:rPr>
          <w:rFonts w:ascii="Times New Roman" w:cs="Times New Roman" w:eastAsia="Times New Roman" w:hAnsi="Times New Roman"/>
          <w:sz w:val="12"/>
          <w:szCs w:val="12"/>
          <w:color w:val="auto"/>
        </w:rPr>
        <w:t>—Long-lived assets are comprised of property and equipment subject to depreciation. Long-lived assets to be held and used are reviewed for possible impairment whenever events indicate that the carrying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 of such assets may not be recoverable. Recoverability of long-lived assets is measured by comparing the projected undiscounted cash flows associated with the assets to their carrying amounts. If an asset is considered impaired, the carrying amount would be reduced to its fair value. No triggering events were identified in 2024 or 2023. If long-lived assets are to be disposed, depreciation is discontinued, if applicable, and the assets are reclassified as held for sale at the lower of their carrying amounts or fair values less estimated costs to sell.</w:t>
      </w:r>
    </w:p>
    <w:p>
      <w:pPr>
        <w:spacing w:after="0" w:line="117" w:lineRule="exact"/>
        <w:rPr>
          <w:sz w:val="20"/>
          <w:szCs w:val="20"/>
          <w:color w:val="auto"/>
        </w:rPr>
      </w:pPr>
    </w:p>
    <w:p>
      <w:pPr>
        <w:ind w:right="80" w:firstLine="512"/>
        <w:spacing w:after="0" w:line="286" w:lineRule="auto"/>
        <w:rPr>
          <w:sz w:val="20"/>
          <w:szCs w:val="20"/>
          <w:color w:val="auto"/>
        </w:rPr>
      </w:pPr>
      <w:r>
        <w:rPr>
          <w:rFonts w:ascii="Times New Roman" w:cs="Times New Roman" w:eastAsia="Times New Roman" w:hAnsi="Times New Roman"/>
          <w:sz w:val="12"/>
          <w:szCs w:val="12"/>
          <w:b w:val="1"/>
          <w:bCs w:val="1"/>
          <w:color w:val="auto"/>
        </w:rPr>
        <w:t>Other Gains and Losses</w:t>
      </w:r>
      <w:r>
        <w:rPr>
          <w:rFonts w:ascii="Times New Roman" w:cs="Times New Roman" w:eastAsia="Times New Roman" w:hAnsi="Times New Roman"/>
          <w:sz w:val="12"/>
          <w:szCs w:val="12"/>
          <w:color w:val="auto"/>
        </w:rPr>
        <w:t>—Other gains and losses include gains and losses on property and equipment that has been retired or otherwise disposed of and the transfer of control is complete. This also includes any impairment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expense related to assets that have been designated as held for sale whose carrying amounts exceed their fair values. In 2024, the Company recognized $2.9 million 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62" w:name="page63"/>
    <w:bookmarkEnd w:id="62"/>
    <w:p>
      <w:pPr>
        <w:ind w:right="60"/>
        <w:spacing w:after="0" w:line="265" w:lineRule="auto"/>
        <w:rPr>
          <w:sz w:val="20"/>
          <w:szCs w:val="20"/>
          <w:color w:val="auto"/>
        </w:rPr>
      </w:pPr>
      <w:r>
        <w:rPr>
          <w:rFonts w:ascii="Times New Roman" w:cs="Times New Roman" w:eastAsia="Times New Roman" w:hAnsi="Times New Roman"/>
          <w:sz w:val="12"/>
          <w:szCs w:val="12"/>
          <w:color w:val="auto"/>
        </w:rPr>
        <w:t>gains primarily on disposals of assets and $0.1 million in adjustments to the gain associated with the early termination of an offshore energy contract in 2023. In 2023, the Company recognized $0.1 million in gains on disposals of assets. Additionally, the Company recognized a $7.4 million gain associated with the early termination of an offshore energy contract. In 2022, the Company recorded an $8.2 million loss related to the retirement of an asset which was classified as held for sale at December 31, 2022. This amount was offset by gains on disposals of assets during 2022 of $0.4 million.</w:t>
      </w:r>
    </w:p>
    <w:p>
      <w:pPr>
        <w:spacing w:after="0" w:line="115" w:lineRule="exact"/>
        <w:rPr>
          <w:sz w:val="20"/>
          <w:szCs w:val="20"/>
          <w:color w:val="auto"/>
        </w:rPr>
      </w:pPr>
    </w:p>
    <w:p>
      <w:pPr>
        <w:ind w:right="140" w:firstLine="512"/>
        <w:spacing w:after="0" w:line="262" w:lineRule="auto"/>
        <w:rPr>
          <w:sz w:val="20"/>
          <w:szCs w:val="20"/>
          <w:color w:val="auto"/>
        </w:rPr>
      </w:pPr>
      <w:r>
        <w:rPr>
          <w:rFonts w:ascii="Times New Roman" w:cs="Times New Roman" w:eastAsia="Times New Roman" w:hAnsi="Times New Roman"/>
          <w:sz w:val="12"/>
          <w:szCs w:val="12"/>
          <w:b w:val="1"/>
          <w:bCs w:val="1"/>
          <w:color w:val="auto"/>
        </w:rPr>
        <w:t>Self-insurance Reserves</w:t>
      </w:r>
      <w:r>
        <w:rPr>
          <w:rFonts w:ascii="Times New Roman" w:cs="Times New Roman" w:eastAsia="Times New Roman" w:hAnsi="Times New Roman"/>
          <w:sz w:val="12"/>
          <w:szCs w:val="12"/>
          <w:color w:val="auto"/>
        </w:rPr>
        <w:t>—The Company self-insures costs associated with its seagoing employees covered by the provisions of Jones Act, workers’ compensation claims, hull and equipment liability, and general business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17" w:lineRule="exact"/>
        <w:rPr>
          <w:sz w:val="20"/>
          <w:szCs w:val="20"/>
          <w:color w:val="auto"/>
        </w:rPr>
      </w:pPr>
    </w:p>
    <w:p>
      <w:pPr>
        <w:ind w:right="60" w:firstLine="512"/>
        <w:spacing w:after="0" w:line="268" w:lineRule="auto"/>
        <w:rPr>
          <w:sz w:val="20"/>
          <w:szCs w:val="20"/>
          <w:color w:val="auto"/>
        </w:rPr>
      </w:pPr>
      <w:r>
        <w:rPr>
          <w:rFonts w:ascii="Times New Roman" w:cs="Times New Roman" w:eastAsia="Times New Roman" w:hAnsi="Times New Roman"/>
          <w:sz w:val="12"/>
          <w:szCs w:val="12"/>
          <w:b w:val="1"/>
          <w:bCs w:val="1"/>
          <w:color w:val="auto"/>
        </w:rPr>
        <w:t>Income Taxes</w:t>
      </w:r>
      <w:r>
        <w:rPr>
          <w:rFonts w:ascii="Times New Roman" w:cs="Times New Roman" w:eastAsia="Times New Roman" w:hAnsi="Times New Roman"/>
          <w:sz w:val="12"/>
          <w:szCs w:val="12"/>
          <w:color w:val="auto"/>
        </w:rPr>
        <w:t>—The provision for income taxes includes federal, foreign, and state income taxes currently payable and those deferred because of temporary differences between the financial statement and tax basis of assets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liabilities. Recorded deferred income tax assets and liabilities are based on the estimated future tax effects of differences between the financial and tax basis of assets and liabilities, given the effect of currently enacted tax laws. Refer to Note 8, Income Taxes.</w:t>
      </w:r>
    </w:p>
    <w:p>
      <w:pPr>
        <w:spacing w:after="0" w:line="114" w:lineRule="exact"/>
        <w:rPr>
          <w:sz w:val="20"/>
          <w:szCs w:val="20"/>
          <w:color w:val="auto"/>
        </w:rPr>
      </w:pPr>
    </w:p>
    <w:p>
      <w:pPr>
        <w:ind w:right="460" w:firstLine="512"/>
        <w:spacing w:after="0" w:line="268" w:lineRule="auto"/>
        <w:rPr>
          <w:sz w:val="20"/>
          <w:szCs w:val="20"/>
          <w:color w:val="auto"/>
        </w:rPr>
      </w:pPr>
      <w:r>
        <w:rPr>
          <w:rFonts w:ascii="Times New Roman" w:cs="Times New Roman" w:eastAsia="Times New Roman" w:hAnsi="Times New Roman"/>
          <w:sz w:val="12"/>
          <w:szCs w:val="12"/>
          <w:b w:val="1"/>
          <w:bCs w:val="1"/>
          <w:color w:val="auto"/>
        </w:rPr>
        <w:t>Hedging Instruments</w:t>
      </w:r>
      <w:r>
        <w:rPr>
          <w:rFonts w:ascii="Times New Roman" w:cs="Times New Roman" w:eastAsia="Times New Roman" w:hAnsi="Times New Roman"/>
          <w:sz w:val="12"/>
          <w:szCs w:val="12"/>
          <w:color w:val="auto"/>
        </w:rPr>
        <w:t>—At times, the Company designates certain derivative contracts as a cash flow hedge as defined by GAAP. Accordingly, the Company formally documents, at the inception of each hedge,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relationships between hedging instruments and hedged items, as well as its risk-management objective and strategy for undertaking hedge transactions. This process includes linking all derivatives to highly-probable forecasted transactions.</w:t>
      </w:r>
    </w:p>
    <w:p>
      <w:pPr>
        <w:spacing w:after="0" w:line="118" w:lineRule="exact"/>
        <w:rPr>
          <w:sz w:val="20"/>
          <w:szCs w:val="20"/>
          <w:color w:val="auto"/>
        </w:rPr>
      </w:pPr>
    </w:p>
    <w:p>
      <w:pPr>
        <w:ind w:right="40" w:firstLine="512"/>
        <w:spacing w:after="0" w:line="291" w:lineRule="auto"/>
        <w:rPr>
          <w:sz w:val="20"/>
          <w:szCs w:val="20"/>
          <w:color w:val="auto"/>
        </w:rPr>
      </w:pPr>
      <w:r>
        <w:rPr>
          <w:rFonts w:ascii="Times New Roman" w:cs="Times New Roman" w:eastAsia="Times New Roman" w:hAnsi="Times New Roman"/>
          <w:sz w:val="11"/>
          <w:szCs w:val="11"/>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03" w:lineRule="exact"/>
        <w:rPr>
          <w:sz w:val="20"/>
          <w:szCs w:val="20"/>
          <w:color w:val="auto"/>
        </w:rPr>
      </w:pPr>
    </w:p>
    <w:p>
      <w:pPr>
        <w:ind w:firstLine="512"/>
        <w:spacing w:after="0" w:line="256" w:lineRule="auto"/>
        <w:rPr>
          <w:sz w:val="20"/>
          <w:szCs w:val="20"/>
          <w:color w:val="auto"/>
        </w:rPr>
      </w:pPr>
      <w:r>
        <w:rPr>
          <w:rFonts w:ascii="Times New Roman" w:cs="Times New Roman" w:eastAsia="Times New Roman" w:hAnsi="Times New Roman"/>
          <w:sz w:val="12"/>
          <w:szCs w:val="12"/>
          <w:b w:val="1"/>
          <w:bCs w:val="1"/>
          <w:color w:val="auto"/>
        </w:rPr>
        <w:t>Recently Issued Accounting Pronouncements</w:t>
      </w:r>
      <w:r>
        <w:rPr>
          <w:rFonts w:ascii="Times New Roman" w:cs="Times New Roman" w:eastAsia="Times New Roman" w:hAnsi="Times New Roman"/>
          <w:sz w:val="12"/>
          <w:szCs w:val="12"/>
          <w:color w:val="auto"/>
        </w:rPr>
        <w:t>—In December 2023, Financial Accounting Standards Board (“FASB”) issued Accounting Standards Update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Management is currently evaluating the impact of this guidance.</w:t>
      </w:r>
    </w:p>
    <w:p>
      <w:pPr>
        <w:spacing w:after="0" w:line="126" w:lineRule="exact"/>
        <w:rPr>
          <w:sz w:val="20"/>
          <w:szCs w:val="20"/>
          <w:color w:val="auto"/>
        </w:rPr>
      </w:pPr>
    </w:p>
    <w:p>
      <w:pPr>
        <w:ind w:right="20" w:firstLine="512"/>
        <w:spacing w:after="0" w:line="255" w:lineRule="auto"/>
        <w:rPr>
          <w:sz w:val="20"/>
          <w:szCs w:val="20"/>
          <w:color w:val="auto"/>
        </w:rPr>
      </w:pPr>
      <w:r>
        <w:rPr>
          <w:rFonts w:ascii="Times New Roman" w:cs="Times New Roman" w:eastAsia="Times New Roman" w:hAnsi="Times New Roman"/>
          <w:sz w:val="12"/>
          <w:szCs w:val="12"/>
          <w:color w:val="auto"/>
        </w:rPr>
        <w:t>In November 2023, the FASB issued ASU 2023-07, “Segment Reporting (Topic 280)” (“ASU 2023-07”). The amendments in ASU 2023-07 improve financial reporting by requiring disclosure of incremental segment information on an annual and interim basis for all public entities to enable investors to develop more decision-useful financial analyses. Topic 280 requires a public entity to report a measure of segment profit or loss that the chief operating decision maker (CODM) uses to assess segment performance and make decisions about allocating resources. Topic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adopted retrospectively. The Company adopted ASU 2023-07 as of December 31, 2024. Refer to required disclosures in Note 13, Segment Information.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Reclassifications</w:t>
      </w:r>
      <w:r>
        <w:rPr>
          <w:rFonts w:ascii="Times New Roman" w:cs="Times New Roman" w:eastAsia="Times New Roman" w:hAnsi="Times New Roman"/>
          <w:sz w:val="12"/>
          <w:szCs w:val="12"/>
          <w:color w:val="auto"/>
        </w:rPr>
        <w:t>—Certain reclassifications have been made to prior period consolidated statements of cash flows to conform to current period presentation. These reclassifications have no effect on net cash flows.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EARNINGS (LOSS) PER SHARE</w:t>
      </w:r>
    </w:p>
    <w:p>
      <w:pPr>
        <w:spacing w:after="0" w:line="82"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Basic earnings (loss) per share is computed by dividing net income (loss) attributable to common stockholders by the weighted-average number of common shares outstanding during the reporting period. Diluted earnings (loss) per share is computed similar to basic earnings (loss) per share except that it reflects the potential dilution that could occur if dilutive securities or other obligations to issue common stock were exercised or converted into common stock.</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computations for basic and diluted earnings (loss) per share for the years ended December 31, 2024, 2023 and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4862830</wp:posOffset>
            </wp:positionH>
            <wp:positionV relativeFrom="paragraph">
              <wp:posOffset>89535</wp:posOffset>
            </wp:positionV>
            <wp:extent cx="88265" cy="996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265" cy="996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89535</wp:posOffset>
            </wp:positionV>
            <wp:extent cx="88265" cy="996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265" cy="9969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89535</wp:posOffset>
            </wp:positionV>
            <wp:extent cx="88265" cy="996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265" cy="99695"/>
                    </a:xfrm>
                    <a:prstGeom prst="rect">
                      <a:avLst/>
                    </a:prstGeom>
                    <a:noFill/>
                  </pic:spPr>
                </pic:pic>
              </a:graphicData>
            </a:graphic>
          </wp:anchor>
        </w:drawing>
      </w:r>
    </w:p>
    <w:p>
      <w:pPr>
        <w:spacing w:after="0" w:line="121" w:lineRule="exact"/>
        <w:rPr>
          <w:sz w:val="20"/>
          <w:szCs w:val="20"/>
          <w:color w:val="auto"/>
        </w:rPr>
      </w:pPr>
    </w:p>
    <w:tbl>
      <w:tblPr>
        <w:tblLayout w:type="fixed"/>
        <w:tblInd w:w="620" w:type="dxa"/>
        <w:tblCellMar>
          <w:top w:w="0" w:type="dxa"/>
          <w:left w:w="0" w:type="dxa"/>
          <w:bottom w:w="0" w:type="dxa"/>
          <w:right w:w="0" w:type="dxa"/>
        </w:tblCellMar>
      </w:tblPr>
      <w:tr>
        <w:trPr>
          <w:trHeight w:val="108"/>
        </w:trPr>
        <w:tc>
          <w:tcPr>
            <w:tcW w:w="5840" w:type="dxa"/>
            <w:vAlign w:val="bottom"/>
          </w:tcPr>
          <w:p>
            <w:pPr>
              <w:spacing w:after="0"/>
              <w:rPr>
                <w:sz w:val="9"/>
                <w:szCs w:val="9"/>
                <w:color w:val="auto"/>
              </w:rPr>
            </w:pPr>
          </w:p>
        </w:tc>
        <w:tc>
          <w:tcPr>
            <w:tcW w:w="780" w:type="dxa"/>
            <w:vAlign w:val="bottom"/>
            <w:tcBorders>
              <w:top w:val="single" w:sz="8" w:color="auto"/>
            </w:tcBorders>
          </w:tcPr>
          <w:p>
            <w:pPr>
              <w:jc w:val="right"/>
              <w:ind w:right="28"/>
              <w:spacing w:after="0" w:line="108" w:lineRule="exact"/>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ind w:right="422"/>
              <w:spacing w:after="0" w:line="108" w:lineRule="exact"/>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9"/>
                <w:szCs w:val="9"/>
                <w:color w:val="auto"/>
              </w:rPr>
            </w:pPr>
          </w:p>
        </w:tc>
      </w:tr>
      <w:tr>
        <w:trPr>
          <w:trHeight w:val="88"/>
        </w:trPr>
        <w:tc>
          <w:tcPr>
            <w:tcW w:w="58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44"/>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78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57,265</w:t>
            </w:r>
          </w:p>
        </w:tc>
        <w:tc>
          <w:tcPr>
            <w:tcW w:w="104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13,906</w:t>
            </w:r>
          </w:p>
        </w:tc>
        <w:tc>
          <w:tcPr>
            <w:tcW w:w="5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(34,055 )</w:t>
            </w:r>
          </w:p>
        </w:tc>
      </w:tr>
      <w:tr>
        <w:trPr>
          <w:trHeight w:val="288"/>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common shares outstanding — basic</w:t>
            </w:r>
          </w:p>
        </w:tc>
        <w:tc>
          <w:tcPr>
            <w:tcW w:w="7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66,051</w:t>
            </w:r>
          </w:p>
        </w:tc>
        <w:tc>
          <w:tcPr>
            <w:tcW w:w="100" w:type="dxa"/>
            <w:vAlign w:val="bottom"/>
          </w:tcPr>
          <w:p>
            <w:pPr>
              <w:spacing w:after="0"/>
              <w:rPr>
                <w:sz w:val="24"/>
                <w:szCs w:val="24"/>
                <w:color w:val="auto"/>
              </w:rPr>
            </w:pPr>
          </w:p>
        </w:tc>
      </w:tr>
      <w:tr>
        <w:trPr>
          <w:trHeight w:val="144"/>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Effect of stock options and restricted stock units</w:t>
            </w:r>
          </w:p>
        </w:tc>
        <w:tc>
          <w:tcPr>
            <w:tcW w:w="7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84"/>
        </w:trPr>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2"/>
                <w:szCs w:val="12"/>
                <w:color w:val="auto"/>
              </w:rPr>
              <w:t>Weighted-average common shares outstanding — diluted</w:t>
            </w:r>
          </w:p>
        </w:tc>
        <w:tc>
          <w:tcPr>
            <w:tcW w:w="7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67,847</w:t>
            </w: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66,957</w:t>
            </w: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66,051</w:t>
            </w:r>
          </w:p>
        </w:tc>
        <w:tc>
          <w:tcPr>
            <w:tcW w:w="100" w:type="dxa"/>
            <w:vAlign w:val="bottom"/>
            <w:tcBorders>
              <w:top w:val="single" w:sz="8" w:color="CFF0FC"/>
            </w:tcBorders>
          </w:tcPr>
          <w:p>
            <w:pPr>
              <w:spacing w:after="0"/>
              <w:rPr>
                <w:sz w:val="24"/>
                <w:szCs w:val="24"/>
                <w:color w:val="auto"/>
              </w:rPr>
            </w:pPr>
          </w:p>
        </w:tc>
      </w:tr>
      <w:tr>
        <w:trPr>
          <w:trHeight w:val="144"/>
        </w:trPr>
        <w:tc>
          <w:tcPr>
            <w:tcW w:w="5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Basic earnings (loss) per share</w:t>
            </w:r>
          </w:p>
        </w:tc>
        <w:tc>
          <w:tcPr>
            <w:tcW w:w="78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0.85</w:t>
            </w:r>
          </w:p>
        </w:tc>
        <w:tc>
          <w:tcPr>
            <w:tcW w:w="104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5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(0.52 )</w:t>
            </w:r>
          </w:p>
        </w:tc>
      </w:tr>
      <w:tr>
        <w:trPr>
          <w:trHeight w:val="155"/>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Diluted earnings (loss) per share</w:t>
            </w:r>
          </w:p>
        </w:tc>
        <w:tc>
          <w:tcPr>
            <w:tcW w:w="780" w:type="dxa"/>
            <w:vAlign w:val="bottom"/>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0.84</w:t>
            </w:r>
          </w:p>
        </w:tc>
        <w:tc>
          <w:tcPr>
            <w:tcW w:w="1040" w:type="dxa"/>
            <w:vAlign w:val="bottom"/>
            <w:gridSpan w:val="3"/>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-486410</wp:posOffset>
            </wp:positionV>
            <wp:extent cx="6286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-486410</wp:posOffset>
            </wp:positionV>
            <wp:extent cx="6286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-486410</wp:posOffset>
            </wp:positionV>
            <wp:extent cx="6286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47" w:lineRule="exact"/>
        <w:rPr>
          <w:sz w:val="20"/>
          <w:szCs w:val="20"/>
          <w:color w:val="auto"/>
        </w:rPr>
      </w:pPr>
    </w:p>
    <w:p>
      <w:pPr>
        <w:ind w:right="340" w:firstLine="512"/>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2022 the dilutive effect of 462 thousand of non-qualified stock options (“NQSO”) and restricted stock units (“RSU”) were excluded from the diluted weighted-average common shares outstanding as the Company incurred a loss during the period.</w:t>
      </w:r>
    </w:p>
    <w:p>
      <w:pPr>
        <w:spacing w:after="0" w:line="165" w:lineRule="exact"/>
        <w:rPr>
          <w:sz w:val="20"/>
          <w:szCs w:val="20"/>
          <w:color w:val="auto"/>
        </w:rPr>
      </w:pPr>
    </w:p>
    <w:p>
      <w:pPr>
        <w:ind w:right="20" w:firstLine="512"/>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2024, 2023 and 2022, 57 thousand, 430 thousand and 351 thousand, respectively, NQSO and RSUs were excluded from the calculation of diluted earnings per share based on the application of the treasury stock method, as such NQSOs and RSUs were determined to be anti-dilutive.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PROPERTY AND EQUIPMENT</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Property and equipment at December 31, 2024 and 2023 are as follows:</w:t>
      </w:r>
    </w:p>
    <w:p>
      <w:pPr>
        <w:spacing w:after="0" w:line="144" w:lineRule="exact"/>
        <w:rPr>
          <w:sz w:val="20"/>
          <w:szCs w:val="20"/>
          <w:color w:val="auto"/>
        </w:rPr>
      </w:pPr>
    </w:p>
    <w:tbl>
      <w:tblPr>
        <w:tblLayout w:type="fixed"/>
        <w:tblInd w:w="62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12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6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r>
      <w:tr>
        <w:trPr>
          <w:trHeight w:val="70"/>
        </w:trPr>
        <w:tc>
          <w:tcPr>
            <w:tcW w:w="6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44"/>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Land</w:t>
            </w:r>
          </w:p>
        </w:tc>
        <w:tc>
          <w:tcPr>
            <w:tcW w:w="1200" w:type="dxa"/>
            <w:vAlign w:val="bottom"/>
            <w:shd w:val="clear" w:color="auto" w:fill="CFF0FC"/>
          </w:tcPr>
          <w:p>
            <w:pPr>
              <w:jc w:val="right"/>
              <w:ind w:right="108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9,348</w:t>
            </w:r>
          </w:p>
        </w:tc>
        <w:tc>
          <w:tcPr>
            <w:tcW w:w="42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9,348</w:t>
            </w:r>
          </w:p>
        </w:tc>
        <w:tc>
          <w:tcPr>
            <w:tcW w:w="100" w:type="dxa"/>
            <w:vAlign w:val="bottom"/>
            <w:shd w:val="clear" w:color="auto" w:fill="CFF0FC"/>
          </w:tcPr>
          <w:p>
            <w:pPr>
              <w:spacing w:after="0"/>
              <w:rPr>
                <w:sz w:val="12"/>
                <w:szCs w:val="12"/>
                <w:color w:val="auto"/>
              </w:rPr>
            </w:pPr>
          </w:p>
        </w:tc>
      </w:tr>
      <w:tr>
        <w:trPr>
          <w:trHeight w:val="144"/>
        </w:trPr>
        <w:tc>
          <w:tcPr>
            <w:tcW w:w="6120" w:type="dxa"/>
            <w:vAlign w:val="bottom"/>
          </w:tcPr>
          <w:p>
            <w:pPr>
              <w:spacing w:after="0"/>
              <w:rPr>
                <w:sz w:val="20"/>
                <w:szCs w:val="20"/>
                <w:color w:val="auto"/>
              </w:rPr>
            </w:pPr>
            <w:r>
              <w:rPr>
                <w:rFonts w:ascii="Times New Roman" w:cs="Times New Roman" w:eastAsia="Times New Roman" w:hAnsi="Times New Roman"/>
                <w:sz w:val="12"/>
                <w:szCs w:val="12"/>
                <w:color w:val="auto"/>
              </w:rPr>
              <w:t>Buildings and improvements</w:t>
            </w:r>
          </w:p>
        </w:tc>
        <w:tc>
          <w:tcPr>
            <w:tcW w:w="1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1,315</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1,314</w:t>
            </w:r>
          </w:p>
        </w:tc>
        <w:tc>
          <w:tcPr>
            <w:tcW w:w="100" w:type="dxa"/>
            <w:vAlign w:val="bottom"/>
          </w:tcPr>
          <w:p>
            <w:pPr>
              <w:spacing w:after="0"/>
              <w:rPr>
                <w:sz w:val="12"/>
                <w:szCs w:val="12"/>
                <w:color w:val="auto"/>
              </w:rPr>
            </w:pPr>
          </w:p>
        </w:tc>
      </w:tr>
      <w:tr>
        <w:trPr>
          <w:trHeight w:val="144"/>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1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21,197</w:t>
            </w:r>
          </w:p>
        </w:tc>
        <w:tc>
          <w:tcPr>
            <w:tcW w:w="4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20,090</w:t>
            </w:r>
          </w:p>
        </w:tc>
        <w:tc>
          <w:tcPr>
            <w:tcW w:w="100" w:type="dxa"/>
            <w:vAlign w:val="bottom"/>
            <w:shd w:val="clear" w:color="auto" w:fill="CFF0FC"/>
          </w:tcPr>
          <w:p>
            <w:pPr>
              <w:spacing w:after="0"/>
              <w:rPr>
                <w:sz w:val="12"/>
                <w:szCs w:val="12"/>
                <w:color w:val="auto"/>
              </w:rPr>
            </w:pPr>
          </w:p>
        </w:tc>
      </w:tr>
      <w:tr>
        <w:trPr>
          <w:trHeight w:val="144"/>
        </w:trPr>
        <w:tc>
          <w:tcPr>
            <w:tcW w:w="6120" w:type="dxa"/>
            <w:vAlign w:val="bottom"/>
          </w:tcPr>
          <w:p>
            <w:pPr>
              <w:spacing w:after="0"/>
              <w:rPr>
                <w:sz w:val="20"/>
                <w:szCs w:val="20"/>
                <w:color w:val="auto"/>
              </w:rPr>
            </w:pPr>
            <w:r>
              <w:rPr>
                <w:rFonts w:ascii="Times New Roman" w:cs="Times New Roman" w:eastAsia="Times New Roman" w:hAnsi="Times New Roman"/>
                <w:sz w:val="12"/>
                <w:szCs w:val="12"/>
                <w:color w:val="auto"/>
              </w:rPr>
              <w:t>Operating equipment</w:t>
            </w:r>
          </w:p>
        </w:tc>
        <w:tc>
          <w:tcPr>
            <w:tcW w:w="1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922,402</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803,954</w:t>
            </w:r>
          </w:p>
        </w:tc>
        <w:tc>
          <w:tcPr>
            <w:tcW w:w="100" w:type="dxa"/>
            <w:vAlign w:val="bottom"/>
          </w:tcPr>
          <w:p>
            <w:pPr>
              <w:spacing w:after="0"/>
              <w:rPr>
                <w:sz w:val="12"/>
                <w:szCs w:val="12"/>
                <w:color w:val="auto"/>
              </w:rPr>
            </w:pPr>
          </w:p>
        </w:tc>
      </w:tr>
      <w:tr>
        <w:trPr>
          <w:trHeight w:val="144"/>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12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264,525</w:t>
            </w:r>
          </w:p>
        </w:tc>
        <w:tc>
          <w:tcPr>
            <w:tcW w:w="4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264,674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33"/>
        </w:trPr>
        <w:tc>
          <w:tcPr>
            <w:tcW w:w="61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property and equipment</w:t>
            </w:r>
          </w:p>
        </w:tc>
        <w:tc>
          <w:tcPr>
            <w:tcW w:w="1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1,218,787</w:t>
            </w: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1,099,380</w:t>
            </w:r>
          </w:p>
        </w:tc>
        <w:tc>
          <w:tcPr>
            <w:tcW w:w="100" w:type="dxa"/>
            <w:vAlign w:val="bottom"/>
          </w:tcPr>
          <w:p>
            <w:pPr>
              <w:spacing w:after="0"/>
              <w:rPr>
                <w:sz w:val="11"/>
                <w:szCs w:val="11"/>
                <w:color w:val="auto"/>
              </w:rPr>
            </w:pPr>
          </w:p>
        </w:tc>
      </w:tr>
      <w:tr>
        <w:trPr>
          <w:trHeight w:val="133"/>
        </w:trPr>
        <w:tc>
          <w:tcPr>
            <w:tcW w:w="61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Accumulated depreciation</w:t>
            </w:r>
          </w:p>
        </w:tc>
        <w:tc>
          <w:tcPr>
            <w:tcW w:w="1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(515,535 )</w:t>
            </w:r>
          </w:p>
        </w:tc>
        <w:tc>
          <w:tcPr>
            <w:tcW w:w="3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(484,772 )</w:t>
            </w:r>
          </w:p>
        </w:tc>
      </w:tr>
      <w:tr>
        <w:trPr>
          <w:trHeight w:val="140"/>
        </w:trPr>
        <w:tc>
          <w:tcPr>
            <w:tcW w:w="612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Property and equipment—net</w:t>
            </w:r>
          </w:p>
        </w:tc>
        <w:tc>
          <w:tcPr>
            <w:tcW w:w="1200" w:type="dxa"/>
            <w:vAlign w:val="bottom"/>
            <w:tcBorders>
              <w:top w:val="single" w:sz="8" w:color="auto"/>
              <w:bottom w:val="single" w:sz="8" w:color="auto"/>
            </w:tcBorders>
          </w:tcPr>
          <w:p>
            <w:pPr>
              <w:jc w:val="right"/>
              <w:ind w:right="108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703,252</w:t>
            </w:r>
          </w:p>
        </w:tc>
        <w:tc>
          <w:tcPr>
            <w:tcW w:w="420" w:type="dxa"/>
            <w:vAlign w:val="bottom"/>
            <w:tcBorders>
              <w:top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614,608</w:t>
            </w:r>
          </w:p>
        </w:tc>
        <w:tc>
          <w:tcPr>
            <w:tcW w:w="10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5469890</wp:posOffset>
            </wp:positionH>
            <wp:positionV relativeFrom="paragraph">
              <wp:posOffset>-307975</wp:posOffset>
            </wp:positionV>
            <wp:extent cx="6286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-307975</wp:posOffset>
            </wp:positionV>
            <wp:extent cx="6286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-113665</wp:posOffset>
            </wp:positionV>
            <wp:extent cx="6286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-113665</wp:posOffset>
            </wp:positionV>
            <wp:extent cx="6286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67" w:lineRule="exact"/>
        <w:rPr>
          <w:sz w:val="20"/>
          <w:szCs w:val="20"/>
          <w:color w:val="auto"/>
        </w:rPr>
      </w:pPr>
    </w:p>
    <w:p>
      <w:pPr>
        <w:ind w:right="60" w:firstLine="512"/>
        <w:spacing w:after="0" w:line="279" w:lineRule="auto"/>
        <w:rPr>
          <w:sz w:val="20"/>
          <w:szCs w:val="20"/>
          <w:color w:val="auto"/>
        </w:rPr>
      </w:pPr>
      <w:r>
        <w:rPr>
          <w:rFonts w:ascii="Times New Roman" w:cs="Times New Roman" w:eastAsia="Times New Roman" w:hAnsi="Times New Roman"/>
          <w:sz w:val="12"/>
          <w:szCs w:val="12"/>
          <w:color w:val="auto"/>
        </w:rPr>
        <w:t>The Company had no assets classified as held for sale as of December 31, 2024. Operating equipment of $2,227 was classified as held for sale, excluded from property and equipment, as of December 31, 2023. Other (gains) losses in the consolidated statement of operations for the year ended December 31, 2023 includes $886 of loss related to the retirement of assets which were classified as held for sale as of December 31, 2023.</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Depreciation expense was $42.7 million, $42.5 million and $46.3 million, for the years ended December 31, 2024, 2023 and 2022, respectively.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4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color w:val="auto"/>
        </w:rPr>
        <w:t>4. LEASES</w:t>
      </w:r>
    </w:p>
    <w:p>
      <w:pPr>
        <w:spacing w:after="0" w:line="82" w:lineRule="exact"/>
        <w:rPr>
          <w:sz w:val="20"/>
          <w:szCs w:val="20"/>
          <w:color w:val="auto"/>
        </w:rPr>
      </w:pPr>
    </w:p>
    <w:p>
      <w:pPr>
        <w:ind w:right="80" w:firstLine="512"/>
        <w:spacing w:after="0" w:line="257" w:lineRule="auto"/>
        <w:rPr>
          <w:sz w:val="20"/>
          <w:szCs w:val="20"/>
          <w:color w:val="auto"/>
        </w:rPr>
      </w:pPr>
      <w:r>
        <w:rPr>
          <w:rFonts w:ascii="Times New Roman" w:cs="Times New Roman" w:eastAsia="Times New Roman" w:hAnsi="Times New Roman"/>
          <w:sz w:val="12"/>
          <w:szCs w:val="12"/>
          <w:color w:val="auto"/>
        </w:rPr>
        <w:t>The Company leases certain operating equipment and office facilities under long-term operating leases expiring at various dates through 2030. Leases with an initial term greater than twelve months are recorded on the Company’s balance sheet as an operating or finance lease asset and operating or finance lease liability. Operating leases are included in operating lease assets, operating lease liabilities, and operating lease liabilities noncurrent in the Company's consolidated balance sheets. Finance leases are included in other assets, lease liabilities, and other in the Company's consolidated balance sheets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w:t>
      </w:r>
    </w:p>
    <w:p>
      <w:pPr>
        <w:spacing w:after="0" w:line="53" w:lineRule="exact"/>
        <w:rPr>
          <w:sz w:val="20"/>
          <w:szCs w:val="20"/>
          <w:color w:val="auto"/>
        </w:rPr>
      </w:pPr>
    </w:p>
    <w:p>
      <w:pPr>
        <w:jc w:val="both"/>
        <w:ind w:right="60" w:firstLine="512"/>
        <w:spacing w:after="0" w:line="260" w:lineRule="auto"/>
        <w:rPr>
          <w:sz w:val="20"/>
          <w:szCs w:val="20"/>
          <w:color w:val="auto"/>
        </w:rPr>
      </w:pPr>
      <w:r>
        <w:rPr>
          <w:rFonts w:ascii="Times New Roman" w:cs="Times New Roman" w:eastAsia="Times New Roman" w:hAnsi="Times New Roman"/>
          <w:sz w:val="12"/>
          <w:szCs w:val="12"/>
          <w:color w:val="auto"/>
        </w:rPr>
        <w:t>The equipment leases contain renewal or purchase options that specify prices at the then fair value upon the expiration of the lease terms. The leases also contain default provisions that are triggered by an acceleration of debt maturity under the terms of the Company’s ABL Credit Agreement, or, in certain instances, cross default to other equipment leases and certain lease arrangements require that the Company maintain certain financial ratios comparable to those required by its ABL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22" w:lineRule="exact"/>
        <w:rPr>
          <w:sz w:val="20"/>
          <w:szCs w:val="20"/>
          <w:color w:val="auto"/>
        </w:rPr>
      </w:pPr>
    </w:p>
    <w:p>
      <w:pPr>
        <w:ind w:right="100" w:firstLine="512"/>
        <w:spacing w:after="0" w:line="265" w:lineRule="auto"/>
        <w:rPr>
          <w:sz w:val="20"/>
          <w:szCs w:val="20"/>
          <w:color w:val="auto"/>
        </w:rPr>
      </w:pPr>
      <w:r>
        <w:rPr>
          <w:rFonts w:ascii="Times New Roman" w:cs="Times New Roman" w:eastAsia="Times New Roman" w:hAnsi="Times New Roman"/>
          <w:sz w:val="12"/>
          <w:szCs w:val="12"/>
          <w:color w:val="auto"/>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spacing w:after="0" w:line="119" w:lineRule="exact"/>
        <w:rPr>
          <w:sz w:val="20"/>
          <w:szCs w:val="20"/>
          <w:color w:val="auto"/>
        </w:rPr>
      </w:pPr>
    </w:p>
    <w:p>
      <w:pPr>
        <w:ind w:right="20" w:firstLine="512"/>
        <w:spacing w:after="0" w:line="260" w:lineRule="auto"/>
        <w:rPr>
          <w:sz w:val="20"/>
          <w:szCs w:val="20"/>
          <w:color w:val="auto"/>
        </w:rPr>
      </w:pPr>
      <w:r>
        <w:rPr>
          <w:rFonts w:ascii="Times New Roman" w:cs="Times New Roman" w:eastAsia="Times New Roman" w:hAnsi="Times New Roman"/>
          <w:sz w:val="12"/>
          <w:szCs w:val="12"/>
          <w:color w:val="auto"/>
        </w:rPr>
        <w:t>On November 1, 2023, the Company entered into a purchase agreement to sell certain vessels (the “Property”) for gross cash proceeds of $29.5 million. Concurrent with the sale of these certain vessels, the Company entered into a seven-year lease at an annual rental rate of approximately $4.2 million. The Company determined that the transactions represented a sale and leaseback and, accordingly, established new operating lease right of use assets and operating lease liabilities. The lease did not include an implicit rate of return; therefore, the Company used an incremental borrowing rate. Under the leaseback agreement, the Company has the option to i) purchase the Property after six years with an early buyout option; ii) purchase the Property at the end of the lease at the then fair value; iii) renew the lease at the then fair market value or iv) return the Property to the purchaser.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 costs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Company’s lease costs are recorded in costs of contract revenues and general and administrative expenses. For the years ended December 31, 2024, 2023 and 2022, respectively, lease costs are as follows: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 terms and commitments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Operating lease costs</w:t>
            </w:r>
          </w:p>
        </w:tc>
        <w:tc>
          <w:tcPr>
            <w:tcW w:w="13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382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34,663</w:t>
            </w:r>
          </w:p>
        </w:tc>
        <w:tc>
          <w:tcPr>
            <w:tcW w:w="340" w:type="dxa"/>
            <w:vAlign w:val="bottom"/>
          </w:tcPr>
          <w:p>
            <w:pPr>
              <w:spacing w:after="0"/>
              <w:rPr>
                <w:sz w:val="11"/>
                <w:szCs w:val="11"/>
                <w:color w:val="auto"/>
              </w:rPr>
            </w:pPr>
          </w:p>
        </w:tc>
        <w:tc>
          <w:tcPr>
            <w:tcW w:w="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29,945</w:t>
            </w:r>
          </w:p>
        </w:tc>
        <w:tc>
          <w:tcPr>
            <w:tcW w:w="340" w:type="dxa"/>
            <w:vAlign w:val="bottom"/>
          </w:tcPr>
          <w:p>
            <w:pPr>
              <w:spacing w:after="0"/>
              <w:rPr>
                <w:sz w:val="11"/>
                <w:szCs w:val="11"/>
                <w:color w:val="auto"/>
              </w:rPr>
            </w:pPr>
          </w:p>
        </w:tc>
        <w:tc>
          <w:tcPr>
            <w:tcW w:w="18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24,224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3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Finance lease costs</w:t>
            </w:r>
          </w:p>
        </w:tc>
        <w:tc>
          <w:tcPr>
            <w:tcW w:w="1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38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Amortization of finance lease assets</w:t>
            </w: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3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Interest expense on lease liabilities</w:t>
            </w:r>
          </w:p>
        </w:tc>
        <w:tc>
          <w:tcPr>
            <w:tcW w:w="1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Short-term lease costs</w:t>
            </w:r>
          </w:p>
        </w:tc>
        <w:tc>
          <w:tcPr>
            <w:tcW w:w="1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61,139</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68,119</w:t>
            </w: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94,842</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20" w:type="dxa"/>
            <w:vAlign w:val="bottom"/>
          </w:tcPr>
          <w:p>
            <w:pPr>
              <w:spacing w:after="0"/>
              <w:rPr>
                <w:sz w:val="12"/>
                <w:szCs w:val="12"/>
                <w:color w:val="auto"/>
              </w:rPr>
            </w:pPr>
          </w:p>
        </w:tc>
        <w:tc>
          <w:tcPr>
            <w:tcW w:w="3820" w:type="dxa"/>
            <w:vAlign w:val="bottom"/>
            <w:tcBorders>
              <w:bottom w:val="single" w:sz="8" w:color="CFF0FC"/>
            </w:tcBorders>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lease cost</w:t>
            </w:r>
          </w:p>
        </w:tc>
        <w:tc>
          <w:tcPr>
            <w:tcW w:w="13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97,974</w:t>
            </w:r>
          </w:p>
        </w:tc>
        <w:tc>
          <w:tcPr>
            <w:tcW w:w="3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98,183</w:t>
            </w:r>
          </w:p>
        </w:tc>
        <w:tc>
          <w:tcPr>
            <w:tcW w:w="3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119,066</w:t>
            </w:r>
          </w:p>
        </w:tc>
        <w:tc>
          <w:tcPr>
            <w:tcW w:w="100" w:type="dxa"/>
            <w:vAlign w:val="bottom"/>
            <w:tcBorders>
              <w:bottom w:val="single" w:sz="8" w:color="CFF0FC"/>
            </w:tcBorders>
            <w:shd w:val="clear" w:color="auto" w:fill="CFF0FC"/>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7"/>
          </w:tcPr>
          <w:p>
            <w:pPr>
              <w:jc w:val="right"/>
              <w:spacing w:after="0"/>
              <w:rPr>
                <w:sz w:val="20"/>
                <w:szCs w:val="20"/>
                <w:color w:val="auto"/>
              </w:rPr>
            </w:pPr>
            <w:r>
              <w:rPr>
                <w:rFonts w:ascii="Times New Roman" w:cs="Times New Roman" w:eastAsia="Times New Roman" w:hAnsi="Times New Roman"/>
                <w:sz w:val="12"/>
                <w:szCs w:val="12"/>
                <w:color w:val="auto"/>
              </w:rPr>
              <w:t>As recorded on the balance sheet, the Company’s maturity analysis of its operating lease liabilities as of December 31, 2024 is as follows:</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Operating</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Finance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4540" w:type="dxa"/>
            <w:vAlign w:val="bottom"/>
            <w:gridSpan w:val="3"/>
            <w:vMerge w:val="restart"/>
          </w:tcPr>
          <w:p>
            <w:pPr>
              <w:ind w:left="1480"/>
              <w:spacing w:after="0"/>
              <w:rPr>
                <w:sz w:val="20"/>
                <w:szCs w:val="20"/>
                <w:color w:val="auto"/>
              </w:rPr>
            </w:pPr>
            <w:r>
              <w:rPr>
                <w:rFonts w:ascii="Times New Roman" w:cs="Times New Roman" w:eastAsia="Times New Roman" w:hAnsi="Times New Roman"/>
                <w:sz w:val="12"/>
                <w:szCs w:val="12"/>
                <w:color w:val="auto"/>
              </w:rPr>
              <w:t>2025</w:t>
            </w: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54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50,484</w:t>
            </w:r>
          </w:p>
        </w:tc>
        <w:tc>
          <w:tcPr>
            <w:tcW w:w="320" w:type="dxa"/>
            <w:vAlign w:val="bottom"/>
          </w:tcPr>
          <w:p>
            <w:pPr>
              <w:spacing w:after="0"/>
              <w:rPr>
                <w:sz w:val="11"/>
                <w:szCs w:val="11"/>
                <w:color w:val="auto"/>
              </w:rPr>
            </w:pPr>
          </w:p>
        </w:tc>
        <w:tc>
          <w:tcPr>
            <w:tcW w:w="44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2,089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60" w:type="dxa"/>
            <w:vAlign w:val="bottom"/>
            <w:gridSpan w:val="2"/>
          </w:tcPr>
          <w:p>
            <w:pPr>
              <w:spacing w:after="0"/>
              <w:rPr>
                <w:sz w:val="12"/>
                <w:szCs w:val="12"/>
                <w:color w:val="auto"/>
              </w:rPr>
            </w:pPr>
          </w:p>
        </w:tc>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1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19,718</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80" w:type="dxa"/>
            <w:vAlign w:val="bottom"/>
            <w:shd w:val="clear" w:color="auto" w:fill="CFF0FC"/>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gridSpan w:val="2"/>
          </w:tcPr>
          <w:p>
            <w:pPr>
              <w:spacing w:after="0"/>
              <w:rPr>
                <w:sz w:val="12"/>
                <w:szCs w:val="12"/>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2027</w:t>
            </w: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13,986</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gridSpan w:val="2"/>
          </w:tcPr>
          <w:p>
            <w:pPr>
              <w:spacing w:after="0"/>
              <w:rPr>
                <w:sz w:val="12"/>
                <w:szCs w:val="12"/>
                <w:color w:val="auto"/>
              </w:rPr>
            </w:pPr>
          </w:p>
        </w:tc>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2028</w:t>
            </w:r>
          </w:p>
        </w:tc>
        <w:tc>
          <w:tcPr>
            <w:tcW w:w="1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9,663</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shd w:val="clear" w:color="auto" w:fill="CFF0FC"/>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gridSpan w:val="2"/>
          </w:tcPr>
          <w:p>
            <w:pPr>
              <w:spacing w:after="0"/>
              <w:rPr>
                <w:sz w:val="12"/>
                <w:szCs w:val="12"/>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2029</w:t>
            </w: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7,676</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Thereafter</w:t>
            </w:r>
          </w:p>
        </w:tc>
        <w:tc>
          <w:tcPr>
            <w:tcW w:w="1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4,732</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80" w:type="dxa"/>
            <w:vAlign w:val="bottom"/>
            <w:tcBorders>
              <w:top w:val="single" w:sz="8" w:color="CFF0FC"/>
            </w:tcBorders>
          </w:tcPr>
          <w:p>
            <w:pPr>
              <w:ind w:left="80"/>
              <w:spacing w:after="0" w:line="133" w:lineRule="exact"/>
              <w:rPr>
                <w:sz w:val="20"/>
                <w:szCs w:val="20"/>
                <w:color w:val="auto"/>
              </w:rPr>
            </w:pPr>
            <w:r>
              <w:rPr>
                <w:rFonts w:ascii="Times New Roman" w:cs="Times New Roman" w:eastAsia="Times New Roman" w:hAnsi="Times New Roman"/>
                <w:sz w:val="12"/>
                <w:szCs w:val="12"/>
                <w:color w:val="auto"/>
              </w:rPr>
              <w:t>Minimum lease payments</w:t>
            </w:r>
          </w:p>
        </w:tc>
        <w:tc>
          <w:tcPr>
            <w:tcW w:w="13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520" w:type="dxa"/>
            <w:vAlign w:val="bottom"/>
            <w:tcBorders>
              <w:top w:val="single" w:sz="8" w:color="CFF0FC"/>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106,259</w:t>
            </w:r>
          </w:p>
        </w:tc>
        <w:tc>
          <w:tcPr>
            <w:tcW w:w="320" w:type="dxa"/>
            <w:vAlign w:val="bottom"/>
            <w:tcBorders>
              <w:top w:val="single" w:sz="8" w:color="CFF0FC"/>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4,840</w:t>
            </w:r>
          </w:p>
        </w:tc>
        <w:tc>
          <w:tcPr>
            <w:tcW w:w="80" w:type="dxa"/>
            <w:vAlign w:val="bottom"/>
            <w:tcBorders>
              <w:top w:val="single" w:sz="8" w:color="CFF0FC"/>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Imputed interest</w:t>
            </w:r>
          </w:p>
        </w:tc>
        <w:tc>
          <w:tcPr>
            <w:tcW w:w="1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(8,559 )</w:t>
            </w:r>
          </w:p>
        </w:tc>
        <w:tc>
          <w:tcPr>
            <w:tcW w:w="4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(546 )</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2"/>
                <w:szCs w:val="12"/>
                <w:color w:val="auto"/>
              </w:rPr>
              <w:t>Present value of minimum lease liabilities</w:t>
            </w:r>
          </w:p>
        </w:tc>
        <w:tc>
          <w:tcPr>
            <w:tcW w:w="1300" w:type="dxa"/>
            <w:vAlign w:val="bottom"/>
            <w:tcBorders>
              <w:top w:val="single" w:sz="8" w:color="CFF0FC"/>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520" w:type="dxa"/>
            <w:vAlign w:val="bottom"/>
            <w:tcBorders>
              <w:top w:val="single" w:sz="8" w:color="CFF0FC"/>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97,700</w:t>
            </w:r>
          </w:p>
        </w:tc>
        <w:tc>
          <w:tcPr>
            <w:tcW w:w="320" w:type="dxa"/>
            <w:vAlign w:val="bottom"/>
            <w:tcBorders>
              <w:top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4,294</w:t>
            </w:r>
          </w:p>
        </w:tc>
        <w:tc>
          <w:tcPr>
            <w:tcW w:w="80" w:type="dxa"/>
            <w:vAlign w:val="bottom"/>
            <w:tcBorders>
              <w:top w:val="single" w:sz="8" w:color="CFF0FC"/>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-1679575</wp:posOffset>
            </wp:positionV>
            <wp:extent cx="6286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4544060</wp:posOffset>
            </wp:positionH>
            <wp:positionV relativeFrom="paragraph">
              <wp:posOffset>-1668145</wp:posOffset>
            </wp:positionV>
            <wp:extent cx="6286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-1679575</wp:posOffset>
            </wp:positionV>
            <wp:extent cx="5715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-1668145</wp:posOffset>
            </wp:positionV>
            <wp:extent cx="5715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-1679575</wp:posOffset>
            </wp:positionV>
            <wp:extent cx="571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-1668145</wp:posOffset>
            </wp:positionV>
            <wp:extent cx="5715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-908050</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-908050</wp:posOffset>
            </wp:positionV>
            <wp:extent cx="5143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-719455</wp:posOffset>
            </wp:positionV>
            <wp:extent cx="514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-719455</wp:posOffset>
            </wp:positionV>
            <wp:extent cx="514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44" w:right="29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2"/>
          <w:szCs w:val="12"/>
          <w:color w:val="auto"/>
        </w:rPr>
        <w:t>As most of the Company’s leases do not provide an implicit rate, the Company used its incremental borrowing rate based on the information available at commencement date in determining the present value of lease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payments.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Additional information related to the Company’s leases as of December 31, 2024, 2023 and 2022 respectively,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960" w:type="dxa"/>
            <w:vAlign w:val="bottom"/>
            <w:gridSpan w:val="3"/>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4"/>
          </w:tcPr>
          <w:p>
            <w:pPr>
              <w:ind w:left="440"/>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Weighted average remaining lease term (years)</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3"/>
              </w:rPr>
              <w:t>3.2</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4.5</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9"/>
              </w:rPr>
              <w:t>4.2</w:t>
            </w:r>
          </w:p>
        </w:tc>
        <w:tc>
          <w:tcPr>
            <w:tcW w:w="120" w:type="dxa"/>
            <w:vAlign w:val="bottom"/>
            <w:shd w:val="clear" w:color="auto" w:fill="CFF0FC"/>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6.5 %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5.6 %</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76"/>
              </w:rPr>
              <w:t>4.7 %</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40" w:type="dxa"/>
            <w:vAlign w:val="bottom"/>
            <w:gridSpan w:val="2"/>
            <w:shd w:val="clear" w:color="auto" w:fill="CFF0FC"/>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Finance</w:t>
            </w:r>
          </w:p>
        </w:tc>
        <w:tc>
          <w:tcPr>
            <w:tcW w:w="10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Weighted average remaining lease term (years)</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3"/>
              </w:rPr>
              <w:t>2.3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2"/>
              </w:rPr>
              <w: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7.9 %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7.9 %</w:t>
            </w: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w w:val="72"/>
              </w:rPr>
              <w: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6200" w:type="dxa"/>
            <w:vAlign w:val="bottom"/>
            <w:gridSpan w:val="7"/>
          </w:tcPr>
          <w:p>
            <w:pPr>
              <w:ind w:left="40"/>
              <w:spacing w:after="0"/>
              <w:rPr>
                <w:sz w:val="20"/>
                <w:szCs w:val="20"/>
                <w:color w:val="auto"/>
              </w:rPr>
            </w:pPr>
            <w:r>
              <w:rPr>
                <w:rFonts w:ascii="Times New Roman" w:cs="Times New Roman" w:eastAsia="Times New Roman" w:hAnsi="Times New Roman"/>
                <w:sz w:val="12"/>
                <w:szCs w:val="12"/>
                <w:color w:val="auto"/>
              </w:rPr>
              <w:t>Supplemental balance sheet information related to finance leases as of December 31, 2024 and 2023 respectively, is as follows: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rPr>
              <w:t>Finance lease assets:</w:t>
            </w: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4"/>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w w:val="96"/>
              </w:rPr>
              <w:t>6,020</w:t>
            </w:r>
          </w:p>
        </w:tc>
        <w:tc>
          <w:tcPr>
            <w:tcW w:w="54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3,757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Accumulated depreciation</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900" w:type="dxa"/>
            <w:vAlign w:val="bottom"/>
            <w:gridSpan w:val="5"/>
            <w:shd w:val="clear" w:color="auto" w:fill="CFF0FC"/>
          </w:tcPr>
          <w:p>
            <w:pPr>
              <w:jc w:val="right"/>
              <w:ind w:right="284"/>
              <w:spacing w:after="0"/>
              <w:rPr>
                <w:sz w:val="20"/>
                <w:szCs w:val="20"/>
                <w:color w:val="auto"/>
              </w:rPr>
            </w:pPr>
            <w:r>
              <w:rPr>
                <w:rFonts w:ascii="Times New Roman" w:cs="Times New Roman" w:eastAsia="Times New Roman" w:hAnsi="Times New Roman"/>
                <w:sz w:val="12"/>
                <w:szCs w:val="12"/>
                <w:color w:val="auto"/>
              </w:rPr>
              <w:t>(1,887 )</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18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(95 )</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0" w:type="dxa"/>
            <w:vAlign w:val="bottom"/>
            <w:tcBorders>
              <w:top w:val="single" w:sz="8" w:color="CFF0FC"/>
            </w:tcBorders>
            <w:gridSpan w:val="3"/>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other noncurrent assets</w:t>
            </w:r>
          </w:p>
        </w:tc>
        <w:tc>
          <w:tcPr>
            <w:tcW w:w="100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260" w:type="dxa"/>
            <w:vAlign w:val="bottom"/>
            <w:tcBorders>
              <w:top w:val="single" w:sz="8" w:color="CFF0FC"/>
            </w:tcBorders>
            <w:gridSpan w:val="3"/>
          </w:tcPr>
          <w:p>
            <w:pPr>
              <w:spacing w:after="0"/>
              <w:rPr>
                <w:sz w:val="12"/>
                <w:szCs w:val="12"/>
                <w:color w:val="auto"/>
              </w:rPr>
            </w:pPr>
          </w:p>
        </w:tc>
        <w:tc>
          <w:tcPr>
            <w:tcW w:w="20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4"/>
          </w:tcPr>
          <w:p>
            <w:pPr>
              <w:ind w:left="220"/>
              <w:spacing w:after="0" w:line="133" w:lineRule="exact"/>
              <w:rPr>
                <w:sz w:val="20"/>
                <w:szCs w:val="20"/>
                <w:color w:val="auto"/>
              </w:rPr>
            </w:pPr>
            <w:r>
              <w:rPr>
                <w:rFonts w:ascii="Times New Roman" w:cs="Times New Roman" w:eastAsia="Times New Roman" w:hAnsi="Times New Roman"/>
                <w:sz w:val="12"/>
                <w:szCs w:val="12"/>
                <w:color w:val="auto"/>
                <w:w w:val="96"/>
              </w:rPr>
              <w:t>4,133</w:t>
            </w:r>
          </w:p>
        </w:tc>
        <w:tc>
          <w:tcPr>
            <w:tcW w:w="420" w:type="dxa"/>
            <w:vAlign w:val="bottom"/>
            <w:tcBorders>
              <w:top w:val="single" w:sz="8" w:color="CFF0FC"/>
            </w:tcBorders>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3,662</w:t>
            </w:r>
          </w:p>
        </w:tc>
        <w:tc>
          <w:tcPr>
            <w:tcW w:w="100" w:type="dxa"/>
            <w:vAlign w:val="bottom"/>
            <w:tcBorders>
              <w:top w:val="single" w:sz="8" w:color="CFF0FC"/>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shd w:val="clear" w:color="auto" w:fill="CFF0FC"/>
          </w:tcPr>
          <w:p>
            <w:pPr>
              <w:spacing w:after="0"/>
              <w:rPr>
                <w:sz w:val="12"/>
                <w:szCs w:val="12"/>
                <w:color w:val="auto"/>
              </w:rPr>
            </w:pPr>
          </w:p>
        </w:tc>
        <w:tc>
          <w:tcPr>
            <w:tcW w:w="30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Finance lease liabilities:</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Accrued expenses</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00" w:type="dxa"/>
            <w:vAlign w:val="bottom"/>
            <w:gridSpan w:val="4"/>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w w:val="96"/>
              </w:rPr>
              <w:t>1,829</w:t>
            </w: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2"/>
                <w:szCs w:val="12"/>
                <w:color w:val="auto"/>
                <w:w w:val="96"/>
              </w:rPr>
              <w:t>2,465</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2,626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0" w:type="dxa"/>
            <w:vAlign w:val="bottom"/>
            <w:tcBorders>
              <w:bottom w:val="single" w:sz="8" w:color="CFF0FC"/>
            </w:tcBorders>
            <w:gridSpan w:val="3"/>
            <w:shd w:val="clear" w:color="auto" w:fill="CFF0FC"/>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finance lease liabilities</w:t>
            </w:r>
          </w:p>
        </w:tc>
        <w:tc>
          <w:tcPr>
            <w:tcW w:w="10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gridSpan w:val="3"/>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gridSpan w:val="4"/>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w w:val="96"/>
              </w:rPr>
              <w:t>4,294</w:t>
            </w:r>
          </w:p>
        </w:tc>
        <w:tc>
          <w:tcPr>
            <w:tcW w:w="420" w:type="dxa"/>
            <w:vAlign w:val="bottom"/>
            <w:tcBorders>
              <w:bottom w:val="single" w:sz="8" w:color="CFF0FC"/>
            </w:tcBorders>
            <w:gridSpan w:val="2"/>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right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3,673</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gridSpan w:val="13"/>
          </w:tcPr>
          <w:p>
            <w:pPr>
              <w:ind w:left="40"/>
              <w:spacing w:after="0"/>
              <w:rPr>
                <w:sz w:val="20"/>
                <w:szCs w:val="20"/>
                <w:color w:val="auto"/>
              </w:rPr>
            </w:pPr>
            <w:r>
              <w:rPr>
                <w:rFonts w:ascii="Times New Roman" w:cs="Times New Roman" w:eastAsia="Times New Roman" w:hAnsi="Times New Roman"/>
                <w:sz w:val="12"/>
                <w:szCs w:val="12"/>
                <w:color w:val="auto"/>
              </w:rPr>
              <w:t>Supplemental cash flow information related to leases during the years ended December 31, 2024, 2023 and 2022 respectively, is as follows: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4240" w:type="dxa"/>
            <w:vAlign w:val="bottom"/>
            <w:gridSpan w:val="4"/>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Operating cash flows from operating leases</w:t>
            </w:r>
          </w:p>
        </w:tc>
        <w:tc>
          <w:tcPr>
            <w:tcW w:w="1960" w:type="dxa"/>
            <w:vAlign w:val="bottom"/>
            <w:gridSpan w:val="3"/>
            <w:shd w:val="clear" w:color="auto" w:fill="CFF0FC"/>
          </w:tcPr>
          <w:p>
            <w:pPr>
              <w:jc w:val="right"/>
              <w:ind w:right="692"/>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6"/>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(31,970 )</w:t>
            </w:r>
          </w:p>
        </w:tc>
        <w:tc>
          <w:tcPr>
            <w:tcW w:w="760" w:type="dxa"/>
            <w:vAlign w:val="bottom"/>
            <w:gridSpan w:val="2"/>
            <w:shd w:val="clear" w:color="auto" w:fill="CFF0FC"/>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(29,016 )</w:t>
            </w:r>
          </w:p>
        </w:tc>
        <w:tc>
          <w:tcPr>
            <w:tcW w:w="460" w:type="dxa"/>
            <w:vAlign w:val="bottom"/>
            <w:tcBorders>
              <w:right w:val="single" w:sz="8" w:color="CFF0FC"/>
            </w:tcBorders>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5"/>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(22,775 )</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Operating cash flows from finance leases</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6"/>
          </w:tcPr>
          <w:p>
            <w:pPr>
              <w:jc w:val="right"/>
              <w:ind w:right="40"/>
              <w:spacing w:after="0"/>
              <w:rPr>
                <w:sz w:val="20"/>
                <w:szCs w:val="20"/>
                <w:color w:val="auto"/>
              </w:rPr>
            </w:pPr>
            <w:r>
              <w:rPr>
                <w:rFonts w:ascii="Times New Roman" w:cs="Times New Roman" w:eastAsia="Times New Roman" w:hAnsi="Times New Roman"/>
                <w:sz w:val="12"/>
                <w:szCs w:val="12"/>
                <w:color w:val="auto"/>
              </w:rPr>
              <w:t>(380 )</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(24 )</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Financing cash flows from finance leases</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8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(1,643 )</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(84 )</w:t>
            </w: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Lease liabilities arising from obtaining new operating lease assets</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39,539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24,808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57,618</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Lease liabilities arising from obtaining new finance lease assets</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2,264</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3,757</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470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5. ACCRUED EXPENSES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Accrued expenses at December 31, 2024 and 2023 were as follows: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5"/>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Payroll and employee benefits</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20,140</w:t>
            </w:r>
          </w:p>
        </w:tc>
        <w:tc>
          <w:tcPr>
            <w:tcW w:w="4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11,986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Insurance</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13,832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12,521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Interest</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1,783</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2,388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Fuel hedge contracts</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Income and other taxes</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1,900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Finance lease liabilities</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1,829</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Contract reserves</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3,964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accrued expenses</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60" w:type="dxa"/>
            <w:vAlign w:val="bottom"/>
            <w:gridSpan w:val="4"/>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41,640</w:t>
            </w:r>
          </w:p>
        </w:tc>
        <w:tc>
          <w:tcPr>
            <w:tcW w:w="460" w:type="dxa"/>
            <w:vAlign w:val="bottom"/>
            <w:gridSpan w:val="3"/>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tcBorders>
              <w:right w:val="single" w:sz="8" w:color="CFF0FC"/>
            </w:tcBorders>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37,361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64</w:t>
            </w:r>
          </w:p>
        </w:tc>
        <w:tc>
          <w:tcPr>
            <w:tcW w:w="8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5464175</wp:posOffset>
            </wp:positionH>
            <wp:positionV relativeFrom="paragraph">
              <wp:posOffset>-3456940</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-3456940</wp:posOffset>
            </wp:positionV>
            <wp:extent cx="6286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-2879725</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-2868295</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-2879725</wp:posOffset>
            </wp:positionV>
            <wp:extent cx="6286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-2868295</wp:posOffset>
            </wp:positionV>
            <wp:extent cx="6286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-622300</wp:posOffset>
            </wp:positionV>
            <wp:extent cx="4572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-610870</wp:posOffset>
            </wp:positionV>
            <wp:extent cx="4572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-622300</wp:posOffset>
            </wp:positionV>
            <wp:extent cx="4572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-610870</wp:posOffset>
            </wp:positionV>
            <wp:extent cx="4572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94" w:right="299" w:bottom="1440" w:gutter="0" w:footer="0" w:header="0"/>
        </w:sectPr>
      </w:pPr>
    </w:p>
    <w:bookmarkStart w:id="66" w:name="page67"/>
    <w:bookmarkEnd w:id="66"/>
    <w:p>
      <w:pPr>
        <w:ind w:left="8"/>
        <w:spacing w:after="0"/>
        <w:rPr>
          <w:sz w:val="20"/>
          <w:szCs w:val="20"/>
          <w:color w:val="auto"/>
        </w:rPr>
      </w:pPr>
      <w:r>
        <w:rPr>
          <w:rFonts w:ascii="Times New Roman" w:cs="Times New Roman" w:eastAsia="Times New Roman" w:hAnsi="Times New Roman"/>
          <w:sz w:val="12"/>
          <w:szCs w:val="12"/>
          <w:b w:val="1"/>
          <w:bCs w:val="1"/>
          <w:color w:val="auto"/>
        </w:rPr>
        <w:t>6. LONG-TERM DEBT</w:t>
      </w:r>
    </w:p>
    <w:p>
      <w:pPr>
        <w:spacing w:after="0" w:line="82"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2"/>
          <w:szCs w:val="12"/>
          <w:color w:val="auto"/>
        </w:rPr>
        <w:t>Long-term debt at December 31, 2024 and 2023 were as follows:</w:t>
      </w:r>
    </w:p>
    <w:p>
      <w:pPr>
        <w:spacing w:after="0" w:line="144" w:lineRule="exact"/>
        <w:rPr>
          <w:sz w:val="20"/>
          <w:szCs w:val="20"/>
          <w:color w:val="auto"/>
        </w:rPr>
      </w:pPr>
    </w:p>
    <w:tbl>
      <w:tblPr>
        <w:tblLayout w:type="fixed"/>
        <w:tblInd w:w="1708" w:type="dxa"/>
        <w:tblCellMar>
          <w:top w:w="0" w:type="dxa"/>
          <w:left w:w="0" w:type="dxa"/>
          <w:bottom w:w="0" w:type="dxa"/>
          <w:right w:w="0" w:type="dxa"/>
        </w:tblCellMar>
      </w:tblPr>
      <w:tr>
        <w:trPr>
          <w:trHeight w:val="115"/>
        </w:trPr>
        <w:tc>
          <w:tcPr>
            <w:tcW w:w="55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Revolving credit facility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540" w:type="dxa"/>
            <w:vAlign w:val="bottom"/>
            <w:vMerge w:val="continue"/>
          </w:tcPr>
          <w:p>
            <w:pPr>
              <w:spacing w:after="0"/>
              <w:rPr>
                <w:sz w:val="11"/>
                <w:szCs w:val="11"/>
                <w:color w:val="auto"/>
              </w:rPr>
            </w:pPr>
          </w:p>
        </w:tc>
        <w:tc>
          <w:tcPr>
            <w:tcW w:w="700" w:type="dxa"/>
            <w:vAlign w:val="bottom"/>
          </w:tcPr>
          <w:p>
            <w:pPr>
              <w:jc w:val="right"/>
              <w:ind w:right="56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35,000</w:t>
            </w:r>
          </w:p>
        </w:tc>
        <w:tc>
          <w:tcPr>
            <w:tcW w:w="200" w:type="dxa"/>
            <w:vAlign w:val="bottom"/>
          </w:tcPr>
          <w:p>
            <w:pPr>
              <w:spacing w:after="0"/>
              <w:rPr>
                <w:sz w:val="11"/>
                <w:szCs w:val="11"/>
                <w:color w:val="auto"/>
              </w:rPr>
            </w:pPr>
          </w:p>
        </w:tc>
        <w:tc>
          <w:tcPr>
            <w:tcW w:w="22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Second lien credit agreement</w:t>
            </w:r>
          </w:p>
        </w:tc>
        <w:tc>
          <w:tcPr>
            <w:tcW w:w="7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90,597</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2029 Notes</w:t>
            </w: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322,619</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322,070</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54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700" w:type="dxa"/>
            <w:vAlign w:val="bottom"/>
            <w:tcBorders>
              <w:bottom w:val="single" w:sz="8" w:color="auto"/>
            </w:tcBorders>
            <w:shd w:val="clear" w:color="auto" w:fill="CFF0FC"/>
          </w:tcPr>
          <w:p>
            <w:pPr>
              <w:jc w:val="right"/>
              <w:ind w:right="56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448,216</w:t>
            </w: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412,070</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5332095</wp:posOffset>
            </wp:positionH>
            <wp:positionV relativeFrom="paragraph">
              <wp:posOffset>-16510</wp:posOffset>
            </wp:positionV>
            <wp:extent cx="4572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-5080</wp:posOffset>
            </wp:positionV>
            <wp:extent cx="4572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-113665</wp:posOffset>
            </wp:positionV>
            <wp:extent cx="4572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-16510</wp:posOffset>
            </wp:positionV>
            <wp:extent cx="4572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-5080</wp:posOffset>
            </wp:positionV>
            <wp:extent cx="4572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-113665</wp:posOffset>
            </wp:positionV>
            <wp:extent cx="4572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2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Second lien credit agreement</w:t>
      </w:r>
    </w:p>
    <w:p>
      <w:pPr>
        <w:spacing w:after="0" w:line="226" w:lineRule="exact"/>
        <w:rPr>
          <w:sz w:val="20"/>
          <w:szCs w:val="20"/>
          <w:color w:val="auto"/>
        </w:rPr>
      </w:pPr>
    </w:p>
    <w:p>
      <w:pPr>
        <w:ind w:left="8" w:right="140" w:firstLine="754"/>
        <w:spacing w:after="0" w:line="260" w:lineRule="auto"/>
        <w:rPr>
          <w:sz w:val="20"/>
          <w:szCs w:val="20"/>
          <w:color w:val="auto"/>
        </w:rPr>
      </w:pPr>
      <w:r>
        <w:rPr>
          <w:rFonts w:ascii="Times New Roman" w:cs="Times New Roman" w:eastAsia="Times New Roman" w:hAnsi="Times New Roman"/>
          <w:sz w:val="12"/>
          <w:szCs w:val="12"/>
          <w:color w:val="auto"/>
        </w:rPr>
        <w:t>On April 24, 2024, the Company, Great Lakes Dredge &amp; Dock Company, LLC, NASDI Holdings, LLC, Great Lakes Environmental &amp; Infrastructure Solutions, LLC, Great Lakes U.S. Fleet Management, LLC, and Drews Services LLC (collectively,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(“GCS”). The material terms of the Second Lien Credit Agreement are summarized below.</w:t>
      </w:r>
    </w:p>
    <w:p>
      <w:pPr>
        <w:spacing w:after="0" w:line="122" w:lineRule="exact"/>
        <w:rPr>
          <w:sz w:val="20"/>
          <w:szCs w:val="20"/>
          <w:color w:val="auto"/>
        </w:rPr>
      </w:pPr>
    </w:p>
    <w:p>
      <w:pPr>
        <w:ind w:left="8" w:right="80" w:firstLine="754"/>
        <w:spacing w:after="0" w:line="260" w:lineRule="auto"/>
        <w:rPr>
          <w:sz w:val="20"/>
          <w:szCs w:val="20"/>
          <w:color w:val="auto"/>
        </w:rPr>
      </w:pPr>
      <w:r>
        <w:rPr>
          <w:rFonts w:ascii="Times New Roman" w:cs="Times New Roman" w:eastAsia="Times New Roman" w:hAnsi="Times New Roman"/>
          <w:sz w:val="12"/>
          <w:szCs w:val="12"/>
          <w:color w:val="auto"/>
        </w:rPr>
        <w:t>The Second Lien Credit Agreement provides for (i) a senior secured second-lien term loan facility in an aggregate principal amount of $100.0 million, which was funded in full on the initial closing date (the “Closing Date”) and (ii) a senior secured second-lien delayed draw term loan facility in the aggregate principal amount up to $50.0 million, which is available to the Company for a period of 12 months following the Closing Date, subject to the terms and conditions as set forth therein. Net proceeds to the Company, after payment of original discount on the initial loans, a closing fee on the delayed draw facility and other debt issuance costs, including those associated with the ABL Amendment described below, were approximately $88.7 million.</w:t>
      </w:r>
    </w:p>
    <w:p>
      <w:pPr>
        <w:spacing w:after="0" w:line="122" w:lineRule="exact"/>
        <w:rPr>
          <w:sz w:val="20"/>
          <w:szCs w:val="20"/>
          <w:color w:val="auto"/>
        </w:rPr>
      </w:pPr>
    </w:p>
    <w:p>
      <w:pPr>
        <w:ind w:left="8" w:right="40" w:firstLine="754"/>
        <w:spacing w:after="0" w:line="277" w:lineRule="auto"/>
        <w:rPr>
          <w:sz w:val="20"/>
          <w:szCs w:val="20"/>
          <w:color w:val="auto"/>
        </w:rPr>
      </w:pPr>
      <w:r>
        <w:rPr>
          <w:rFonts w:ascii="Times New Roman" w:cs="Times New Roman" w:eastAsia="Times New Roman" w:hAnsi="Times New Roman"/>
          <w:sz w:val="11"/>
          <w:szCs w:val="11"/>
          <w:color w:val="auto"/>
        </w:rPr>
        <w:t>The Second Lien Credit Agreement contains customary representations, mandatory prepayments and affirmative and negative covenants, including a minimum liquidity covenant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For the first 18 months following the Closing Date, the Company may prepay all or a part of the loans under the Second Lien Credit Agreement by paying the principal amount of the loans to be prepaid plus a customary “make-whole” premium, subject to a make-whole carveout of up to $25.0 million (less the amount of any undrawn delayed draw term loan commitments at such time) at 103% with proceeds from a qualifying Maritime Administration (“MARAD”) financing. Thereafter, the Company may prepay all or a part of the loans under the Second Lien Credit Agreement by paying,</w:t>
      </w:r>
    </w:p>
    <w:p>
      <w:pPr>
        <w:spacing w:after="0" w:line="1" w:lineRule="exact"/>
        <w:rPr>
          <w:sz w:val="20"/>
          <w:szCs w:val="20"/>
          <w:color w:val="auto"/>
        </w:rPr>
      </w:pPr>
    </w:p>
    <w:p>
      <w:pPr>
        <w:ind w:left="8" w:right="120" w:hanging="8"/>
        <w:spacing w:after="0" w:line="260" w:lineRule="auto"/>
        <w:tabs>
          <w:tab w:leader="none" w:pos="151"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months 19-30 following the Closing Date, 103% of the principal amount of the loans to be prepaid, plus accrued and unpaid interest and (ii) in months 31 to 42 after the Closing Date, 101% of the principal amount of loans to be prepaid, plus accrued and unpaid interest.</w:t>
      </w:r>
    </w:p>
    <w:p>
      <w:pPr>
        <w:spacing w:after="0" w:line="122" w:lineRule="exact"/>
        <w:rPr>
          <w:sz w:val="20"/>
          <w:szCs w:val="20"/>
          <w:color w:val="auto"/>
        </w:rPr>
      </w:pPr>
    </w:p>
    <w:p>
      <w:pPr>
        <w:ind w:left="8" w:right="60" w:firstLine="754"/>
        <w:spacing w:after="0" w:line="260" w:lineRule="auto"/>
        <w:rPr>
          <w:sz w:val="20"/>
          <w:szCs w:val="20"/>
          <w:color w:val="auto"/>
        </w:rPr>
      </w:pPr>
      <w:r>
        <w:rPr>
          <w:rFonts w:ascii="Times New Roman" w:cs="Times New Roman" w:eastAsia="Times New Roman" w:hAnsi="Times New Roman"/>
          <w:sz w:val="12"/>
          <w:szCs w:val="12"/>
          <w:color w:val="auto"/>
        </w:rPr>
        <w:t>The Second Lien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Second Lien Credit Agreement are unconditionally guaranteed, on a joint and several basis, by each borrower (other than the Company) and subsidiary guarantor under the ABL Credit Agreement (as defined below), each existing or future issuer or guarantor under the indenture governing the Company’s 5.25% Senior Notes due 2029, and each other existing and subsequently acquired or formed material direct or indirect wholly-owned domestic subsidiary of the Company.</w:t>
      </w:r>
    </w:p>
    <w:p>
      <w:pPr>
        <w:spacing w:after="0" w:line="122" w:lineRule="exact"/>
        <w:rPr>
          <w:sz w:val="20"/>
          <w:szCs w:val="20"/>
          <w:color w:val="auto"/>
        </w:rPr>
      </w:pPr>
    </w:p>
    <w:p>
      <w:pPr>
        <w:ind w:left="8" w:right="120" w:firstLine="754"/>
        <w:spacing w:after="0" w:line="265" w:lineRule="auto"/>
        <w:rPr>
          <w:sz w:val="20"/>
          <w:szCs w:val="20"/>
          <w:color w:val="auto"/>
        </w:rPr>
      </w:pPr>
      <w:r>
        <w:rPr>
          <w:rFonts w:ascii="Times New Roman" w:cs="Times New Roman" w:eastAsia="Times New Roman" w:hAnsi="Times New Roman"/>
          <w:sz w:val="12"/>
          <w:szCs w:val="12"/>
          <w:color w:val="auto"/>
        </w:rPr>
        <w:t>The loans under the Second Lien Credit Agreement funded on the Closing Date were used to repay amounts outstanding under the ABL Credit Agreement, to pay fees and expenses associated with the transactions and for general corporate purposes, including to fund upcoming new build payments. The delayed draw portion of the term loans, if funded, will be used to fund future new build payments, ongoing working capital and for other general corporate purposes. The Second Lien Credit Agreement matures on the earlier of April 24, 2029 and the date that is ninety-one (91) days prior to the scheduled maturity date of the Company’s 5.25% Senior Notes due 2029.</w:t>
      </w:r>
    </w:p>
    <w:p>
      <w:pPr>
        <w:spacing w:after="0" w:line="119" w:lineRule="exact"/>
        <w:rPr>
          <w:sz w:val="20"/>
          <w:szCs w:val="20"/>
          <w:color w:val="auto"/>
        </w:rPr>
      </w:pPr>
    </w:p>
    <w:p>
      <w:pPr>
        <w:ind w:left="8" w:firstLine="754"/>
        <w:spacing w:after="0" w:line="265" w:lineRule="auto"/>
        <w:rPr>
          <w:sz w:val="20"/>
          <w:szCs w:val="20"/>
          <w:color w:val="auto"/>
        </w:rPr>
      </w:pPr>
      <w:r>
        <w:rPr>
          <w:rFonts w:ascii="Times New Roman" w:cs="Times New Roman" w:eastAsia="Times New Roman" w:hAnsi="Times New Roman"/>
          <w:sz w:val="12"/>
          <w:szCs w:val="12"/>
          <w:color w:val="auto"/>
        </w:rPr>
        <w:t>The obligations under the Second Lien Credit Agreement are secured on a second-priority basis by substantially all of the assets of the Credit Parties. The outstanding obligations thereunder shall be secured by a valid second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 Pursuant to the terms of that certain Intercreditor Agreement dated as of April 24, 2024, (as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73" w:right="319" w:bottom="1440" w:gutter="0" w:footer="0" w:header="0"/>
        </w:sectPr>
      </w:pPr>
    </w:p>
    <w:bookmarkStart w:id="67" w:name="page68"/>
    <w:bookmarkEnd w:id="67"/>
    <w:p>
      <w:pPr>
        <w:ind w:right="80"/>
        <w:spacing w:after="0" w:line="279" w:lineRule="auto"/>
        <w:rPr>
          <w:sz w:val="20"/>
          <w:szCs w:val="20"/>
          <w:color w:val="auto"/>
        </w:rPr>
      </w:pPr>
      <w:r>
        <w:rPr>
          <w:rFonts w:ascii="Times New Roman" w:cs="Times New Roman" w:eastAsia="Times New Roman" w:hAnsi="Times New Roman"/>
          <w:sz w:val="12"/>
          <w:szCs w:val="12"/>
          <w:color w:val="auto"/>
        </w:rPr>
        <w:t>amended, restated, supplemented, or otherwise modified from time to time, the “Intercreditor Agreement”), by and between PNC Bank, National Association, as first lien agent, and GCS, as second lien agent, the obligations under the Second Lien Credit Agreement are subordinated to the first-priority liens securing the obligations under the ABL Credit Agreement described below.</w:t>
      </w:r>
    </w:p>
    <w:p>
      <w:pPr>
        <w:spacing w:after="0" w:line="111" w:lineRule="exact"/>
        <w:rPr>
          <w:sz w:val="20"/>
          <w:szCs w:val="20"/>
          <w:color w:val="auto"/>
        </w:rPr>
      </w:pPr>
    </w:p>
    <w:p>
      <w:pPr>
        <w:ind w:firstLine="754"/>
        <w:spacing w:after="0" w:line="257" w:lineRule="auto"/>
        <w:rPr>
          <w:sz w:val="20"/>
          <w:szCs w:val="20"/>
          <w:color w:val="auto"/>
        </w:rPr>
      </w:pPr>
      <w:r>
        <w:rPr>
          <w:rFonts w:ascii="Times New Roman" w:cs="Times New Roman" w:eastAsia="Times New Roman" w:hAnsi="Times New Roman"/>
          <w:sz w:val="12"/>
          <w:szCs w:val="12"/>
          <w:color w:val="auto"/>
        </w:rPr>
        <w:t>Interest on the term loan facility under the Second Lien Credit Agreement is equal to either a base rate option (“Base Rate Loan”) or a Secured Overnight Financing Rate (“SOFR”) option (“Term SOFR Loan”) at the Company’s election. In the case of a Base Rate Loan, interest on the unpaid principal amount shall equal (i) the greatest of (a) the “Prime Rate” in the United States as quoted from time to time by The Wall Street Journal or the highest per annum rate of interest published by the Federal Reserve Board, (b) the federal funds effective rate (but not less than zero) plus 0.50% and (c) Term SOFR for a one-month interest period on such day, plus 1.00%, plus (ii) 6.75%. In the case of a Term SOFR Loan, interest on the unpaid principal amount shall equal the Term SOFR Reference Rate on the day that is two business days prior to the first day of such applicable interest period, plus 7.75%. In addition, the Company is required to pay a quarterly fee of 1.00% per annum on the undrawn commitments in respect of the delayed draw term loan facility.</w:t>
      </w:r>
    </w:p>
    <w:p>
      <w:pPr>
        <w:spacing w:after="0" w:line="1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2"/>
          <w:szCs w:val="12"/>
          <w:color w:val="auto"/>
        </w:rPr>
        <w:t>The Company had $100.0 million borrowings on the Second Lien Credit Agreement as of December 31, 2024. The interest rate on the Second Lien Credit Agreement borrowings as of December 31, 2024 is 12.09%.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Credit agreement</w:t>
      </w:r>
    </w:p>
    <w:p>
      <w:pPr>
        <w:spacing w:after="0" w:line="154" w:lineRule="exact"/>
        <w:rPr>
          <w:sz w:val="20"/>
          <w:szCs w:val="20"/>
          <w:color w:val="auto"/>
        </w:rPr>
      </w:pPr>
    </w:p>
    <w:p>
      <w:pPr>
        <w:ind w:firstLine="754"/>
        <w:spacing w:after="0" w:line="256" w:lineRule="auto"/>
        <w:rPr>
          <w:sz w:val="20"/>
          <w:szCs w:val="20"/>
          <w:color w:val="auto"/>
        </w:rPr>
      </w:pPr>
      <w:r>
        <w:rPr>
          <w:rFonts w:ascii="Times New Roman" w:cs="Times New Roman" w:eastAsia="Times New Roman" w:hAnsi="Times New Roman"/>
          <w:sz w:val="12"/>
          <w:szCs w:val="12"/>
          <w:color w:val="auto"/>
        </w:rPr>
        <w:t>On April 24, 2024, the Credit Parties, PNC Bank, National Association (“PNC”), as agent for the lenders, and certain financial institutions party thereto entered into an amendment to the ABL Credit Agreement described below (the “ABL Amendment”). The ABL Amendment (w) eliminates the Company’s ability to increase the commitments under the senior secured revolving credit facility (x) modifies the pricing of loans and undrawn commitments as summarized below, (y) adds a minimum liquidity covenant, for so long as the Second Lien Credit Agreement has not been prepaid and terminated,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and (z) makes certain other customary changes in connection with the Credit Parties’ entry into the Second Lien Credit Agreement. The Company has availability of up to $200.0 million for the issuance of letters of credit under the ABL Amendment.</w:t>
      </w:r>
    </w:p>
    <w:p>
      <w:pPr>
        <w:spacing w:after="0" w:line="125" w:lineRule="exact"/>
        <w:rPr>
          <w:sz w:val="20"/>
          <w:szCs w:val="20"/>
          <w:color w:val="auto"/>
        </w:rPr>
      </w:pPr>
    </w:p>
    <w:p>
      <w:pPr>
        <w:ind w:right="20" w:firstLine="754"/>
        <w:spacing w:after="0" w:line="254" w:lineRule="auto"/>
        <w:rPr>
          <w:sz w:val="20"/>
          <w:szCs w:val="20"/>
          <w:color w:val="auto"/>
        </w:rPr>
      </w:pPr>
      <w:r>
        <w:rPr>
          <w:rFonts w:ascii="Times New Roman" w:cs="Times New Roman" w:eastAsia="Times New Roman" w:hAnsi="Times New Roman"/>
          <w:sz w:val="12"/>
          <w:szCs w:val="12"/>
          <w:color w:val="auto"/>
        </w:rPr>
        <w:t>The ABL Amendment modifies the Applicable Margin for Advances as follows: (i) following the ABL Amendment closing date through and including the date immediately prior to the date on which the Borrowing Base Certificate is required to be delivered for most recently completed fiscal quarter (commencing with the fiscal quarter ending on September 30, 2024) (the “Adjustment Date”), (a) the Applicable Margin for Domestic Rate Loans Advances is 1.50% and (b) the Applicable Margins for Term SOFR Rate Loans Advances is 2.50%, (ii) beginning as of the Adjustment Date, to the extent the quarterly average undrawn availability for the prior fiscal quarter is (x) greater than 66.7% of the Maximum Revolving Advance Amount, (a) the Applicable Margin for Domestic Rate Loans Advances is 1.25% and (b) the Applicable Margins for Term SOFR Rate Loans Advances is 2.25%; (y) to the extent the quarterly average undrawn availability for the prior fiscal quarter is less than or equal to 66.7% of the Maximum Revolving Advance Amount but greater than 33.3%, (a) the Applicable Margin for Domestic Rate Loans Advances is 1.50% and (b) the Applicable Margins for Term SOFR Rate Loans Advances is 2.50%; and (z) to the extent the quarterly average undrawn availability for the prior fiscal quarter is less than or equal to 33.3% of the Maximum Revolving Advance Amount, (a) Applicable Margin for Domestic Rate Loans Advances is 1.75% and (b) the Applicable Margin for Term SOFR Rate Loans Advances is 2.75%. Additionally, the Company has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26" w:lineRule="exact"/>
        <w:rPr>
          <w:sz w:val="20"/>
          <w:szCs w:val="20"/>
          <w:color w:val="auto"/>
        </w:rPr>
      </w:pPr>
    </w:p>
    <w:p>
      <w:pPr>
        <w:ind w:firstLine="754"/>
        <w:spacing w:after="0" w:line="256" w:lineRule="auto"/>
        <w:rPr>
          <w:sz w:val="20"/>
          <w:szCs w:val="20"/>
          <w:color w:val="auto"/>
        </w:rPr>
      </w:pPr>
      <w:r>
        <w:rPr>
          <w:rFonts w:ascii="Times New Roman" w:cs="Times New Roman" w:eastAsia="Times New Roman" w:hAnsi="Times New Roman"/>
          <w:sz w:val="12"/>
          <w:szCs w:val="12"/>
          <w:color w:val="auto"/>
        </w:rPr>
        <w:t>On July 29, 2022, the Credit Parties entered into a second amended and restated revolving credit and security agreement (as amended by the ABL Amendment and as may be further amended, supplemented or otherwise modified from time to time, the “ABL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ABL Credit Agreement amends and restates the prior ABL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ABL Credit Agreement, including the amount available under the revolving credit facility. The terms of the ABL Credit Agreement are summarized below.</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68" w:name="page69"/>
    <w:bookmarkEnd w:id="68"/>
    <w:p>
      <w:pPr>
        <w:ind w:right="380" w:firstLine="754"/>
        <w:spacing w:after="0" w:line="279" w:lineRule="auto"/>
        <w:rPr>
          <w:sz w:val="20"/>
          <w:szCs w:val="20"/>
          <w:color w:val="auto"/>
        </w:rPr>
      </w:pPr>
      <w:r>
        <w:rPr>
          <w:rFonts w:ascii="Times New Roman" w:cs="Times New Roman" w:eastAsia="Times New Roman" w:hAnsi="Times New Roman"/>
          <w:sz w:val="12"/>
          <w:szCs w:val="12"/>
          <w:color w:val="auto"/>
        </w:rPr>
        <w:t>The ABL Credit Agreement provides for a senior secured revolving credit facility in an aggregate principal amount of up to $300.0 million. The maximum borrowing capacity under the ABL Credit Agreement is determined by a formula and may fluctuate depending on the value of the collateral included in such formula at the time of determination.</w:t>
      </w:r>
    </w:p>
    <w:p>
      <w:pPr>
        <w:spacing w:after="0" w:line="66" w:lineRule="exact"/>
        <w:rPr>
          <w:sz w:val="20"/>
          <w:szCs w:val="20"/>
          <w:color w:val="auto"/>
        </w:rPr>
      </w:pPr>
    </w:p>
    <w:p>
      <w:pPr>
        <w:ind w:right="20" w:firstLine="754"/>
        <w:spacing w:after="0" w:line="279" w:lineRule="auto"/>
        <w:rPr>
          <w:sz w:val="20"/>
          <w:szCs w:val="20"/>
          <w:color w:val="auto"/>
        </w:rPr>
      </w:pPr>
      <w:r>
        <w:rPr>
          <w:rFonts w:ascii="Times New Roman" w:cs="Times New Roman" w:eastAsia="Times New Roman" w:hAnsi="Times New Roman"/>
          <w:sz w:val="12"/>
          <w:szCs w:val="12"/>
          <w:color w:val="auto"/>
        </w:rPr>
        <w:t>The ABL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 million sublimit.</w:t>
      </w:r>
    </w:p>
    <w:p>
      <w:pPr>
        <w:spacing w:after="0" w:line="57" w:lineRule="exact"/>
        <w:rPr>
          <w:sz w:val="20"/>
          <w:szCs w:val="20"/>
          <w:color w:val="auto"/>
        </w:rPr>
      </w:pPr>
    </w:p>
    <w:p>
      <w:pPr>
        <w:ind w:firstLine="754"/>
        <w:spacing w:after="0" w:line="253" w:lineRule="auto"/>
        <w:rPr>
          <w:sz w:val="20"/>
          <w:szCs w:val="20"/>
          <w:color w:val="auto"/>
        </w:rPr>
      </w:pPr>
      <w:r>
        <w:rPr>
          <w:rFonts w:ascii="Times New Roman" w:cs="Times New Roman" w:eastAsia="Times New Roman" w:hAnsi="Times New Roman"/>
          <w:sz w:val="12"/>
          <w:szCs w:val="12"/>
          <w:color w:val="auto"/>
        </w:rPr>
        <w:t>The ABL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ABL Credit Agreement is less than 12.5% of the maximum loan amount for five consecutive days. The ABL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ABL Credit Agreement are unconditionally guaranteed, on a joint and several basis, by each existing and subsequently acquired or formed material direct and indirect domestic subsidiary of the Company. Borrowings under the ABL Credit Agreement will be used to pay fees and expenses related to the ABL Credit Agreement, finance acquisitions permitted under the ABL Credit Agreement, finance ongoing working capital, for other general corporate purposes, and with respect to any green loan, fund capital investments related to renewable energy and clean transportation projects. The ABL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ABL Credit Agreement.</w:t>
      </w:r>
    </w:p>
    <w:p>
      <w:pPr>
        <w:spacing w:after="0" w:line="84" w:lineRule="exact"/>
        <w:rPr>
          <w:sz w:val="20"/>
          <w:szCs w:val="20"/>
          <w:color w:val="auto"/>
        </w:rPr>
      </w:pPr>
    </w:p>
    <w:p>
      <w:pPr>
        <w:ind w:right="20" w:firstLine="754"/>
        <w:spacing w:after="0" w:line="265" w:lineRule="auto"/>
        <w:rPr>
          <w:sz w:val="20"/>
          <w:szCs w:val="20"/>
          <w:color w:val="auto"/>
        </w:rPr>
      </w:pPr>
      <w:r>
        <w:rPr>
          <w:rFonts w:ascii="Times New Roman" w:cs="Times New Roman" w:eastAsia="Times New Roman" w:hAnsi="Times New Roman"/>
          <w:sz w:val="12"/>
          <w:szCs w:val="12"/>
          <w:color w:val="auto"/>
        </w:rPr>
        <w:t>The obligations under the ABL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19" w:lineRule="exact"/>
        <w:rPr>
          <w:sz w:val="20"/>
          <w:szCs w:val="20"/>
          <w:color w:val="auto"/>
        </w:rPr>
      </w:pPr>
    </w:p>
    <w:p>
      <w:pPr>
        <w:ind w:right="60" w:firstLine="512"/>
        <w:spacing w:after="0" w:line="257" w:lineRule="auto"/>
        <w:rPr>
          <w:sz w:val="20"/>
          <w:szCs w:val="20"/>
          <w:color w:val="auto"/>
        </w:rPr>
      </w:pPr>
      <w:r>
        <w:rPr>
          <w:rFonts w:ascii="Times New Roman" w:cs="Times New Roman" w:eastAsia="Times New Roman" w:hAnsi="Times New Roman"/>
          <w:sz w:val="12"/>
          <w:szCs w:val="12"/>
          <w:color w:val="auto"/>
        </w:rPr>
        <w:t>The Company had $35.0 million and $90.0 million borrowings on the revolver as of December 31, 2024 and 2023, respectively. There were $43.5 million and $49.8 million of letters of credit outstanding as of December 31, 2024 and 2023, respectively. The Company had $221.2 million and $122.3 million of net availability under the ABL Amendment as of December 31, 2024 and 2023, respectively. The availability under the ABL Amendment was suppressed by $0.3 million and $37.9 million as of December 31, 2024 and 2023, respectively, as a result of certain limitations of borrowing related to reserves and compliance with the Company's obligations set forth in the ABL Credit Agreement or the prior credit agreement. Based on the aforementioned variable interest rate components, the weighted average interest rate on the revolver borrowings is 6.70% and 6.71% as of December 31, 2024 and 2023,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Senior notes and subsidiary guarantors</w:t>
      </w:r>
    </w:p>
    <w:p>
      <w:pPr>
        <w:spacing w:after="0" w:line="154" w:lineRule="exact"/>
        <w:rPr>
          <w:sz w:val="20"/>
          <w:szCs w:val="20"/>
          <w:color w:val="auto"/>
        </w:rPr>
      </w:pPr>
    </w:p>
    <w:p>
      <w:pPr>
        <w:ind w:right="360" w:firstLine="512"/>
        <w:spacing w:after="0" w:line="279" w:lineRule="auto"/>
        <w:rPr>
          <w:sz w:val="20"/>
          <w:szCs w:val="20"/>
          <w:color w:val="auto"/>
        </w:rPr>
      </w:pPr>
      <w:r>
        <w:rPr>
          <w:rFonts w:ascii="Times New Roman" w:cs="Times New Roman" w:eastAsia="Times New Roman" w:hAnsi="Times New Roman"/>
          <w:sz w:val="12"/>
          <w:szCs w:val="12"/>
          <w:color w:val="auto"/>
        </w:rPr>
        <w:t>In May 2021, the Company sold $325.0 million of unsecured 5.25% Senior Notes (the “2029 Notes”) pursuant to a private offering. The 2029 Notes were priced to investors at par and will mature on June 1, 2029. The Company used the net proceeds from the offering, together with cash on hand, to redeem all $325.0 million aggregate principal amount of its outstanding 8.00% Senior Notes due 2022.</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Company’s obligations under these 2029 Notes are guaranteed by each of the Company’s existing and future 100% owned domestic subsidiaries that are co-borrowers or guarantors under the ABL Credit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guarantees are full, unconditional and joint and several. The parent company issuer has no independent assets or operations and all non-guarantor subsidiaries have been determined to be minor.</w:t>
      </w:r>
    </w:p>
    <w:p>
      <w:pPr>
        <w:spacing w:after="0" w:line="13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2"/>
          <w:szCs w:val="12"/>
          <w:color w:val="auto"/>
        </w:rPr>
        <w:t xml:space="preserve">The weighted average interest rate on the Company’s total outstanding borrowings, </w:t>
      </w:r>
      <w:r>
        <w:rPr>
          <w:rFonts w:ascii="Times New Roman" w:cs="Times New Roman" w:eastAsia="Times New Roman" w:hAnsi="Times New Roman"/>
          <w:sz w:val="12"/>
          <w:szCs w:val="12"/>
          <w:color w:val="212121"/>
        </w:rPr>
        <w:t>after adjusting for the effects of interest rate swaps,</w:t>
      </w:r>
      <w:r>
        <w:rPr>
          <w:rFonts w:ascii="Times New Roman" w:cs="Times New Roman" w:eastAsia="Times New Roman" w:hAnsi="Times New Roman"/>
          <w:sz w:val="12"/>
          <w:szCs w:val="12"/>
          <w:color w:val="auto"/>
        </w:rPr>
        <w:t xml:space="preserve"> was 6.77%, and 5.57% as of December 31, 2024 and 2023, respectively.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i w:val="1"/>
          <w:iCs w:val="1"/>
          <w:color w:val="auto"/>
        </w:rPr>
        <w:t>Other</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scheduled principal payments through the maturity date of the Company’s long-term debt at December 31, 2024, are as follows:</w:t>
      </w:r>
    </w:p>
    <w:p>
      <w:pPr>
        <w:spacing w:after="0" w:line="134"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5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Years Ending December 31,</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5"/>
        </w:trPr>
        <w:tc>
          <w:tcPr>
            <w:tcW w:w="556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2026</w:t>
            </w:r>
          </w:p>
        </w:tc>
        <w:tc>
          <w:tcPr>
            <w:tcW w:w="4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6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60" w:type="dxa"/>
            <w:vAlign w:val="bottom"/>
          </w:tcPr>
          <w:p>
            <w:pPr>
              <w:spacing w:after="0"/>
              <w:rPr>
                <w:sz w:val="12"/>
                <w:szCs w:val="12"/>
                <w:color w:val="auto"/>
              </w:rPr>
            </w:pPr>
          </w:p>
        </w:tc>
      </w:tr>
      <w:tr>
        <w:trPr>
          <w:trHeight w:val="144"/>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2028</w:t>
            </w:r>
          </w:p>
        </w:tc>
        <w:tc>
          <w:tcPr>
            <w:tcW w:w="4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6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425,000</w:t>
            </w:r>
          </w:p>
        </w:tc>
        <w:tc>
          <w:tcPr>
            <w:tcW w:w="60" w:type="dxa"/>
            <w:vAlign w:val="bottom"/>
          </w:tcPr>
          <w:p>
            <w:pPr>
              <w:spacing w:after="0"/>
              <w:rPr>
                <w:sz w:val="12"/>
                <w:szCs w:val="12"/>
                <w:color w:val="auto"/>
              </w:rPr>
            </w:pPr>
          </w:p>
        </w:tc>
      </w:tr>
      <w:tr>
        <w:trPr>
          <w:trHeight w:val="144"/>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Thereafter</w:t>
            </w:r>
          </w:p>
        </w:tc>
        <w:tc>
          <w:tcPr>
            <w:tcW w:w="4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55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460,000</w:t>
            </w:r>
          </w:p>
        </w:tc>
        <w:tc>
          <w:tcPr>
            <w:tcW w:w="6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5698490</wp:posOffset>
            </wp:positionH>
            <wp:positionV relativeFrom="paragraph">
              <wp:posOffset>-113665</wp:posOffset>
            </wp:positionV>
            <wp:extent cx="4000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pacing w:after="0" w:line="140" w:lineRule="exact"/>
        <w:rPr>
          <w:sz w:val="20"/>
          <w:szCs w:val="20"/>
          <w:color w:val="auto"/>
        </w:rPr>
      </w:pPr>
    </w:p>
    <w:p>
      <w:pPr>
        <w:ind w:right="400" w:firstLine="512"/>
        <w:spacing w:after="0" w:line="279" w:lineRule="auto"/>
        <w:rPr>
          <w:sz w:val="20"/>
          <w:szCs w:val="20"/>
          <w:color w:val="auto"/>
        </w:rPr>
      </w:pPr>
      <w:r>
        <w:rPr>
          <w:rFonts w:ascii="Times New Roman" w:cs="Times New Roman" w:eastAsia="Times New Roman" w:hAnsi="Times New Roman"/>
          <w:sz w:val="12"/>
          <w:szCs w:val="12"/>
          <w:color w:val="auto"/>
        </w:rPr>
        <w:t>The Company incurred amortization of deferred financing fees for its long-term debt of $2.6 million, $1.0 million and $1.1 million for each of the years ended December 31, 2024, 2023 and 2022. Such amortization is recorded as a component of net interest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FAIR VALUE MEASUREMENTS</w:t>
      </w:r>
    </w:p>
    <w:p>
      <w:pPr>
        <w:spacing w:after="0" w:line="82" w:lineRule="exact"/>
        <w:rPr>
          <w:sz w:val="20"/>
          <w:szCs w:val="20"/>
          <w:color w:val="auto"/>
        </w:rPr>
      </w:pPr>
    </w:p>
    <w:p>
      <w:pPr>
        <w:ind w:right="20" w:firstLine="512"/>
        <w:spacing w:after="0" w:line="265" w:lineRule="auto"/>
        <w:rPr>
          <w:sz w:val="20"/>
          <w:szCs w:val="20"/>
          <w:color w:val="auto"/>
        </w:rPr>
      </w:pPr>
      <w:r>
        <w:rPr>
          <w:rFonts w:ascii="Times New Roman" w:cs="Times New Roman" w:eastAsia="Times New Roman" w:hAnsi="Times New Roman"/>
          <w:sz w:val="12"/>
          <w:szCs w:val="12"/>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 1—Quoted prices in active markets for identical assets or liabilities.</w:t>
      </w:r>
    </w:p>
    <w:p>
      <w:pPr>
        <w:spacing w:after="0" w:line="7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 3—Unobservable inputs that are supported by little or no market activity and that are significant to the fair value of the assets or liabilities.</w:t>
      </w:r>
    </w:p>
    <w:p>
      <w:pPr>
        <w:spacing w:after="0" w:line="78" w:lineRule="exact"/>
        <w:rPr>
          <w:sz w:val="20"/>
          <w:szCs w:val="20"/>
          <w:color w:val="auto"/>
        </w:rPr>
      </w:pPr>
    </w:p>
    <w:p>
      <w:pPr>
        <w:ind w:right="80" w:firstLine="512"/>
        <w:spacing w:after="0" w:line="279" w:lineRule="auto"/>
        <w:rPr>
          <w:sz w:val="20"/>
          <w:szCs w:val="20"/>
          <w:color w:val="auto"/>
        </w:rPr>
      </w:pPr>
      <w:r>
        <w:rPr>
          <w:rFonts w:ascii="Times New Roman" w:cs="Times New Roman" w:eastAsia="Times New Roman" w:hAnsi="Times New Roman"/>
          <w:sz w:val="12"/>
          <w:szCs w:val="12"/>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39" w:lineRule="exact"/>
        <w:rPr>
          <w:sz w:val="20"/>
          <w:szCs w:val="20"/>
          <w:color w:val="auto"/>
        </w:rPr>
      </w:pPr>
    </w:p>
    <w:p>
      <w:pPr>
        <w:jc w:val="both"/>
        <w:ind w:right="140" w:firstLine="512"/>
        <w:spacing w:after="0" w:line="256" w:lineRule="auto"/>
        <w:rPr>
          <w:sz w:val="20"/>
          <w:szCs w:val="20"/>
          <w:color w:val="auto"/>
        </w:rPr>
      </w:pPr>
      <w:r>
        <w:rPr>
          <w:rFonts w:ascii="Times New Roman" w:cs="Times New Roman" w:eastAsia="Times New Roman" w:hAnsi="Times New Roman"/>
          <w:sz w:val="12"/>
          <w:szCs w:val="12"/>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60" w:type="dxa"/>
            <w:vAlign w:val="bottom"/>
          </w:tcPr>
          <w:p>
            <w:pPr>
              <w:spacing w:after="0"/>
              <w:rPr>
                <w:sz w:val="12"/>
                <w:szCs w:val="12"/>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2"/>
                <w:szCs w:val="12"/>
                <w:b w:val="1"/>
                <w:bCs w:val="1"/>
                <w:color w:val="auto"/>
                <w:w w:val="96"/>
              </w:rPr>
              <w:t>Fair Value at</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Hierarchy</w:t>
            </w:r>
          </w:p>
        </w:tc>
        <w:tc>
          <w:tcPr>
            <w:tcW w:w="360" w:type="dxa"/>
            <w:vAlign w:val="bottom"/>
          </w:tcPr>
          <w:p>
            <w:pPr>
              <w:spacing w:after="0"/>
              <w:rPr>
                <w:sz w:val="12"/>
                <w:szCs w:val="12"/>
                <w:color w:val="auto"/>
              </w:rPr>
            </w:pPr>
          </w:p>
        </w:tc>
        <w:tc>
          <w:tcPr>
            <w:tcW w:w="19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Levels</w:t>
            </w:r>
          </w:p>
        </w:tc>
        <w:tc>
          <w:tcPr>
            <w:tcW w:w="360" w:type="dxa"/>
            <w:vAlign w:val="bottom"/>
          </w:tcPr>
          <w:p>
            <w:pPr>
              <w:spacing w:after="0"/>
              <w:rPr>
                <w:sz w:val="13"/>
                <w:szCs w:val="13"/>
                <w:color w:val="auto"/>
              </w:rPr>
            </w:pPr>
          </w:p>
        </w:tc>
        <w:tc>
          <w:tcPr>
            <w:tcW w:w="132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80" w:type="dxa"/>
            <w:vAlign w:val="bottom"/>
          </w:tcPr>
          <w:p>
            <w:pPr>
              <w:spacing w:after="0"/>
              <w:rPr>
                <w:sz w:val="13"/>
                <w:szCs w:val="13"/>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133"/>
        </w:trPr>
        <w:tc>
          <w:tcPr>
            <w:tcW w:w="32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Derivatives designated as cash flow hedging instruments:</w:t>
            </w:r>
          </w:p>
        </w:tc>
        <w:tc>
          <w:tcPr>
            <w:tcW w:w="12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Fuel hedge contracts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Foreign currency exchange hedge contracts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Interest rate swaps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derivatives</w:t>
            </w: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217</w:t>
            </w:r>
          </w:p>
        </w:tc>
        <w:tc>
          <w:tcPr>
            <w:tcW w:w="58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1,065</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358</w:t>
            </w:r>
          </w:p>
        </w:tc>
        <w:tc>
          <w:tcPr>
            <w:tcW w:w="640" w:type="dxa"/>
            <w:vAlign w:val="bottom"/>
            <w:gridSpan w:val="2"/>
            <w:shd w:val="clear" w:color="auto" w:fill="CFF0FC"/>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26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rPr>
              <w:t>68</w:t>
            </w: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3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-622300</wp:posOffset>
            </wp:positionV>
            <wp:extent cx="7429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-610870</wp:posOffset>
            </wp:positionV>
            <wp:extent cx="7429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-622300</wp:posOffset>
            </wp:positionV>
            <wp:extent cx="7429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-610870</wp:posOffset>
            </wp:positionV>
            <wp:extent cx="7429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-622300</wp:posOffset>
            </wp:positionV>
            <wp:extent cx="685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-610870</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-622300</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-610870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i w:val="1"/>
          <w:iCs w:val="1"/>
          <w:color w:val="auto"/>
        </w:rPr>
        <w:t>Fuel hedge contracts</w:t>
      </w:r>
    </w:p>
    <w:p>
      <w:pPr>
        <w:spacing w:after="0" w:line="82" w:lineRule="exact"/>
        <w:rPr>
          <w:sz w:val="20"/>
          <w:szCs w:val="20"/>
          <w:color w:val="auto"/>
        </w:rPr>
      </w:pPr>
    </w:p>
    <w:p>
      <w:pPr>
        <w:ind w:right="120" w:firstLine="512"/>
        <w:spacing w:after="0" w:line="265" w:lineRule="auto"/>
        <w:rPr>
          <w:sz w:val="20"/>
          <w:szCs w:val="20"/>
          <w:color w:val="auto"/>
        </w:rPr>
      </w:pPr>
      <w:r>
        <w:rPr>
          <w:rFonts w:ascii="Times New Roman" w:cs="Times New Roman" w:eastAsia="Times New Roman" w:hAnsi="Times New Roman"/>
          <w:sz w:val="12"/>
          <w:szCs w:val="12"/>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eligible fuel requirements for work in domestic dredging backlog.</w:t>
      </w:r>
    </w:p>
    <w:p>
      <w:pPr>
        <w:spacing w:after="0" w:line="119" w:lineRule="exact"/>
        <w:rPr>
          <w:sz w:val="20"/>
          <w:szCs w:val="20"/>
          <w:color w:val="auto"/>
        </w:rPr>
      </w:pPr>
    </w:p>
    <w:p>
      <w:pPr>
        <w:ind w:right="220" w:firstLine="512"/>
        <w:spacing w:after="0" w:line="265" w:lineRule="auto"/>
        <w:rPr>
          <w:sz w:val="20"/>
          <w:szCs w:val="20"/>
          <w:color w:val="auto"/>
        </w:rPr>
      </w:pPr>
      <w:r>
        <w:rPr>
          <w:rFonts w:ascii="Times New Roman" w:cs="Times New Roman" w:eastAsia="Times New Roman" w:hAnsi="Times New Roman"/>
          <w:sz w:val="12"/>
          <w:szCs w:val="12"/>
          <w:color w:val="auto"/>
        </w:rPr>
        <w:t>As of December 31, 2024, the Company was party to various swap arrangements to hedge the price of a portion of its diesel fuel purchase requirements for work in its backlog to be performed through May 2026. As of December 31, 2024, there were 17.8 million gallons remaining on these contracts representing forecasted domestic fuel purchases through May 2026. Under these swap agreements, the Company will pay fixed prices ranging from $2.18 to $2.90 per gallon.</w:t>
      </w:r>
    </w:p>
    <w:p>
      <w:pPr>
        <w:spacing w:after="0" w:line="119"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2"/>
          <w:szCs w:val="12"/>
          <w:color w:val="auto"/>
        </w:rPr>
        <w:t>At December 31, 2024 and 2023, the fair value liability of the fuel hedge contracts were estimated to be $1.1 million and $2.9 million, respectively, and is recorded in accrued expenses. For fuel hedge contracts considered to be highly effective, the losses reclassified to earnings from changes in fair value of derivatives, net of cash settlements and taxes, for the year ended December 31, 2024 were $1.6 million. The remaining gains and losses included in the accumulated other comprehensive income (loss) at December 31, 2024 will be reclassified into earnings over the next twelve months, corresponding to the period during which the hedged fuel is expected to be utilized. Changes in the fair value of fuel hedge contracts not considered highly effective are recorded as costs of contract revenues in the Statement of Operations. The fair value of fuel hedges are corroborated using inputs that are readily observable in public markets; therefore, the Company determines fair values of these fuel hedges using Level 2 inputs.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exchange hedge contracts</w:t>
      </w:r>
    </w:p>
    <w:p>
      <w:pPr>
        <w:spacing w:after="0" w:line="154" w:lineRule="exact"/>
        <w:rPr>
          <w:sz w:val="20"/>
          <w:szCs w:val="20"/>
          <w:color w:val="auto"/>
        </w:rPr>
      </w:pPr>
    </w:p>
    <w:p>
      <w:pPr>
        <w:ind w:right="100" w:firstLine="512"/>
        <w:spacing w:after="0" w:line="279" w:lineRule="auto"/>
        <w:rPr>
          <w:sz w:val="20"/>
          <w:szCs w:val="20"/>
          <w:color w:val="auto"/>
        </w:rPr>
      </w:pPr>
      <w:r>
        <w:rPr>
          <w:rFonts w:ascii="Times New Roman" w:cs="Times New Roman" w:eastAsia="Times New Roman" w:hAnsi="Times New Roman"/>
          <w:sz w:val="12"/>
          <w:szCs w:val="12"/>
          <w:color w:val="auto"/>
        </w:rPr>
        <w:t>The Company is exposed to certain market risks, including foreign currency exchange rate risks related to the purchase of new vessel build materials in Europe. The Company enters into foreign currency exchange forward contracts to hedge the risk that fluctuations in the Euro in relation to the Dollar could have an adverse impact on cash flows associated with its equipment builds.</w:t>
      </w:r>
    </w:p>
    <w:p>
      <w:pPr>
        <w:spacing w:after="0" w:line="111" w:lineRule="exact"/>
        <w:rPr>
          <w:sz w:val="20"/>
          <w:szCs w:val="20"/>
          <w:color w:val="auto"/>
        </w:rPr>
      </w:pPr>
    </w:p>
    <w:p>
      <w:pPr>
        <w:ind w:right="100" w:firstLine="512"/>
        <w:spacing w:after="0" w:line="265" w:lineRule="auto"/>
        <w:rPr>
          <w:sz w:val="20"/>
          <w:szCs w:val="20"/>
          <w:color w:val="auto"/>
        </w:rPr>
      </w:pPr>
      <w:r>
        <w:rPr>
          <w:rFonts w:ascii="Times New Roman" w:cs="Times New Roman" w:eastAsia="Times New Roman" w:hAnsi="Times New Roman"/>
          <w:sz w:val="12"/>
          <w:szCs w:val="12"/>
          <w:color w:val="auto"/>
        </w:rPr>
        <w:t>The Company did not have any foreign currency exchange hedge contracts as of December 31, 2024. As of December 31, 2023, the Company was party to various foreign exchange forward contract arrangements to hedge the purchase of materials through November 2024. As of December 31, 2023 there were 18.6 million Euro of payments remaining on these hedge contracts. Under these hedge contracts, the Company paid fixed prices ranging from $1.01 to $1.13 per Euro.</w:t>
      </w:r>
    </w:p>
    <w:p>
      <w:pPr>
        <w:spacing w:after="0" w:line="119" w:lineRule="exact"/>
        <w:rPr>
          <w:sz w:val="20"/>
          <w:szCs w:val="20"/>
          <w:color w:val="auto"/>
        </w:rPr>
      </w:pPr>
    </w:p>
    <w:p>
      <w:pPr>
        <w:ind w:right="20" w:firstLine="512"/>
        <w:spacing w:after="0" w:line="260" w:lineRule="auto"/>
        <w:rPr>
          <w:sz w:val="20"/>
          <w:szCs w:val="20"/>
          <w:color w:val="auto"/>
        </w:rPr>
      </w:pPr>
      <w:r>
        <w:rPr>
          <w:rFonts w:ascii="Times New Roman" w:cs="Times New Roman" w:eastAsia="Times New Roman" w:hAnsi="Times New Roman"/>
          <w:sz w:val="12"/>
          <w:szCs w:val="12"/>
          <w:color w:val="auto"/>
        </w:rPr>
        <w:t>At December 31, 2023, the fair value asset of foreign currency exchange hedge contracts were estimated to be $358, and is recorded in other current assets. For foreign currency exchange hedge contracts considered to be highly effective, the losses reclassified to earnings from changes in fair value, net of cash settlements and taxes, for the year ended December 31, 2024 were $208. For foreign currency exchange hedge contracts considered to be highly effective, the gains reclassified to earnings from changes in fair value of derivatives, net of cash settlements and taxes, for the year ended December 31, 2023 were $289. The fair values of foreign currency exchange hedges are corroborated using inputs that are readily observable in public markets; therefore, the Company determines the fair value of these foreign currency exchange hedges using Level 2 inputs.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rate swaps</w:t>
      </w:r>
    </w:p>
    <w:p>
      <w:pPr>
        <w:spacing w:after="0" w:line="109" w:lineRule="exact"/>
        <w:rPr>
          <w:sz w:val="20"/>
          <w:szCs w:val="20"/>
          <w:color w:val="auto"/>
        </w:rPr>
      </w:pPr>
    </w:p>
    <w:p>
      <w:pPr>
        <w:ind w:right="100" w:firstLine="512"/>
        <w:spacing w:after="0" w:line="279" w:lineRule="auto"/>
        <w:rPr>
          <w:sz w:val="20"/>
          <w:szCs w:val="20"/>
          <w:color w:val="auto"/>
        </w:rPr>
      </w:pPr>
      <w:r>
        <w:rPr>
          <w:rFonts w:ascii="Times New Roman" w:cs="Times New Roman" w:eastAsia="Times New Roman" w:hAnsi="Times New Roman"/>
          <w:sz w:val="12"/>
          <w:szCs w:val="12"/>
          <w:color w:val="auto"/>
        </w:rPr>
        <w:t>The Company is exposed to certain market risks, including interest rate risks related to the floating interest rates on its variable rate debt. The Company has entered into interest rate swaps to convert a portion of its variable rate debt into fixed-rate debt and hedge the risk that fluctuations in interest rates could have an adverse impact on net interest expense.</w:t>
      </w:r>
    </w:p>
    <w:p>
      <w:pPr>
        <w:spacing w:after="0" w:line="57" w:lineRule="exact"/>
        <w:rPr>
          <w:sz w:val="20"/>
          <w:szCs w:val="20"/>
          <w:color w:val="auto"/>
        </w:rPr>
      </w:pPr>
    </w:p>
    <w:p>
      <w:pPr>
        <w:jc w:val="both"/>
        <w:ind w:right="140" w:firstLine="512"/>
        <w:spacing w:after="0" w:line="265" w:lineRule="auto"/>
        <w:rPr>
          <w:sz w:val="20"/>
          <w:szCs w:val="20"/>
          <w:color w:val="auto"/>
        </w:rPr>
      </w:pPr>
      <w:r>
        <w:rPr>
          <w:rFonts w:ascii="Times New Roman" w:cs="Times New Roman" w:eastAsia="Times New Roman" w:hAnsi="Times New Roman"/>
          <w:sz w:val="12"/>
          <w:szCs w:val="12"/>
          <w:color w:val="auto"/>
        </w:rPr>
        <w:t>As of December 31, 2024, the Company was party to two interest rate swaps with a total notional value of $75 million effective August 5, 2024 and a maturity date of August 24, 2026. Under these interest rate swaps, the Company will pay a weighted average fixed rate of 3.873% on the notional amount and receive payments from the counterparty based on the 30-day SOFR rate, effectively modifying the Company’s exposure to interest rate risk by converting a portion of its floating-rate debt to a weighted average fixed interest rate of 11.623%.</w:t>
      </w:r>
    </w:p>
    <w:p>
      <w:pPr>
        <w:spacing w:after="0" w:line="74"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As of December 31, 2024 the fair value asset of the Company’s interest rate swaps was $217 and is recorded in other current assets in the consolidated balance sheets. For interest rate swaps considered to be highly effective, the gains reclassified to earnings from changes in fair value of derivatives, net of cash settlements and taxes, for the year ended December 31, 2024 were $233. The remaining gains and losses included in accumulated other comprehensive loss at December 31, 2024 will be reclassified into earnings over the next twenty months, corresponding to the period during which the interest rate swap is expected to be utilized. Changes in the fair value of interest rate swaps not considered highly effective are recorded as interest expense in the consolidated statements of</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45" w:right="359" w:bottom="1440" w:gutter="0" w:footer="0" w:header="0"/>
        </w:sectPr>
      </w:pPr>
    </w:p>
    <w:bookmarkStart w:id="71" w:name="page72"/>
    <w:bookmarkEnd w:id="71"/>
    <w:p>
      <w:pPr>
        <w:ind w:right="620"/>
        <w:spacing w:after="0" w:line="414" w:lineRule="auto"/>
        <w:rPr>
          <w:sz w:val="20"/>
          <w:szCs w:val="20"/>
          <w:color w:val="auto"/>
        </w:rPr>
      </w:pPr>
      <w:r>
        <w:rPr>
          <w:rFonts w:ascii="Times New Roman" w:cs="Times New Roman" w:eastAsia="Times New Roman" w:hAnsi="Times New Roman"/>
          <w:sz w:val="12"/>
          <w:szCs w:val="12"/>
          <w:color w:val="auto"/>
        </w:rPr>
        <w:t xml:space="preserve">operations. The fair values of interest rate swaps are corroborated using inputs that are readily observable in public markets; therefore, the Company determines the fair value of these interest rate swaps using Level 2 inputs. </w:t>
      </w:r>
      <w:r>
        <w:rPr>
          <w:rFonts w:ascii="Times New Roman" w:cs="Times New Roman" w:eastAsia="Times New Roman" w:hAnsi="Times New Roman"/>
          <w:sz w:val="12"/>
          <w:szCs w:val="12"/>
          <w:b w:val="1"/>
          <w:bCs w:val="1"/>
          <w:i w:val="1"/>
          <w:iCs w:val="1"/>
          <w:color w:val="auto"/>
        </w:rPr>
        <w:t>Assets and liabilities measured at fair value on a nonrecurring basis</w:t>
      </w:r>
    </w:p>
    <w:p>
      <w:pPr>
        <w:spacing w:after="0" w:line="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All other nonfinancial assets and liabilities measured at fair value in the financial statements on a nonrecurring basis are subject to fair value measurements and disclosures. Nonfinancial assets and liabilities included in the consolidated balance sheets and measured on a nonrecurring basis consist of goodwill and long-lived assets. Goodwill and long-lived assets are measured at fair value to test for and measure impairment, if any, at least annually for goodwill or when necessary for both goodwill and long-lived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Accumulated other comprehensive income (loss)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Changes in the components of the accumulated balances of other comprehensive income (loss)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89535</wp:posOffset>
            </wp:positionV>
            <wp:extent cx="99695" cy="1054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9695" cy="105410"/>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89535</wp:posOffset>
            </wp:positionV>
            <wp:extent cx="93980" cy="1054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10541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02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0"/>
                <w:szCs w:val="10"/>
                <w:color w:val="auto"/>
              </w:rPr>
            </w:pPr>
          </w:p>
        </w:tc>
      </w:tr>
      <w:tr>
        <w:trPr>
          <w:trHeight w:val="133"/>
        </w:trPr>
        <w:tc>
          <w:tcPr>
            <w:tcW w:w="60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Derivatives:</w:t>
            </w:r>
          </w:p>
        </w:tc>
        <w:tc>
          <w:tcPr>
            <w:tcW w:w="1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6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Fuel Hedge Contracts</w:t>
            </w: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Reclassification of derivative losses (gains) to earnings—net of tax</w:t>
            </w:r>
          </w:p>
        </w:tc>
        <w:tc>
          <w:tcPr>
            <w:tcW w:w="1100" w:type="dxa"/>
            <w:vAlign w:val="bottom"/>
            <w:shd w:val="clear" w:color="auto" w:fill="CFF0FC"/>
          </w:tcPr>
          <w:p>
            <w:pPr>
              <w:jc w:val="right"/>
              <w:ind w:right="98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1,593</w:t>
            </w:r>
          </w:p>
        </w:tc>
        <w:tc>
          <w:tcPr>
            <w:tcW w:w="1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(10,629 )</w:t>
            </w:r>
          </w:p>
        </w:tc>
      </w:tr>
      <w:tr>
        <w:trPr>
          <w:trHeight w:val="144"/>
        </w:trPr>
        <w:tc>
          <w:tcPr>
            <w:tcW w:w="6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derivatives—net of tax</w:t>
            </w:r>
          </w:p>
        </w:tc>
        <w:tc>
          <w:tcPr>
            <w:tcW w:w="1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(208 )</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(2,565 )</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9,681</w:t>
            </w:r>
          </w:p>
        </w:tc>
        <w:tc>
          <w:tcPr>
            <w:tcW w:w="120" w:type="dxa"/>
            <w:vAlign w:val="bottom"/>
          </w:tcPr>
          <w:p>
            <w:pPr>
              <w:spacing w:after="0"/>
              <w:rPr>
                <w:sz w:val="12"/>
                <w:szCs w:val="12"/>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60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change in cash flow derivative fuel hedges—net of tax</w:t>
            </w:r>
          </w:p>
        </w:tc>
        <w:tc>
          <w:tcPr>
            <w:tcW w:w="1100" w:type="dxa"/>
            <w:vAlign w:val="bottom"/>
            <w:shd w:val="clear" w:color="auto" w:fill="CFF0FC"/>
          </w:tcPr>
          <w:p>
            <w:pPr>
              <w:jc w:val="right"/>
              <w:ind w:right="98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1,385</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(1,704 )</w:t>
            </w:r>
          </w:p>
        </w:tc>
        <w:tc>
          <w:tcPr>
            <w:tcW w:w="360" w:type="dxa"/>
            <w:vAlign w:val="bottom"/>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(948 )</w:t>
            </w:r>
          </w:p>
        </w:tc>
      </w:tr>
      <w:tr>
        <w:trPr>
          <w:trHeight w:val="306"/>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2"/>
                <w:szCs w:val="12"/>
                <w:b w:val="1"/>
                <w:bCs w:val="1"/>
                <w:color w:val="auto"/>
              </w:rPr>
              <w:t>Foreign Currency Exchange Hedge Contracts</w:t>
            </w:r>
          </w:p>
        </w:tc>
        <w:tc>
          <w:tcPr>
            <w:tcW w:w="1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144"/>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Reclassification of derivative losses (gains) to earnings—net of tax</w:t>
            </w:r>
          </w:p>
        </w:tc>
        <w:tc>
          <w:tcPr>
            <w:tcW w:w="1100" w:type="dxa"/>
            <w:vAlign w:val="bottom"/>
            <w:shd w:val="clear" w:color="auto" w:fill="CFF0FC"/>
          </w:tcPr>
          <w:p>
            <w:pPr>
              <w:jc w:val="right"/>
              <w:ind w:right="98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1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(400 )</w:t>
            </w:r>
          </w:p>
        </w:tc>
        <w:tc>
          <w:tcPr>
            <w:tcW w:w="36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20" w:type="dxa"/>
            <w:vAlign w:val="bottom"/>
            <w:shd w:val="clear" w:color="auto" w:fill="CFF0FC"/>
          </w:tcPr>
          <w:p>
            <w:pPr>
              <w:spacing w:after="0"/>
              <w:rPr>
                <w:sz w:val="12"/>
                <w:szCs w:val="12"/>
                <w:color w:val="auto"/>
              </w:rPr>
            </w:pPr>
          </w:p>
        </w:tc>
      </w:tr>
      <w:tr>
        <w:trPr>
          <w:trHeight w:val="144"/>
        </w:trPr>
        <w:tc>
          <w:tcPr>
            <w:tcW w:w="6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derivatives—net of tax</w:t>
            </w:r>
          </w:p>
        </w:tc>
        <w:tc>
          <w:tcPr>
            <w:tcW w:w="1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(705 )</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20" w:type="dxa"/>
            <w:vAlign w:val="bottom"/>
          </w:tcPr>
          <w:p>
            <w:pPr>
              <w:spacing w:after="0"/>
              <w:rPr>
                <w:sz w:val="12"/>
                <w:szCs w:val="12"/>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60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change in cash flow derivative foreign currency hedges—net of tax</w:t>
            </w:r>
          </w:p>
        </w:tc>
        <w:tc>
          <w:tcPr>
            <w:tcW w:w="1100" w:type="dxa"/>
            <w:vAlign w:val="bottom"/>
            <w:shd w:val="clear" w:color="auto" w:fill="CFF0FC"/>
          </w:tcPr>
          <w:p>
            <w:pPr>
              <w:jc w:val="right"/>
              <w:ind w:right="98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(497 )</w:t>
            </w:r>
          </w:p>
        </w:tc>
        <w:tc>
          <w:tcPr>
            <w:tcW w:w="54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(120 )</w:t>
            </w:r>
          </w:p>
        </w:tc>
        <w:tc>
          <w:tcPr>
            <w:tcW w:w="360" w:type="dxa"/>
            <w:vAlign w:val="bottom"/>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617</w:t>
            </w:r>
          </w:p>
        </w:tc>
        <w:tc>
          <w:tcPr>
            <w:tcW w:w="120" w:type="dxa"/>
            <w:vAlign w:val="bottom"/>
            <w:shd w:val="clear" w:color="auto" w:fill="CFF0FC"/>
          </w:tcPr>
          <w:p>
            <w:pPr>
              <w:spacing w:after="0"/>
              <w:rPr>
                <w:sz w:val="12"/>
                <w:szCs w:val="12"/>
                <w:color w:val="auto"/>
              </w:rPr>
            </w:pPr>
          </w:p>
        </w:tc>
      </w:tr>
      <w:tr>
        <w:trPr>
          <w:trHeight w:val="306"/>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2"/>
                <w:szCs w:val="12"/>
                <w:b w:val="1"/>
                <w:bCs w:val="1"/>
                <w:color w:val="auto"/>
              </w:rPr>
              <w:t>Interest Rate Swaps</w:t>
            </w:r>
          </w:p>
        </w:tc>
        <w:tc>
          <w:tcPr>
            <w:tcW w:w="1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144"/>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Reclassification of derivative gains to earnings—net of tax</w:t>
            </w:r>
          </w:p>
        </w:tc>
        <w:tc>
          <w:tcPr>
            <w:tcW w:w="1100" w:type="dxa"/>
            <w:vAlign w:val="bottom"/>
            <w:shd w:val="clear" w:color="auto" w:fill="CFF0FC"/>
          </w:tcPr>
          <w:p>
            <w:pPr>
              <w:jc w:val="right"/>
              <w:ind w:right="98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(233 )</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derivatives—net of tax</w:t>
            </w:r>
          </w:p>
        </w:tc>
        <w:tc>
          <w:tcPr>
            <w:tcW w:w="1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r>
      <w:tr>
        <w:trPr>
          <w:trHeight w:val="140"/>
        </w:trPr>
        <w:tc>
          <w:tcPr>
            <w:tcW w:w="602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change in cash flow derivative foreign currency hedges—net of tax</w:t>
            </w:r>
          </w:p>
        </w:tc>
        <w:tc>
          <w:tcPr>
            <w:tcW w:w="1100" w:type="dxa"/>
            <w:vAlign w:val="bottom"/>
            <w:tcBorders>
              <w:bottom w:val="single" w:sz="8" w:color="auto"/>
            </w:tcBorders>
            <w:shd w:val="clear" w:color="auto" w:fill="CFF0FC"/>
          </w:tcPr>
          <w:p>
            <w:pPr>
              <w:jc w:val="right"/>
              <w:ind w:right="98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162</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4"/>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Total net change in cash flow derivative hedges - net of tax</w:t>
            </w:r>
          </w:p>
        </w:tc>
        <w:tc>
          <w:tcPr>
            <w:tcW w:w="1100" w:type="dxa"/>
            <w:vAlign w:val="bottom"/>
          </w:tcPr>
          <w:p>
            <w:pPr>
              <w:jc w:val="right"/>
              <w:ind w:right="98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(1,824 )</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(331 )</w:t>
            </w:r>
          </w:p>
        </w:tc>
      </w:tr>
      <w:tr>
        <w:trPr>
          <w:trHeight w:val="27"/>
        </w:trPr>
        <w:tc>
          <w:tcPr>
            <w:tcW w:w="6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-1108075</wp:posOffset>
            </wp:positionV>
            <wp:extent cx="7429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-1096645</wp:posOffset>
            </wp:positionV>
            <wp:extent cx="7429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-1108075</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-1096645</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-1108075</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-1096645</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-616585</wp:posOffset>
            </wp:positionV>
            <wp:extent cx="7429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-605155</wp:posOffset>
            </wp:positionV>
            <wp:extent cx="7429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-616585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-605155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-616585</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-605155</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-125095</wp:posOffset>
            </wp:positionV>
            <wp:extent cx="7429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-113665</wp:posOffset>
            </wp:positionV>
            <wp:extent cx="7429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-125095</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-113665</wp:posOffset>
            </wp:positionV>
            <wp:extent cx="685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-125095</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Adjustments reclassified from accumulated balances of other comprehensive income (loss) to earnings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89535</wp:posOffset>
            </wp:positionV>
            <wp:extent cx="1692910" cy="133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692910" cy="1339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Statement of Operations Location</w:t>
            </w:r>
          </w:p>
        </w:tc>
        <w:tc>
          <w:tcPr>
            <w:tcW w:w="1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0"/>
                <w:szCs w:val="10"/>
                <w:color w:val="auto"/>
              </w:rPr>
            </w:pPr>
          </w:p>
        </w:tc>
      </w:tr>
      <w:tr>
        <w:trPr>
          <w:trHeight w:val="151"/>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Derivatives:</w:t>
            </w:r>
          </w:p>
        </w:tc>
        <w:tc>
          <w:tcPr>
            <w:tcW w:w="2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4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Fuel hedge contracts</w:t>
            </w:r>
          </w:p>
        </w:tc>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Costs of contract revenues</w:t>
            </w:r>
          </w:p>
        </w:tc>
        <w:tc>
          <w:tcPr>
            <w:tcW w:w="420" w:type="dxa"/>
            <w:vAlign w:val="bottom"/>
            <w:gridSpan w:val="2"/>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w:t>
            </w:r>
          </w:p>
        </w:tc>
        <w:tc>
          <w:tcPr>
            <w:tcW w:w="24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w:t>
            </w:r>
          </w:p>
        </w:tc>
        <w:tc>
          <w:tcPr>
            <w:tcW w:w="48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(14,219 )</w:t>
            </w:r>
          </w:p>
        </w:tc>
      </w:tr>
      <w:tr>
        <w:trPr>
          <w:trHeight w:val="162"/>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Foreign currency exchange hedge contracts</w:t>
            </w:r>
          </w:p>
        </w:tc>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 income (expense)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4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rate swaps</w:t>
            </w:r>
          </w:p>
        </w:tc>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expense—net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(312 )</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400" w:type="dxa"/>
            <w:vAlign w:val="bottom"/>
            <w:shd w:val="clear" w:color="auto" w:fill="CFF0FC"/>
          </w:tcPr>
          <w:p>
            <w:pPr>
              <w:spacing w:after="0"/>
              <w:rPr>
                <w:sz w:val="13"/>
                <w:szCs w:val="13"/>
                <w:color w:val="auto"/>
              </w:rPr>
            </w:pPr>
          </w:p>
        </w:tc>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(3,590 )</w:t>
            </w:r>
          </w:p>
        </w:tc>
      </w:tr>
      <w:tr>
        <w:trPr>
          <w:trHeight w:val="20"/>
        </w:trPr>
        <w:tc>
          <w:tcPr>
            <w:tcW w:w="44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0"/>
        </w:trPr>
        <w:tc>
          <w:tcPr>
            <w:tcW w:w="44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1,568</w:t>
            </w:r>
          </w:p>
        </w:tc>
        <w:tc>
          <w:tcPr>
            <w:tcW w:w="240" w:type="dxa"/>
            <w:vAlign w:val="bottom"/>
          </w:tcPr>
          <w:p>
            <w:pPr>
              <w:spacing w:after="0"/>
              <w:rPr>
                <w:sz w:val="12"/>
                <w:szCs w:val="12"/>
                <w:color w:val="auto"/>
              </w:rPr>
            </w:pPr>
          </w:p>
        </w:tc>
        <w:tc>
          <w:tcPr>
            <w:tcW w:w="2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861</w:t>
            </w:r>
          </w:p>
        </w:tc>
        <w:tc>
          <w:tcPr>
            <w:tcW w:w="24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(10,629 )</w:t>
            </w:r>
          </w:p>
        </w:tc>
      </w:tr>
      <w:tr>
        <w:trPr>
          <w:trHeight w:val="432"/>
        </w:trPr>
        <w:tc>
          <w:tcPr>
            <w:tcW w:w="4400" w:type="dxa"/>
            <w:vAlign w:val="bottom"/>
          </w:tcPr>
          <w:p>
            <w:pPr>
              <w:spacing w:after="0"/>
              <w:rPr>
                <w:sz w:val="24"/>
                <w:szCs w:val="24"/>
                <w:color w:val="auto"/>
              </w:rPr>
            </w:pPr>
          </w:p>
        </w:tc>
        <w:tc>
          <w:tcPr>
            <w:tcW w:w="282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70</w:t>
            </w: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504"/>
        </w:trPr>
        <w:tc>
          <w:tcPr>
            <w:tcW w:w="44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5418455</wp:posOffset>
            </wp:positionH>
            <wp:positionV relativeFrom="paragraph">
              <wp:posOffset>-719455</wp:posOffset>
            </wp:positionV>
            <wp:extent cx="7429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-719455</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-719455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financial instruments</w:t>
      </w:r>
    </w:p>
    <w:p>
      <w:pPr>
        <w:spacing w:after="0" w:line="154" w:lineRule="exact"/>
        <w:rPr>
          <w:sz w:val="20"/>
          <w:szCs w:val="20"/>
          <w:color w:val="auto"/>
        </w:rPr>
      </w:pPr>
    </w:p>
    <w:p>
      <w:pPr>
        <w:ind w:firstLine="512"/>
        <w:spacing w:after="0" w:line="257" w:lineRule="auto"/>
        <w:rPr>
          <w:sz w:val="20"/>
          <w:szCs w:val="20"/>
          <w:color w:val="auto"/>
        </w:rPr>
      </w:pPr>
      <w:r>
        <w:rPr>
          <w:rFonts w:ascii="Times New Roman" w:cs="Times New Roman" w:eastAsia="Times New Roman" w:hAnsi="Times New Roman"/>
          <w:sz w:val="12"/>
          <w:szCs w:val="12"/>
          <w:color w:val="auto"/>
        </w:rPr>
        <w:t xml:space="preserve">The carrying value of financial instruments included in current assets and current liabilities approximates fair value due to the short-term maturities of these instruments. Based on timing of the cash flows and comparison to current market interest rates, the carrying values of the ABL Amendment and Second Lien Credit Agreement approximate fair value at December 31, 2024. In May 2021, the Company sold </w:t>
      </w:r>
      <w:r>
        <w:rPr>
          <w:rFonts w:ascii="Times New Roman" w:cs="Times New Roman" w:eastAsia="Times New Roman" w:hAnsi="Times New Roman"/>
          <w:sz w:val="12"/>
          <w:szCs w:val="12"/>
          <w:color w:val="2E2E2E"/>
        </w:rPr>
        <w:t>$325.0 million of the 2029 Notes pursuant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E2E2E"/>
        </w:rPr>
        <w:t xml:space="preserve">a private offering, which were outstanding at December 31, 2022 (See Note 6, Long-Term Debt). The 2029 Notes were priced to investors at par and will mature on June 1, 2029. </w:t>
      </w:r>
      <w:r>
        <w:rPr>
          <w:rFonts w:ascii="Times New Roman" w:cs="Times New Roman" w:eastAsia="Times New Roman" w:hAnsi="Times New Roman"/>
          <w:sz w:val="12"/>
          <w:szCs w:val="12"/>
          <w:color w:val="000000"/>
        </w:rPr>
        <w:t>The 2029 Notes are senior unsecured obligations of the</w:t>
      </w:r>
      <w:r>
        <w:rPr>
          <w:rFonts w:ascii="Times New Roman" w:cs="Times New Roman" w:eastAsia="Times New Roman" w:hAnsi="Times New Roman"/>
          <w:sz w:val="12"/>
          <w:szCs w:val="12"/>
          <w:color w:val="2E2E2E"/>
        </w:rPr>
        <w:t xml:space="preserve"> </w:t>
      </w:r>
      <w:r>
        <w:rPr>
          <w:rFonts w:ascii="Times New Roman" w:cs="Times New Roman" w:eastAsia="Times New Roman" w:hAnsi="Times New Roman"/>
          <w:sz w:val="12"/>
          <w:szCs w:val="12"/>
          <w:color w:val="000000"/>
        </w:rPr>
        <w:t>Company and its subsidiaries that guarantee the 2029 Notes. The fair value of the 2029 Notes was $301.5 million at December 31, 2024,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INCOME TAXES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Company’s income tax provision (benefit) for the years ended December 31, 2024, 2023 and 2022 are as follows:</w:t>
      </w:r>
    </w:p>
    <w:p>
      <w:pPr>
        <w:spacing w:after="0" w:line="144" w:lineRule="exact"/>
        <w:rPr>
          <w:sz w:val="20"/>
          <w:szCs w:val="20"/>
          <w:color w:val="auto"/>
        </w:rPr>
      </w:pPr>
    </w:p>
    <w:tbl>
      <w:tblPr>
        <w:tblLayout w:type="fixed"/>
        <w:tblInd w:w="500" w:type="dxa"/>
        <w:tblCellMar>
          <w:top w:w="0" w:type="dxa"/>
          <w:left w:w="0" w:type="dxa"/>
          <w:bottom w:w="0" w:type="dxa"/>
          <w:right w:w="0" w:type="dxa"/>
        </w:tblCellMar>
      </w:tblPr>
      <w:tr>
        <w:trPr>
          <w:trHeight w:val="115"/>
        </w:trPr>
        <w:tc>
          <w:tcPr>
            <w:tcW w:w="6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534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2"/>
                <w:szCs w:val="12"/>
                <w:color w:val="auto"/>
              </w:rPr>
              <w:t>Income tax (provision) benefit</w:t>
            </w: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18,120</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4,406</w:t>
            </w: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(9,360 )</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3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5"/>
        </w:trPr>
        <w:tc>
          <w:tcPr>
            <w:tcW w:w="76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The Company’s income (loss) before income tax from domestic and foreign operations for the years ended December 31, 2024, 2023 and 2022 are as follows: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Domestic operations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5340" w:type="dxa"/>
            <w:vAlign w:val="bottom"/>
            <w:vMerge w:val="continue"/>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77,285</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19,549</w:t>
            </w:r>
          </w:p>
        </w:tc>
        <w:tc>
          <w:tcPr>
            <w:tcW w:w="200" w:type="dxa"/>
            <w:vAlign w:val="bottom"/>
          </w:tcPr>
          <w:p>
            <w:pPr>
              <w:spacing w:after="0"/>
              <w:rPr>
                <w:sz w:val="11"/>
                <w:szCs w:val="11"/>
                <w:color w:val="auto"/>
              </w:rPr>
            </w:pPr>
          </w:p>
        </w:tc>
        <w:tc>
          <w:tcPr>
            <w:tcW w:w="2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(43,179</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Foreign operations</w:t>
            </w:r>
          </w:p>
        </w:tc>
        <w:tc>
          <w:tcPr>
            <w:tcW w:w="2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(1,900 )</w:t>
            </w:r>
          </w:p>
        </w:tc>
        <w:tc>
          <w:tcPr>
            <w:tcW w:w="4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(1,237 )</w:t>
            </w:r>
          </w:p>
        </w:tc>
        <w:tc>
          <w:tcPr>
            <w:tcW w:w="2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 w:type="dxa"/>
            <w:vAlign w:val="bottom"/>
          </w:tcPr>
          <w:p>
            <w:pPr>
              <w:spacing w:after="0"/>
              <w:rPr>
                <w:sz w:val="12"/>
                <w:szCs w:val="12"/>
                <w:color w:val="auto"/>
              </w:rPr>
            </w:pPr>
          </w:p>
        </w:tc>
        <w:tc>
          <w:tcPr>
            <w:tcW w:w="53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income (loss) before income taxes</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75,385</w:t>
            </w:r>
          </w:p>
        </w:tc>
        <w:tc>
          <w:tcPr>
            <w:tcW w:w="22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18,312</w:t>
            </w:r>
          </w:p>
        </w:tc>
        <w:tc>
          <w:tcPr>
            <w:tcW w:w="200" w:type="dxa"/>
            <w:vAlign w:val="bottom"/>
          </w:tcPr>
          <w:p>
            <w:pPr>
              <w:spacing w:after="0"/>
              <w:rPr>
                <w:sz w:val="12"/>
                <w:szCs w:val="12"/>
                <w:color w:val="auto"/>
              </w:rPr>
            </w:pPr>
          </w:p>
        </w:tc>
        <w:tc>
          <w:tcPr>
            <w:tcW w:w="2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(43,415 )</w:t>
            </w:r>
          </w:p>
        </w:tc>
        <w:tc>
          <w:tcPr>
            <w:tcW w:w="0" w:type="dxa"/>
            <w:vAlign w:val="bottom"/>
          </w:tcPr>
          <w:p>
            <w:pPr>
              <w:spacing w:after="0"/>
              <w:rPr>
                <w:sz w:val="1"/>
                <w:szCs w:val="1"/>
                <w:color w:val="auto"/>
              </w:rPr>
            </w:pPr>
          </w:p>
        </w:tc>
      </w:tr>
      <w:tr>
        <w:trPr>
          <w:trHeight w:val="306"/>
        </w:trPr>
        <w:tc>
          <w:tcPr>
            <w:tcW w:w="5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provision (benefit) for income taxes as of December 31, 2024, 2023 and 2022 is as follows:</w:t>
            </w: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Federal:</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5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Current</w:t>
            </w: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15,814</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(9,754 )</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State:</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Current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(90 )</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Deferred</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Foreign:</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Current</w:t>
            </w:r>
          </w:p>
        </w:tc>
        <w:tc>
          <w:tcPr>
            <w:tcW w:w="2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(214 )</w:t>
            </w:r>
          </w:p>
        </w:tc>
        <w:tc>
          <w:tcPr>
            <w:tcW w:w="4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53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18,120</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4,406</w:t>
            </w: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(9,360 )</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3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4772660</wp:posOffset>
            </wp:positionH>
            <wp:positionV relativeFrom="paragraph">
              <wp:posOffset>-1965325</wp:posOffset>
            </wp:positionV>
            <wp:extent cx="5715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-1953895</wp:posOffset>
            </wp:positionV>
            <wp:extent cx="5715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-1965325</wp:posOffset>
            </wp:positionV>
            <wp:extent cx="5715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-1953895</wp:posOffset>
            </wp:positionV>
            <wp:extent cx="5715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-1965325</wp:posOffset>
            </wp:positionV>
            <wp:extent cx="5715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-1953895</wp:posOffset>
            </wp:positionV>
            <wp:extent cx="5715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-1405255</wp:posOffset>
            </wp:positionV>
            <wp:extent cx="5715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-1405255</wp:posOffset>
            </wp:positionV>
            <wp:extent cx="5715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-1405255</wp:posOffset>
            </wp:positionV>
            <wp:extent cx="5715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-16510</wp:posOffset>
            </wp:positionV>
            <wp:extent cx="5715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-5080</wp:posOffset>
            </wp:positionV>
            <wp:extent cx="5715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-16510</wp:posOffset>
            </wp:positionV>
            <wp:extent cx="5715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-5080</wp:posOffset>
            </wp:positionV>
            <wp:extent cx="5715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-16510</wp:posOffset>
            </wp:positionV>
            <wp:extent cx="5715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-5080</wp:posOffset>
            </wp:positionV>
            <wp:extent cx="5715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Company’s income tax provision (benefit) reconciles to the provision (benefit) at the statutory U.S. federal income tax rate of 21% for the years ended December 31, 2024, 2023 and 2022, as follows:</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Tax provision (benefit) at statutory U.S. federal income tax rate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3"/>
        </w:trPr>
        <w:tc>
          <w:tcPr>
            <w:tcW w:w="5340" w:type="dxa"/>
            <w:vAlign w:val="bottom"/>
            <w:vMerge w:val="continue"/>
          </w:tcPr>
          <w:p>
            <w:pPr>
              <w:spacing w:after="0"/>
              <w:rPr>
                <w:sz w:val="11"/>
                <w:szCs w:val="11"/>
                <w:color w:val="auto"/>
              </w:rPr>
            </w:pPr>
          </w:p>
        </w:tc>
        <w:tc>
          <w:tcPr>
            <w:tcW w:w="660" w:type="dxa"/>
            <w:vAlign w:val="bottom"/>
          </w:tcPr>
          <w:p>
            <w:pPr>
              <w:jc w:val="right"/>
              <w:ind w:right="54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15,831</w:t>
            </w:r>
          </w:p>
        </w:tc>
        <w:tc>
          <w:tcPr>
            <w:tcW w:w="220" w:type="dxa"/>
            <w:vAlign w:val="bottom"/>
          </w:tcPr>
          <w:p>
            <w:pPr>
              <w:spacing w:after="0"/>
              <w:rPr>
                <w:sz w:val="11"/>
                <w:szCs w:val="11"/>
                <w:color w:val="auto"/>
              </w:rPr>
            </w:pPr>
          </w:p>
        </w:tc>
        <w:tc>
          <w:tcPr>
            <w:tcW w:w="700" w:type="dxa"/>
            <w:vAlign w:val="bottom"/>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3,846</w:t>
            </w:r>
          </w:p>
        </w:tc>
        <w:tc>
          <w:tcPr>
            <w:tcW w:w="200" w:type="dxa"/>
            <w:vAlign w:val="bottom"/>
          </w:tcPr>
          <w:p>
            <w:pPr>
              <w:spacing w:after="0"/>
              <w:rPr>
                <w:sz w:val="11"/>
                <w:szCs w:val="11"/>
                <w:color w:val="auto"/>
              </w:rPr>
            </w:pPr>
          </w:p>
        </w:tc>
        <w:tc>
          <w:tcPr>
            <w:tcW w:w="2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(9,117</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State income tax — net of federal income tax benefit</w:t>
            </w: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1,990</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774</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(3,952 )</w:t>
            </w:r>
          </w:p>
        </w:tc>
        <w:tc>
          <w:tcPr>
            <w:tcW w:w="0" w:type="dxa"/>
            <w:vAlign w:val="bottom"/>
          </w:tcPr>
          <w:p>
            <w:pPr>
              <w:spacing w:after="0"/>
              <w:rPr>
                <w:sz w:val="1"/>
                <w:szCs w:val="1"/>
                <w:color w:val="auto"/>
              </w:rPr>
            </w:pPr>
          </w:p>
        </w:tc>
      </w:tr>
      <w:tr>
        <w:trPr>
          <w:trHeight w:val="144"/>
        </w:trPr>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 to deferred tax depreciation</w:t>
            </w:r>
          </w:p>
        </w:tc>
        <w:tc>
          <w:tcPr>
            <w:tcW w:w="66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 based compensation</w:t>
            </w: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(414 )</w:t>
            </w:r>
          </w:p>
        </w:tc>
        <w:tc>
          <w:tcPr>
            <w:tcW w:w="0" w:type="dxa"/>
            <w:vAlign w:val="bottom"/>
          </w:tcPr>
          <w:p>
            <w:pPr>
              <w:spacing w:after="0"/>
              <w:rPr>
                <w:sz w:val="1"/>
                <w:szCs w:val="1"/>
                <w:color w:val="auto"/>
              </w:rPr>
            </w:pPr>
          </w:p>
        </w:tc>
      </w:tr>
      <w:tr>
        <w:trPr>
          <w:trHeight w:val="144"/>
        </w:trPr>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Nondeductible officer compensation</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Research and development tax credits</w:t>
            </w:r>
          </w:p>
        </w:tc>
        <w:tc>
          <w:tcPr>
            <w:tcW w:w="6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(600 )</w:t>
            </w:r>
          </w:p>
        </w:tc>
        <w:tc>
          <w:tcPr>
            <w:tcW w:w="7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(796 )</w:t>
            </w:r>
          </w:p>
        </w:tc>
        <w:tc>
          <w:tcPr>
            <w:tcW w:w="2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(518 )</w:t>
            </w:r>
          </w:p>
        </w:tc>
        <w:tc>
          <w:tcPr>
            <w:tcW w:w="0" w:type="dxa"/>
            <w:vAlign w:val="bottom"/>
          </w:tcPr>
          <w:p>
            <w:pPr>
              <w:spacing w:after="0"/>
              <w:rPr>
                <w:sz w:val="1"/>
                <w:szCs w:val="1"/>
                <w:color w:val="auto"/>
              </w:rPr>
            </w:pPr>
          </w:p>
        </w:tc>
      </w:tr>
      <w:tr>
        <w:trPr>
          <w:trHeight w:val="144"/>
        </w:trPr>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Changes in valuation allowance</w:t>
            </w:r>
          </w:p>
        </w:tc>
        <w:tc>
          <w:tcPr>
            <w:tcW w:w="66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(127 )</w:t>
            </w:r>
          </w:p>
        </w:tc>
        <w:tc>
          <w:tcPr>
            <w:tcW w:w="7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3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Income tax provision (benefit)</w:t>
            </w:r>
          </w:p>
        </w:tc>
        <w:tc>
          <w:tcPr>
            <w:tcW w:w="660" w:type="dxa"/>
            <w:vAlign w:val="bottom"/>
          </w:tcPr>
          <w:p>
            <w:pPr>
              <w:jc w:val="right"/>
              <w:ind w:right="54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18,120</w:t>
            </w:r>
          </w:p>
        </w:tc>
        <w:tc>
          <w:tcPr>
            <w:tcW w:w="220" w:type="dxa"/>
            <w:vAlign w:val="bottom"/>
          </w:tcPr>
          <w:p>
            <w:pPr>
              <w:spacing w:after="0"/>
              <w:rPr>
                <w:sz w:val="11"/>
                <w:szCs w:val="11"/>
                <w:color w:val="auto"/>
              </w:rPr>
            </w:pPr>
          </w:p>
        </w:tc>
        <w:tc>
          <w:tcPr>
            <w:tcW w:w="700" w:type="dxa"/>
            <w:vAlign w:val="bottom"/>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4,406</w:t>
            </w:r>
          </w:p>
        </w:tc>
        <w:tc>
          <w:tcPr>
            <w:tcW w:w="200" w:type="dxa"/>
            <w:vAlign w:val="bottom"/>
          </w:tcPr>
          <w:p>
            <w:pPr>
              <w:spacing w:after="0"/>
              <w:rPr>
                <w:sz w:val="11"/>
                <w:szCs w:val="11"/>
                <w:color w:val="auto"/>
              </w:rPr>
            </w:pPr>
          </w:p>
        </w:tc>
        <w:tc>
          <w:tcPr>
            <w:tcW w:w="2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(9,360 )</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4772660</wp:posOffset>
            </wp:positionH>
            <wp:positionV relativeFrom="paragraph">
              <wp:posOffset>-113665</wp:posOffset>
            </wp:positionV>
            <wp:extent cx="5715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-113665</wp:posOffset>
            </wp:positionV>
            <wp:extent cx="5715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-113665</wp:posOffset>
            </wp:positionV>
            <wp:extent cx="5715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13" w:lineRule="exact"/>
        <w:rPr>
          <w:sz w:val="20"/>
          <w:szCs w:val="20"/>
          <w:color w:val="auto"/>
        </w:rPr>
      </w:pPr>
    </w:p>
    <w:p>
      <w:pPr>
        <w:ind w:right="160" w:firstLine="512"/>
        <w:spacing w:after="0" w:line="279" w:lineRule="auto"/>
        <w:rPr>
          <w:sz w:val="20"/>
          <w:szCs w:val="20"/>
          <w:color w:val="auto"/>
        </w:rPr>
      </w:pPr>
      <w:r>
        <w:rPr>
          <w:rFonts w:ascii="Times New Roman" w:cs="Times New Roman" w:eastAsia="Times New Roman" w:hAnsi="Times New Roman"/>
          <w:sz w:val="12"/>
          <w:szCs w:val="12"/>
          <w:color w:val="auto"/>
        </w:rPr>
        <w:t>At December 31, 2024 and 2023, the Company had loss carryforwards for federal income tax purposes of $2.9 million and $14.0 million respectively. The loss carryforwards at December 31, 2024 may be carried forward indefinitely. The Company also has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45" w:right="359" w:bottom="1440" w:gutter="0" w:footer="0" w:header="0"/>
        </w:sectPr>
      </w:pPr>
    </w:p>
    <w:bookmarkStart w:id="73" w:name="page74"/>
    <w:bookmarkEnd w:id="73"/>
    <w:p>
      <w:pPr>
        <w:spacing w:after="0" w:line="279" w:lineRule="auto"/>
        <w:rPr>
          <w:sz w:val="20"/>
          <w:szCs w:val="20"/>
          <w:color w:val="auto"/>
        </w:rPr>
      </w:pPr>
      <w:r>
        <w:rPr>
          <w:rFonts w:ascii="Times New Roman" w:cs="Times New Roman" w:eastAsia="Times New Roman" w:hAnsi="Times New Roman"/>
          <w:sz w:val="12"/>
          <w:szCs w:val="12"/>
          <w:color w:val="auto"/>
        </w:rPr>
        <w:t>indefinite life carryforwards as a result of interest limitations. Starting in 2022, the Company has research costs attributable to research and development that are currently expensed but are required to be capitalized for U.S. tax purposes and amortized primarily over 5 or 15 years.</w:t>
      </w:r>
    </w:p>
    <w:p>
      <w:pPr>
        <w:spacing w:after="0" w:line="111"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At December 31, 2024 and 2023, the Company had gross net operating loss carryforwards for state income tax purposes totaling $184.5 million and $182.4 million, respectively, which expire between 2029 and 2044. The Company has established a valuation allowance that was $7.3 million and $6.6 million as of December 31, 2024 and 2023, respectively. The Company believes that the remaining net operating losses, net of the valuation allowance, will be fully utilized in future periods.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also has no foreign gross net operating loss carryforwards as of December 31, 2024 and 2023, respectively</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does not expect that total unrecognized tax benefits will significantly increase or decrease within the next 12 months.</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Company’s policy is to recognize interest and penalties related to income tax matters in income tax expense. As of December 31, 2024, 2023 and 2022 the Company had no interest and penalties recorded.</w:t>
      </w:r>
    </w:p>
    <w:p>
      <w:pPr>
        <w:spacing w:after="0" w:line="150" w:lineRule="exact"/>
        <w:rPr>
          <w:sz w:val="20"/>
          <w:szCs w:val="20"/>
          <w:color w:val="auto"/>
        </w:rPr>
      </w:pPr>
    </w:p>
    <w:p>
      <w:pPr>
        <w:ind w:right="220" w:firstLine="512"/>
        <w:spacing w:after="0" w:line="260" w:lineRule="auto"/>
        <w:rPr>
          <w:sz w:val="20"/>
          <w:szCs w:val="20"/>
          <w:color w:val="auto"/>
        </w:rPr>
      </w:pPr>
      <w:r>
        <w:rPr>
          <w:rFonts w:ascii="Times New Roman" w:cs="Times New Roman" w:eastAsia="Times New Roman" w:hAnsi="Times New Roman"/>
          <w:sz w:val="12"/>
          <w:szCs w:val="12"/>
          <w:color w:val="auto"/>
        </w:rPr>
        <w:t>The Organisation for Economic Co-operation and Development has proposed a global minimum tax of 15% of reported profits (“Pillar 2”) that has been agreed upon in principle by over 140 countries. During 2023, many countries took steps to incorporate Pillar 2 model rule concepts into their domestic laws. Although the model rules provide a framework for applying the minimum tax, countries may enact Pillar 2 slightly differently than the model rules and on different timelines and may adjust domestic tax incentives in response to Pillar 2. The Company will continue to analyze the law to determine potential impacts. At this time, the Company does not expect the Pillar 2 legislation to have a material impact on its consolidated financial statements.</w:t>
      </w:r>
    </w:p>
    <w:p>
      <w:pPr>
        <w:spacing w:after="0" w:line="122" w:lineRule="exact"/>
        <w:rPr>
          <w:sz w:val="20"/>
          <w:szCs w:val="20"/>
          <w:color w:val="auto"/>
        </w:rPr>
      </w:pPr>
    </w:p>
    <w:p>
      <w:pPr>
        <w:ind w:firstLine="512"/>
        <w:spacing w:after="0" w:line="265" w:lineRule="auto"/>
        <w:rPr>
          <w:sz w:val="20"/>
          <w:szCs w:val="20"/>
          <w:color w:val="auto"/>
        </w:rPr>
      </w:pPr>
      <w:r>
        <w:rPr>
          <w:rFonts w:ascii="Times New Roman" w:cs="Times New Roman" w:eastAsia="Times New Roman" w:hAnsi="Times New Roman"/>
          <w:sz w:val="12"/>
          <w:szCs w:val="12"/>
          <w:color w:val="auto"/>
        </w:rPr>
        <w:t>The Company files income tax returns at the U.S. federal level and in various state and foreign jurisdictions. U.S. federal income tax years prior to 2021 are closed and no longer subject to examination. With few exceptions, the statute of limitations in state taxing jurisdictions in which the Company operates has expired for all years prior to 2020. In foreign jurisdictions in which the Company operates, years prior to 2018 are closed and are no longer subject to examination.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Company’s deferred tax assets (liabilities) at December 31, 2024 and 2023 are as follows:</w:t>
      </w:r>
    </w:p>
    <w:p>
      <w:pPr>
        <w:spacing w:after="0" w:line="144"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4860" w:type="dxa"/>
            <w:vAlign w:val="bottom"/>
          </w:tcPr>
          <w:p>
            <w:pPr>
              <w:spacing w:after="0"/>
              <w:rPr>
                <w:sz w:val="10"/>
                <w:szCs w:val="10"/>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60" w:type="dxa"/>
            <w:vAlign w:val="bottom"/>
          </w:tcPr>
          <w:p>
            <w:pPr>
              <w:spacing w:after="0"/>
              <w:rPr>
                <w:sz w:val="10"/>
                <w:szCs w:val="10"/>
                <w:color w:val="auto"/>
              </w:rPr>
            </w:pPr>
          </w:p>
        </w:tc>
      </w:tr>
      <w:tr>
        <w:trPr>
          <w:trHeight w:val="133"/>
        </w:trPr>
        <w:tc>
          <w:tcPr>
            <w:tcW w:w="48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w:t>
            </w:r>
          </w:p>
        </w:tc>
        <w:tc>
          <w:tcPr>
            <w:tcW w:w="8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4"/>
        </w:trPr>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assets</w:t>
            </w:r>
          </w:p>
        </w:tc>
        <w:tc>
          <w:tcPr>
            <w:tcW w:w="860" w:type="dxa"/>
            <w:vAlign w:val="bottom"/>
          </w:tcPr>
          <w:p>
            <w:pPr>
              <w:jc w:val="right"/>
              <w:ind w:right="74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25,753</w:t>
            </w:r>
          </w:p>
        </w:tc>
        <w:tc>
          <w:tcPr>
            <w:tcW w:w="22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23,685</w:t>
            </w:r>
          </w:p>
        </w:tc>
        <w:tc>
          <w:tcPr>
            <w:tcW w:w="60" w:type="dxa"/>
            <w:vAlign w:val="bottom"/>
          </w:tcPr>
          <w:p>
            <w:pPr>
              <w:spacing w:after="0"/>
              <w:rPr>
                <w:sz w:val="12"/>
                <w:szCs w:val="12"/>
                <w:color w:val="auto"/>
              </w:rPr>
            </w:pPr>
          </w:p>
        </w:tc>
      </w:tr>
      <w:tr>
        <w:trPr>
          <w:trHeight w:val="144"/>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Accrued liabilities</w:t>
            </w: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5,030</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7,378</w:t>
            </w:r>
          </w:p>
        </w:tc>
        <w:tc>
          <w:tcPr>
            <w:tcW w:w="60" w:type="dxa"/>
            <w:vAlign w:val="bottom"/>
            <w:shd w:val="clear" w:color="auto" w:fill="CFF0FC"/>
          </w:tcPr>
          <w:p>
            <w:pPr>
              <w:spacing w:after="0"/>
              <w:rPr>
                <w:sz w:val="12"/>
                <w:szCs w:val="12"/>
                <w:color w:val="auto"/>
              </w:rPr>
            </w:pPr>
          </w:p>
        </w:tc>
      </w:tr>
      <w:tr>
        <w:trPr>
          <w:trHeight w:val="144"/>
        </w:trPr>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Federal NOLs and interest limitations</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4,979</w:t>
            </w:r>
          </w:p>
        </w:tc>
        <w:tc>
          <w:tcPr>
            <w:tcW w:w="60" w:type="dxa"/>
            <w:vAlign w:val="bottom"/>
          </w:tcPr>
          <w:p>
            <w:pPr>
              <w:spacing w:after="0"/>
              <w:rPr>
                <w:sz w:val="12"/>
                <w:szCs w:val="12"/>
                <w:color w:val="auto"/>
              </w:rPr>
            </w:pPr>
          </w:p>
        </w:tc>
      </w:tr>
      <w:tr>
        <w:trPr>
          <w:trHeight w:val="144"/>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State NOLs</w:t>
            </w: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10,216</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9,953</w:t>
            </w:r>
          </w:p>
        </w:tc>
        <w:tc>
          <w:tcPr>
            <w:tcW w:w="60" w:type="dxa"/>
            <w:vAlign w:val="bottom"/>
            <w:shd w:val="clear" w:color="auto" w:fill="CFF0FC"/>
          </w:tcPr>
          <w:p>
            <w:pPr>
              <w:spacing w:after="0"/>
              <w:rPr>
                <w:sz w:val="12"/>
                <w:szCs w:val="12"/>
                <w:color w:val="auto"/>
              </w:rPr>
            </w:pPr>
          </w:p>
        </w:tc>
      </w:tr>
      <w:tr>
        <w:trPr>
          <w:trHeight w:val="144"/>
        </w:trPr>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Research costs</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5,193</w:t>
            </w:r>
          </w:p>
        </w:tc>
        <w:tc>
          <w:tcPr>
            <w:tcW w:w="60" w:type="dxa"/>
            <w:vAlign w:val="bottom"/>
          </w:tcPr>
          <w:p>
            <w:pPr>
              <w:spacing w:after="0"/>
              <w:rPr>
                <w:sz w:val="12"/>
                <w:szCs w:val="12"/>
                <w:color w:val="auto"/>
              </w:rPr>
            </w:pPr>
          </w:p>
        </w:tc>
      </w:tr>
      <w:tr>
        <w:trPr>
          <w:trHeight w:val="144"/>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Tax credit carryforwards</w:t>
            </w: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5,292</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5,457</w:t>
            </w:r>
          </w:p>
        </w:tc>
        <w:tc>
          <w:tcPr>
            <w:tcW w:w="60" w:type="dxa"/>
            <w:vAlign w:val="bottom"/>
            <w:shd w:val="clear" w:color="auto" w:fill="CFF0FC"/>
          </w:tcPr>
          <w:p>
            <w:pPr>
              <w:spacing w:after="0"/>
              <w:rPr>
                <w:sz w:val="12"/>
                <w:szCs w:val="12"/>
                <w:color w:val="auto"/>
              </w:rPr>
            </w:pPr>
          </w:p>
        </w:tc>
      </w:tr>
      <w:tr>
        <w:trPr>
          <w:trHeight w:val="144"/>
        </w:trPr>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Valuation allowance</w:t>
            </w:r>
          </w:p>
        </w:tc>
        <w:tc>
          <w:tcPr>
            <w:tcW w:w="8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(7,315 )</w:t>
            </w:r>
          </w:p>
        </w:tc>
        <w:tc>
          <w:tcPr>
            <w:tcW w:w="320" w:type="dxa"/>
            <w:vAlign w:val="bottom"/>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(6,558 )</w:t>
            </w:r>
          </w:p>
        </w:tc>
      </w:tr>
      <w:tr>
        <w:trPr>
          <w:trHeight w:val="133"/>
        </w:trPr>
        <w:tc>
          <w:tcPr>
            <w:tcW w:w="4860" w:type="dxa"/>
            <w:vAlign w:val="bottom"/>
            <w:tcBorders>
              <w:bottom w:val="single" w:sz="8" w:color="CFF0FC"/>
            </w:tcBorders>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deferred tax assets</w:t>
            </w:r>
          </w:p>
        </w:tc>
        <w:tc>
          <w:tcPr>
            <w:tcW w:w="86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51,021</w:t>
            </w:r>
          </w:p>
        </w:tc>
        <w:tc>
          <w:tcPr>
            <w:tcW w:w="2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top w:val="single" w:sz="8" w:color="auto"/>
              <w:bottom w:val="single" w:sz="8" w:color="auto"/>
            </w:tcBorders>
            <w:shd w:val="clear" w:color="auto" w:fill="CFF0FC"/>
          </w:tcPr>
          <w:p>
            <w:pPr>
              <w:spacing w:after="0"/>
              <w:rPr>
                <w:sz w:val="11"/>
                <w:szCs w:val="11"/>
                <w:color w:val="auto"/>
              </w:rPr>
            </w:pPr>
          </w:p>
        </w:tc>
        <w:tc>
          <w:tcPr>
            <w:tcW w:w="1060" w:type="dxa"/>
            <w:vAlign w:val="bottom"/>
            <w:tcBorders>
              <w:top w:val="single" w:sz="8" w:color="auto"/>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50,087</w:t>
            </w:r>
          </w:p>
        </w:tc>
        <w:tc>
          <w:tcPr>
            <w:tcW w:w="60" w:type="dxa"/>
            <w:vAlign w:val="bottom"/>
            <w:tcBorders>
              <w:bottom w:val="single" w:sz="8" w:color="CFF0FC"/>
            </w:tcBorders>
            <w:shd w:val="clear" w:color="auto" w:fill="CFF0FC"/>
          </w:tcPr>
          <w:p>
            <w:pPr>
              <w:spacing w:after="0"/>
              <w:rPr>
                <w:sz w:val="11"/>
                <w:szCs w:val="11"/>
                <w:color w:val="auto"/>
              </w:rPr>
            </w:pPr>
          </w:p>
        </w:tc>
      </w:tr>
      <w:tr>
        <w:trPr>
          <w:trHeight w:val="133"/>
        </w:trPr>
        <w:tc>
          <w:tcPr>
            <w:tcW w:w="4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4"/>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4"/>
        </w:trPr>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(104,643 )</w:t>
            </w:r>
          </w:p>
        </w:tc>
        <w:tc>
          <w:tcPr>
            <w:tcW w:w="320" w:type="dxa"/>
            <w:vAlign w:val="bottom"/>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(88,906 )</w:t>
            </w:r>
          </w:p>
        </w:tc>
      </w:tr>
      <w:tr>
        <w:trPr>
          <w:trHeight w:val="144"/>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(25,308 )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(23,245 )</w:t>
            </w:r>
          </w:p>
        </w:tc>
      </w:tr>
      <w:tr>
        <w:trPr>
          <w:trHeight w:val="144"/>
        </w:trPr>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liabilities</w:t>
            </w:r>
          </w:p>
        </w:tc>
        <w:tc>
          <w:tcPr>
            <w:tcW w:w="8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(55 )</w:t>
            </w:r>
          </w:p>
        </w:tc>
        <w:tc>
          <w:tcPr>
            <w:tcW w:w="320" w:type="dxa"/>
            <w:vAlign w:val="bottom"/>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(168 )</w:t>
            </w:r>
          </w:p>
        </w:tc>
      </w:tr>
      <w:tr>
        <w:trPr>
          <w:trHeight w:val="20"/>
        </w:trPr>
        <w:tc>
          <w:tcPr>
            <w:tcW w:w="4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4860" w:type="dxa"/>
            <w:vAlign w:val="bottom"/>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deferred tax liabilities</w:t>
            </w:r>
          </w:p>
        </w:tc>
        <w:tc>
          <w:tcPr>
            <w:tcW w:w="8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(130,006 )</w:t>
            </w:r>
          </w:p>
        </w:tc>
        <w:tc>
          <w:tcPr>
            <w:tcW w:w="3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(112,319 )</w:t>
            </w:r>
          </w:p>
        </w:tc>
      </w:tr>
      <w:tr>
        <w:trPr>
          <w:trHeight w:val="20"/>
        </w:trPr>
        <w:tc>
          <w:tcPr>
            <w:tcW w:w="48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33"/>
        </w:trPr>
        <w:tc>
          <w:tcPr>
            <w:tcW w:w="48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noncurrent deferred tax liabilities</w:t>
            </w:r>
          </w:p>
        </w:tc>
        <w:tc>
          <w:tcPr>
            <w:tcW w:w="860" w:type="dxa"/>
            <w:vAlign w:val="bottom"/>
          </w:tcPr>
          <w:p>
            <w:pPr>
              <w:jc w:val="right"/>
              <w:ind w:right="74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(78,985 )</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(62,232 )</w:t>
            </w:r>
          </w:p>
        </w:tc>
      </w:tr>
      <w:tr>
        <w:trPr>
          <w:trHeight w:val="27"/>
        </w:trPr>
        <w:tc>
          <w:tcPr>
            <w:tcW w:w="4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-673735</wp:posOffset>
            </wp:positionV>
            <wp:extent cx="4572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-673735</wp:posOffset>
            </wp:positionV>
            <wp:extent cx="4572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-113665</wp:posOffset>
            </wp:positionV>
            <wp:extent cx="4572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-113665</wp:posOffset>
            </wp:positionV>
            <wp:extent cx="4572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140" w:lineRule="exact"/>
        <w:rPr>
          <w:sz w:val="20"/>
          <w:szCs w:val="20"/>
          <w:color w:val="auto"/>
        </w:rPr>
      </w:pPr>
    </w:p>
    <w:p>
      <w:pPr>
        <w:ind w:right="60" w:firstLine="512"/>
        <w:spacing w:after="0" w:line="257" w:lineRule="auto"/>
        <w:rPr>
          <w:sz w:val="20"/>
          <w:szCs w:val="20"/>
          <w:color w:val="auto"/>
        </w:rPr>
      </w:pPr>
      <w:r>
        <w:rPr>
          <w:rFonts w:ascii="Times New Roman" w:cs="Times New Roman" w:eastAsia="Times New Roman" w:hAnsi="Times New Roman"/>
          <w:sz w:val="12"/>
          <w:szCs w:val="12"/>
          <w:color w:val="auto"/>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The Company evaluates its ability to realize deferred tax assets by considering all available positive and negative evidence. This evidence includes its cumulative earnings or losses in recent years. The Company further considers the impact on these cumulative earnings or losses of discontinued operations and other divested operations and joint ventures, restructuring charges and other nonrecurring adjustments that are not indicative of its ability to generate taxable income in future periods. The Company also considers sources of taxable income, such as the amount and timing of realization of its deferred tax liabilities relative to the timing of expiration of loss carryforwards. When it is estimated to be more likely than not that all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74" w:name="page75"/>
    <w:bookmarkEnd w:id="74"/>
    <w:p>
      <w:pPr>
        <w:ind w:right="60"/>
        <w:spacing w:after="0" w:line="260" w:lineRule="auto"/>
        <w:rPr>
          <w:sz w:val="20"/>
          <w:szCs w:val="20"/>
          <w:color w:val="auto"/>
        </w:rPr>
      </w:pPr>
      <w:r>
        <w:rPr>
          <w:rFonts w:ascii="Times New Roman" w:cs="Times New Roman" w:eastAsia="Times New Roman" w:hAnsi="Times New Roman"/>
          <w:sz w:val="12"/>
          <w:szCs w:val="12"/>
          <w:color w:val="auto"/>
        </w:rPr>
        <w:t>or some portion of deferred tax assets will not be realized, the Company establishes a valuation allowance for the amount of such deferred tax assets considered to be unrealizable. After evaluating the positive and negative evidence for future realization of deferred tax assets, the Company recorded valuation allowances for foreign net operating loss carryforwards and certain state net operating loss carryforwards to reduce the balance of these deferred tax assets at December 31, 2024 and 2023 as it was more likely than not that the balance of these tax items would not be realized. By contrast, after evaluating the positive and negative evidence, the Company concluded that it was more likely than not that the deferred federal income tax asset and remaining state net operating loss carryforwards recorded at December 31, 2024 and 2023 would ultimately be realized and determined that no valuation allowance was required.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SHARE-BASED COMPENSATION</w:t>
      </w:r>
    </w:p>
    <w:p>
      <w:pPr>
        <w:spacing w:after="0" w:line="82" w:lineRule="exact"/>
        <w:rPr>
          <w:sz w:val="20"/>
          <w:szCs w:val="20"/>
          <w:color w:val="auto"/>
        </w:rPr>
      </w:pPr>
    </w:p>
    <w:p>
      <w:pPr>
        <w:ind w:right="80" w:firstLine="512"/>
        <w:spacing w:after="0" w:line="257" w:lineRule="auto"/>
        <w:rPr>
          <w:sz w:val="20"/>
          <w:szCs w:val="20"/>
          <w:color w:val="auto"/>
        </w:rPr>
      </w:pPr>
      <w:r>
        <w:rPr>
          <w:rFonts w:ascii="Times New Roman" w:cs="Times New Roman" w:eastAsia="Times New Roman" w:hAnsi="Times New Roman"/>
          <w:sz w:val="12"/>
          <w:szCs w:val="12"/>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 The Company may also issue share-based compensation as inducement awards to new employees upon approval of the board of directors and/or the applicable committee or committees thereof, as may be required.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Compensation cost charged to expense related to share-based compensation arrangements was $8.6 million, $6.3 million and $4.3 million, for the years ended December 31, 2024, 2023 and 2022,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Non-qualified stock options</w:t>
      </w:r>
    </w:p>
    <w:p>
      <w:pPr>
        <w:spacing w:after="0" w:line="82" w:lineRule="exact"/>
        <w:rPr>
          <w:sz w:val="20"/>
          <w:szCs w:val="20"/>
          <w:color w:val="auto"/>
        </w:rPr>
      </w:pPr>
    </w:p>
    <w:p>
      <w:pPr>
        <w:ind w:right="100" w:firstLine="512"/>
        <w:spacing w:after="0" w:line="279" w:lineRule="auto"/>
        <w:rPr>
          <w:sz w:val="20"/>
          <w:szCs w:val="20"/>
          <w:color w:val="auto"/>
        </w:rPr>
      </w:pPr>
      <w:r>
        <w:rPr>
          <w:rFonts w:ascii="Times New Roman" w:cs="Times New Roman" w:eastAsia="Times New Roman" w:hAnsi="Times New Roman"/>
          <w:sz w:val="12"/>
          <w:szCs w:val="12"/>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39" w:lineRule="exact"/>
        <w:rPr>
          <w:sz w:val="20"/>
          <w:szCs w:val="20"/>
          <w:color w:val="auto"/>
        </w:rPr>
      </w:pPr>
    </w:p>
    <w:p>
      <w:pPr>
        <w:ind w:right="60" w:firstLine="512"/>
        <w:spacing w:after="0" w:line="284" w:lineRule="auto"/>
        <w:rPr>
          <w:sz w:val="20"/>
          <w:szCs w:val="20"/>
          <w:color w:val="auto"/>
        </w:rPr>
      </w:pPr>
      <w:r>
        <w:rPr>
          <w:rFonts w:ascii="Times New Roman" w:cs="Times New Roman" w:eastAsia="Times New Roman" w:hAnsi="Times New Roman"/>
          <w:sz w:val="11"/>
          <w:szCs w:val="11"/>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The volatility assumptions were based on historical volatility of Great Lakes. There is not an active market for options on the Company’s common stock and, as such, implied volatility for the Company’s stock was not considered. Additionally, the Company’s general policy is to issue new shares of registered common stock to satisfy stock option exercises or grants of restricted stock. No NQSO awards were granted in 2024, 2023 and 2022. The aggregate intrinsic value of stock options represents the difference between market value on the date of exercise and the option price. The aggregate intrinsic value of stock options exercised during 2024 was $0.1 million. No stock options were exercised during 2023. The aggregate intrinsic value of stock options exercised during 2022 was $0.2 million.</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 summary of stock option activity under the Incentive Plan as of December 31, 2024, and changes during the year ended December 31, 2024, is presented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7"/>
              </w:rPr>
              <w:t>Weighted-Average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Aggregate Intrinsic</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3740" w:type="dxa"/>
            <w:vAlign w:val="bottom"/>
            <w:vMerge w:val="restart"/>
          </w:tcPr>
          <w:p>
            <w:pPr>
              <w:ind w:left="170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120" w:type="dxa"/>
            <w:vAlign w:val="bottom"/>
          </w:tcPr>
          <w:p>
            <w:pPr>
              <w:spacing w:after="0"/>
              <w:rPr>
                <w:sz w:val="8"/>
                <w:szCs w:val="8"/>
                <w:color w:val="auto"/>
              </w:rPr>
            </w:pPr>
          </w:p>
        </w:tc>
        <w:tc>
          <w:tcPr>
            <w:tcW w:w="13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jc w:val="center"/>
              <w:ind w:left="192"/>
              <w:spacing w:after="0" w:line="99" w:lineRule="exact"/>
              <w:rPr>
                <w:sz w:val="20"/>
                <w:szCs w:val="20"/>
                <w:color w:val="auto"/>
              </w:rPr>
            </w:pPr>
            <w:r>
              <w:rPr>
                <w:rFonts w:ascii="Times New Roman" w:cs="Times New Roman" w:eastAsia="Times New Roman" w:hAnsi="Times New Roman"/>
                <w:sz w:val="10"/>
                <w:szCs w:val="10"/>
                <w:b w:val="1"/>
                <w:bCs w:val="1"/>
                <w:color w:val="auto"/>
                <w:w w:val="98"/>
              </w:rPr>
              <w:t>Remaining</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3"/>
              </w:rPr>
              <w:t>Contract Term (yrs)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Value ($000's)</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374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Outstanding as of January 1, 2024</w:t>
            </w:r>
          </w:p>
        </w:tc>
        <w:tc>
          <w:tcPr>
            <w:tcW w:w="12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008"/>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7.62</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Granted</w:t>
            </w:r>
          </w:p>
        </w:tc>
        <w:tc>
          <w:tcPr>
            <w:tcW w:w="12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spacing w:after="0"/>
              <w:rPr>
                <w:sz w:val="12"/>
                <w:szCs w:val="12"/>
                <w:color w:val="auto"/>
              </w:rPr>
            </w:pPr>
          </w:p>
        </w:tc>
        <w:tc>
          <w:tcPr>
            <w:tcW w:w="1820" w:type="dxa"/>
            <w:vAlign w:val="bottom"/>
            <w:gridSpan w:val="4"/>
            <w:shd w:val="clear" w:color="auto" w:fill="CFF0FC"/>
          </w:tcPr>
          <w:p>
            <w:pPr>
              <w:jc w:val="right"/>
              <w:ind w:right="151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Exercised</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(58 )</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Forfeited or Expired</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(7 )</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374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Outstanding as of December 31, 2024</w:t>
            </w:r>
          </w:p>
        </w:tc>
        <w:tc>
          <w:tcPr>
            <w:tcW w:w="120" w:type="dxa"/>
            <w:vAlign w:val="bottom"/>
            <w:tcBorders>
              <w:top w:val="single" w:sz="8" w:color="CFF0FC"/>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gridSpan w:val="2"/>
          </w:tcPr>
          <w:p>
            <w:pPr>
              <w:spacing w:after="0"/>
              <w:rPr>
                <w:sz w:val="11"/>
                <w:szCs w:val="11"/>
                <w:color w:val="auto"/>
              </w:rPr>
            </w:pPr>
          </w:p>
        </w:tc>
        <w:tc>
          <w:tcPr>
            <w:tcW w:w="112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gridSpan w:val="2"/>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FF0FC"/>
            </w:tcBorders>
            <w:gridSpan w:val="2"/>
          </w:tcPr>
          <w:p>
            <w:pPr>
              <w:spacing w:after="0"/>
              <w:rPr>
                <w:sz w:val="11"/>
                <w:szCs w:val="11"/>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ind w:left="114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top w:val="single" w:sz="8" w:color="CFF0FC"/>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3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Vested at December 31, 2024</w:t>
            </w:r>
          </w:p>
        </w:tc>
        <w:tc>
          <w:tcPr>
            <w:tcW w:w="120" w:type="dxa"/>
            <w:vAlign w:val="bottom"/>
          </w:tcPr>
          <w:p>
            <w:pPr>
              <w:spacing w:after="0"/>
              <w:rPr>
                <w:sz w:val="13"/>
                <w:szCs w:val="13"/>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1008"/>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gridSpan w:val="4"/>
          </w:tcPr>
          <w:p>
            <w:pPr>
              <w:jc w:val="right"/>
              <w:ind w:right="151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3"/>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1"/>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6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73</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-890905</wp:posOffset>
            </wp:positionV>
            <wp:extent cx="6286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-890905</wp:posOffset>
            </wp:positionV>
            <wp:extent cx="6286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-890905</wp:posOffset>
            </wp:positionV>
            <wp:extent cx="6286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6744335</wp:posOffset>
            </wp:positionH>
            <wp:positionV relativeFrom="paragraph">
              <wp:posOffset>-890905</wp:posOffset>
            </wp:positionV>
            <wp:extent cx="685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w:t>
      </w:r>
    </w:p>
    <w:p>
      <w:pPr>
        <w:spacing w:after="0" w:line="82" w:lineRule="exact"/>
        <w:rPr>
          <w:sz w:val="20"/>
          <w:szCs w:val="20"/>
          <w:color w:val="auto"/>
        </w:rPr>
      </w:pPr>
    </w:p>
    <w:p>
      <w:pPr>
        <w:ind w:right="40" w:firstLine="512"/>
        <w:spacing w:after="0" w:line="279" w:lineRule="auto"/>
        <w:rPr>
          <w:sz w:val="20"/>
          <w:szCs w:val="20"/>
          <w:color w:val="auto"/>
        </w:rPr>
      </w:pPr>
      <w:r>
        <w:rPr>
          <w:rFonts w:ascii="Times New Roman" w:cs="Times New Roman" w:eastAsia="Times New Roman" w:hAnsi="Times New Roman"/>
          <w:sz w:val="12"/>
          <w:szCs w:val="12"/>
          <w:color w:val="auto"/>
        </w:rPr>
        <w:t>RSUs primarily vest in equal portions over the three-year vesting period. The fair value of RSUs was based upon the Company’s stock price on the date of grant. A summary of the status of the Company’s non-vested RSUs as of December 31, 2024, and changes during the year ended December 31, 2024, is presented below:</w:t>
      </w:r>
    </w:p>
    <w:p>
      <w:pPr>
        <w:spacing w:after="0" w:line="90"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Weighted-Average</w:t>
            </w:r>
          </w:p>
        </w:tc>
        <w:tc>
          <w:tcPr>
            <w:tcW w:w="0" w:type="dxa"/>
            <w:vAlign w:val="bottom"/>
          </w:tcPr>
          <w:p>
            <w:pPr>
              <w:spacing w:after="0"/>
              <w:rPr>
                <w:sz w:val="1"/>
                <w:szCs w:val="1"/>
                <w:color w:val="auto"/>
              </w:rPr>
            </w:pPr>
          </w:p>
        </w:tc>
      </w:tr>
      <w:tr>
        <w:trPr>
          <w:trHeight w:val="99"/>
        </w:trPr>
        <w:tc>
          <w:tcPr>
            <w:tcW w:w="4880" w:type="dxa"/>
            <w:vAlign w:val="bottom"/>
            <w:vMerge w:val="restart"/>
          </w:tcPr>
          <w:p>
            <w:pPr>
              <w:ind w:left="1740"/>
              <w:spacing w:after="0"/>
              <w:rPr>
                <w:sz w:val="20"/>
                <w:szCs w:val="20"/>
                <w:color w:val="auto"/>
              </w:rPr>
            </w:pPr>
            <w:r>
              <w:rPr>
                <w:rFonts w:ascii="Times New Roman" w:cs="Times New Roman" w:eastAsia="Times New Roman" w:hAnsi="Times New Roman"/>
                <w:sz w:val="10"/>
                <w:szCs w:val="10"/>
                <w:b w:val="1"/>
                <w:bCs w:val="1"/>
                <w:color w:val="auto"/>
              </w:rPr>
              <w:t>Non-vested Restricted Stock Units</w:t>
            </w:r>
          </w:p>
        </w:tc>
        <w:tc>
          <w:tcPr>
            <w:tcW w:w="100" w:type="dxa"/>
            <w:vAlign w:val="bottom"/>
          </w:tcPr>
          <w:p>
            <w:pPr>
              <w:spacing w:after="0"/>
              <w:rPr>
                <w:sz w:val="8"/>
                <w:szCs w:val="8"/>
                <w:color w:val="auto"/>
              </w:rPr>
            </w:pPr>
          </w:p>
        </w:tc>
        <w:tc>
          <w:tcPr>
            <w:tcW w:w="14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6"/>
              </w:rPr>
              <w:t>Grant-Date Fair</w:t>
            </w:r>
          </w:p>
        </w:tc>
        <w:tc>
          <w:tcPr>
            <w:tcW w:w="0" w:type="dxa"/>
            <w:vAlign w:val="bottom"/>
          </w:tcPr>
          <w:p>
            <w:pPr>
              <w:spacing w:after="0"/>
              <w:rPr>
                <w:sz w:val="1"/>
                <w:szCs w:val="1"/>
                <w:color w:val="auto"/>
              </w:rPr>
            </w:pPr>
          </w:p>
        </w:tc>
      </w:tr>
      <w:tr>
        <w:trPr>
          <w:trHeight w:val="115"/>
        </w:trPr>
        <w:tc>
          <w:tcPr>
            <w:tcW w:w="4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33"/>
        </w:trPr>
        <w:tc>
          <w:tcPr>
            <w:tcW w:w="48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Outstanding as of January 1, 2024</w:t>
            </w:r>
          </w:p>
        </w:tc>
        <w:tc>
          <w:tcPr>
            <w:tcW w:w="100" w:type="dxa"/>
            <w:vAlign w:val="bottom"/>
          </w:tcPr>
          <w:p>
            <w:pPr>
              <w:spacing w:after="0"/>
              <w:rPr>
                <w:sz w:val="11"/>
                <w:szCs w:val="11"/>
                <w:color w:val="auto"/>
              </w:rPr>
            </w:pPr>
          </w:p>
        </w:tc>
        <w:tc>
          <w:tcPr>
            <w:tcW w:w="1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1,610</w:t>
            </w:r>
          </w:p>
        </w:tc>
        <w:tc>
          <w:tcPr>
            <w:tcW w:w="60" w:type="dxa"/>
            <w:vAlign w:val="bottom"/>
          </w:tcPr>
          <w:p>
            <w:pPr>
              <w:spacing w:after="0"/>
              <w:rPr>
                <w:sz w:val="11"/>
                <w:szCs w:val="11"/>
                <w:color w:val="auto"/>
              </w:rPr>
            </w:pPr>
          </w:p>
        </w:tc>
        <w:tc>
          <w:tcPr>
            <w:tcW w:w="300" w:type="dxa"/>
            <w:vAlign w:val="bottom"/>
            <w:tcBorders>
              <w:top w:val="single" w:sz="8" w:color="auto"/>
            </w:tcBorders>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Granted</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Vested</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(699 )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Forfeited</w:t>
            </w:r>
          </w:p>
        </w:tc>
        <w:tc>
          <w:tcPr>
            <w:tcW w:w="1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(134 )</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8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Outstanding as of December 31, 2024</w:t>
            </w:r>
          </w:p>
        </w:tc>
        <w:tc>
          <w:tcPr>
            <w:tcW w:w="100" w:type="dxa"/>
            <w:vAlign w:val="bottom"/>
            <w:tcBorders>
              <w:top w:val="single" w:sz="8" w:color="CFF0FC"/>
            </w:tcBorders>
          </w:tcPr>
          <w:p>
            <w:pPr>
              <w:spacing w:after="0"/>
              <w:rPr>
                <w:sz w:val="11"/>
                <w:szCs w:val="11"/>
                <w:color w:val="auto"/>
              </w:rPr>
            </w:pPr>
          </w:p>
        </w:tc>
        <w:tc>
          <w:tcPr>
            <w:tcW w:w="1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1,646</w:t>
            </w:r>
          </w:p>
        </w:tc>
        <w:tc>
          <w:tcPr>
            <w:tcW w:w="60" w:type="dxa"/>
            <w:vAlign w:val="bottom"/>
            <w:tcBorders>
              <w:top w:val="single" w:sz="8" w:color="CFF0FC"/>
            </w:tcBorders>
          </w:tcPr>
          <w:p>
            <w:pPr>
              <w:spacing w:after="0"/>
              <w:rPr>
                <w:sz w:val="11"/>
                <w:szCs w:val="11"/>
                <w:color w:val="auto"/>
              </w:rPr>
            </w:pPr>
          </w:p>
        </w:tc>
        <w:tc>
          <w:tcPr>
            <w:tcW w:w="300" w:type="dxa"/>
            <w:vAlign w:val="bottom"/>
            <w:tcBorders>
              <w:top w:val="single" w:sz="8" w:color="CFF0FC"/>
            </w:tcBorders>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top w:val="single" w:sz="8" w:color="CFF0FC"/>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8.61</w:t>
            </w: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Expected to vest at December 31,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-292100</wp:posOffset>
            </wp:positionV>
            <wp:extent cx="4572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120" w:lineRule="exact"/>
        <w:rPr>
          <w:sz w:val="20"/>
          <w:szCs w:val="20"/>
          <w:color w:val="auto"/>
        </w:rPr>
      </w:pPr>
    </w:p>
    <w:p>
      <w:pPr>
        <w:ind w:right="200" w:firstLine="512"/>
        <w:spacing w:after="0" w:line="279" w:lineRule="auto"/>
        <w:rPr>
          <w:sz w:val="20"/>
          <w:szCs w:val="20"/>
          <w:color w:val="auto"/>
        </w:rPr>
      </w:pPr>
      <w:r>
        <w:rPr>
          <w:rFonts w:ascii="Times New Roman" w:cs="Times New Roman" w:eastAsia="Times New Roman" w:hAnsi="Times New Roman"/>
          <w:sz w:val="12"/>
          <w:szCs w:val="12"/>
          <w:color w:val="auto"/>
        </w:rPr>
        <w:t>As of December 31, 2024, there was $8.5 million of total unrecognized compensation cost related to non-vested RSUs granted under the Incentive Plan. That cost for non-vested RSUs is expected to be recognized over a weighted-average period of 2.3 years.</w:t>
      </w:r>
    </w:p>
    <w:p>
      <w:pPr>
        <w:spacing w:after="0" w:line="138" w:lineRule="exact"/>
        <w:rPr>
          <w:sz w:val="20"/>
          <w:szCs w:val="20"/>
          <w:color w:val="auto"/>
        </w:rPr>
      </w:pPr>
    </w:p>
    <w:p>
      <w:pPr>
        <w:ind w:right="80" w:firstLine="512"/>
        <w:spacing w:after="0" w:line="265" w:lineRule="auto"/>
        <w:rPr>
          <w:sz w:val="20"/>
          <w:szCs w:val="20"/>
          <w:color w:val="auto"/>
        </w:rPr>
      </w:pPr>
      <w:r>
        <w:rPr>
          <w:rFonts w:ascii="Times New Roman" w:cs="Times New Roman" w:eastAsia="Times New Roman" w:hAnsi="Times New Roman"/>
          <w:sz w:val="12"/>
          <w:szCs w:val="12"/>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$2.5 million, $0.6 million and $2.2 million for the years ended December 31, 2024, 2023 and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 compensation</w:t>
      </w:r>
    </w:p>
    <w:p>
      <w:pPr>
        <w:spacing w:after="0" w:line="82" w:lineRule="exact"/>
        <w:rPr>
          <w:sz w:val="20"/>
          <w:szCs w:val="20"/>
          <w:color w:val="auto"/>
        </w:rPr>
      </w:pPr>
    </w:p>
    <w:p>
      <w:pPr>
        <w:ind w:right="60" w:firstLine="512"/>
        <w:spacing w:after="0" w:line="260" w:lineRule="auto"/>
        <w:rPr>
          <w:sz w:val="20"/>
          <w:szCs w:val="20"/>
          <w:color w:val="auto"/>
        </w:rPr>
      </w:pPr>
      <w:r>
        <w:rPr>
          <w:rFonts w:ascii="Times New Roman" w:cs="Times New Roman" w:eastAsia="Times New Roman" w:hAnsi="Times New Roman"/>
          <w:sz w:val="12"/>
          <w:szCs w:val="12"/>
          <w:color w:val="auto"/>
        </w:rPr>
        <w:t>The Company uses a combination of cash and share-based compensation to attract and retain qualified candidates to serve on its board of directors. Compensation is paid to non-employee directors. Directors who are employees receive no additional compensation for services as members of the board of directors or any of its committees. Share-based compensation is paid pursuant to the Incentive Plan. Each non-employee director of the Company receives an annual retainer of $160, payable quarterly in arrears, and is generally paid 50% in cash and 50% in common stock or deferred restricted stock units of the Company. Directors may elect to receive some or all of the cash retainer in common stock or deferred restricted stock units. In 2024, the Chairman of the Board received an additional $100 of annual compensation, paid 100% in common stock.</w:t>
      </w:r>
    </w:p>
    <w:p>
      <w:pPr>
        <w:spacing w:after="0" w:line="122" w:lineRule="exact"/>
        <w:rPr>
          <w:sz w:val="20"/>
          <w:szCs w:val="20"/>
          <w:color w:val="auto"/>
        </w:rPr>
      </w:pPr>
    </w:p>
    <w:p>
      <w:pPr>
        <w:ind w:firstLine="512"/>
        <w:spacing w:after="0" w:line="279" w:lineRule="auto"/>
        <w:rPr>
          <w:sz w:val="20"/>
          <w:szCs w:val="20"/>
          <w:color w:val="auto"/>
        </w:rPr>
      </w:pPr>
      <w:r>
        <w:rPr>
          <w:rFonts w:ascii="Times New Roman" w:cs="Times New Roman" w:eastAsia="Times New Roman" w:hAnsi="Times New Roman"/>
          <w:sz w:val="12"/>
          <w:szCs w:val="12"/>
          <w:color w:val="auto"/>
        </w:rPr>
        <w:t>In the years ended December 31, 2024, 2023 and 2023, 37 thousand, 56 thousand and 106 thousand shares, respectively, of the Company’s common stock or restricted stock units were issued to non-employee directors under the Incentive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REVENUE</w:t>
      </w:r>
    </w:p>
    <w:p>
      <w:pPr>
        <w:spacing w:after="0" w:line="154" w:lineRule="exact"/>
        <w:rPr>
          <w:sz w:val="20"/>
          <w:szCs w:val="20"/>
          <w:color w:val="auto"/>
        </w:rPr>
      </w:pPr>
    </w:p>
    <w:p>
      <w:pPr>
        <w:ind w:right="280" w:firstLine="512"/>
        <w:spacing w:after="0" w:line="279" w:lineRule="auto"/>
        <w:rPr>
          <w:sz w:val="20"/>
          <w:szCs w:val="20"/>
          <w:color w:val="auto"/>
        </w:rPr>
      </w:pPr>
      <w:r>
        <w:rPr>
          <w:rFonts w:ascii="Times New Roman" w:cs="Times New Roman" w:eastAsia="Times New Roman" w:hAnsi="Times New Roman"/>
          <w:sz w:val="12"/>
          <w:szCs w:val="12"/>
          <w:color w:val="auto"/>
        </w:rPr>
        <w:t>The Company’s revenue is derived from contracts for services with federal, state, local and foreign governmental entities and private customers. Revenues are generally derived from the enhancement or preservation of navigability of waterways or the protection of shorelines through the removal or replenishment of soil, sand or rock.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Performance obligations</w:t>
      </w:r>
    </w:p>
    <w:p>
      <w:pPr>
        <w:spacing w:after="0" w:line="154" w:lineRule="exact"/>
        <w:rPr>
          <w:sz w:val="20"/>
          <w:szCs w:val="20"/>
          <w:color w:val="auto"/>
        </w:rPr>
      </w:pPr>
    </w:p>
    <w:p>
      <w:pPr>
        <w:ind w:right="40" w:firstLine="512"/>
        <w:spacing w:after="0" w:line="265" w:lineRule="auto"/>
        <w:rPr>
          <w:sz w:val="20"/>
          <w:szCs w:val="20"/>
          <w:color w:val="auto"/>
        </w:rPr>
      </w:pPr>
      <w:r>
        <w:rPr>
          <w:rFonts w:ascii="Times New Roman" w:cs="Times New Roman" w:eastAsia="Times New Roman" w:hAnsi="Times New Roman"/>
          <w:sz w:val="12"/>
          <w:szCs w:val="12"/>
          <w:color w:val="auto"/>
        </w:rPr>
        <w:t>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w:t>
      </w:r>
    </w:p>
    <w:p>
      <w:pPr>
        <w:spacing w:after="0" w:line="119" w:lineRule="exact"/>
        <w:rPr>
          <w:sz w:val="20"/>
          <w:szCs w:val="20"/>
          <w:color w:val="auto"/>
        </w:rPr>
      </w:pPr>
    </w:p>
    <w:p>
      <w:pPr>
        <w:ind w:right="220" w:firstLine="512"/>
        <w:spacing w:after="0" w:line="265" w:lineRule="auto"/>
        <w:rPr>
          <w:sz w:val="20"/>
          <w:szCs w:val="20"/>
          <w:color w:val="auto"/>
        </w:rPr>
      </w:pPr>
      <w:r>
        <w:rPr>
          <w:rFonts w:ascii="Times New Roman" w:cs="Times New Roman" w:eastAsia="Times New Roman" w:hAnsi="Times New Roman"/>
          <w:sz w:val="12"/>
          <w:szCs w:val="12"/>
          <w:color w:val="auto"/>
        </w:rPr>
        <w:t>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the customer controls, this method provides a faithful depiction of the transfer of an asset to the customer. Generally, the Company has an enforceable right to payment for performance completed to date.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00" w:right="359" w:bottom="1440" w:gutter="0" w:footer="0" w:header="0"/>
        </w:sectPr>
      </w:pPr>
    </w:p>
    <w:bookmarkStart w:id="76" w:name="page77"/>
    <w:bookmarkEnd w:id="76"/>
    <w:p>
      <w:pPr>
        <w:jc w:val="both"/>
        <w:ind w:right="20" w:firstLine="512"/>
        <w:spacing w:after="0" w:line="265" w:lineRule="auto"/>
        <w:rPr>
          <w:sz w:val="20"/>
          <w:szCs w:val="20"/>
          <w:color w:val="auto"/>
        </w:rPr>
      </w:pPr>
      <w:r>
        <w:rPr>
          <w:rFonts w:ascii="Times New Roman" w:cs="Times New Roman" w:eastAsia="Times New Roman" w:hAnsi="Times New Roman"/>
          <w:sz w:val="12"/>
          <w:szCs w:val="12"/>
          <w:color w:val="auto"/>
        </w:rPr>
        <w:t>The majority of the Company’s contracts are completed in a year or less. At December 31, 2024, the Company had $1.19 billion of remaining performance obligations, which the Company refers to as total dredging backlog. Total dredging backlog does not include $44.9 million of performance obligations related to offshore energy contracts. The Company expects to perform on its offshore energy contracts using the inclined fall-pipe vessel for subsea rock installation which is expected to be delivered and operational in the 2026. We anticipate that approximately 60% of the Company’s dredging backlog will be completed in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 price</w:t>
      </w:r>
    </w:p>
    <w:p>
      <w:pPr>
        <w:spacing w:after="0" w:line="154" w:lineRule="exact"/>
        <w:rPr>
          <w:sz w:val="20"/>
          <w:szCs w:val="20"/>
          <w:color w:val="auto"/>
        </w:rPr>
      </w:pPr>
    </w:p>
    <w:p>
      <w:pPr>
        <w:ind w:right="140" w:firstLine="512"/>
        <w:spacing w:after="0" w:line="279" w:lineRule="auto"/>
        <w:rPr>
          <w:sz w:val="20"/>
          <w:szCs w:val="20"/>
          <w:color w:val="auto"/>
        </w:rPr>
      </w:pPr>
      <w:r>
        <w:rPr>
          <w:rFonts w:ascii="Times New Roman" w:cs="Times New Roman" w:eastAsia="Times New Roman" w:hAnsi="Times New Roman"/>
          <w:sz w:val="12"/>
          <w:szCs w:val="12"/>
          <w:color w:val="auto"/>
        </w:rPr>
        <w:t>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w:t>
      </w:r>
    </w:p>
    <w:p>
      <w:pPr>
        <w:spacing w:after="0" w:line="111" w:lineRule="exact"/>
        <w:rPr>
          <w:sz w:val="20"/>
          <w:szCs w:val="20"/>
          <w:color w:val="auto"/>
        </w:rPr>
      </w:pPr>
    </w:p>
    <w:p>
      <w:pPr>
        <w:ind w:right="120" w:firstLine="512"/>
        <w:spacing w:after="0" w:line="265" w:lineRule="auto"/>
        <w:rPr>
          <w:sz w:val="20"/>
          <w:szCs w:val="20"/>
          <w:color w:val="auto"/>
        </w:rPr>
      </w:pPr>
      <w:r>
        <w:rPr>
          <w:rFonts w:ascii="Times New Roman" w:cs="Times New Roman" w:eastAsia="Times New Roman" w:hAnsi="Times New Roman"/>
          <w:sz w:val="12"/>
          <w:szCs w:val="12"/>
          <w:color w:val="auto"/>
        </w:rPr>
        <w:t>The nature of the Company’s contracts gives rise to several types of variable consideration, including pay on quantity dredged for dredging projects and dredging project contract modifications.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by category</w:t>
      </w:r>
    </w:p>
    <w:p>
      <w:pPr>
        <w:spacing w:after="0" w:line="154" w:lineRule="exact"/>
        <w:rPr>
          <w:sz w:val="20"/>
          <w:szCs w:val="20"/>
          <w:color w:val="auto"/>
        </w:rPr>
      </w:pPr>
    </w:p>
    <w:p>
      <w:pPr>
        <w:ind w:right="140" w:firstLine="512"/>
        <w:spacing w:after="0" w:line="279" w:lineRule="auto"/>
        <w:rPr>
          <w:sz w:val="20"/>
          <w:szCs w:val="20"/>
          <w:color w:val="auto"/>
        </w:rPr>
      </w:pPr>
      <w:r>
        <w:rPr>
          <w:rFonts w:ascii="Times New Roman" w:cs="Times New Roman" w:eastAsia="Times New Roman" w:hAnsi="Times New Roman"/>
          <w:sz w:val="12"/>
          <w:szCs w:val="12"/>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sets forth, by type of work, the Company’s contract revenues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89535</wp:posOffset>
            </wp:positionV>
            <wp:extent cx="93980" cy="1168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11684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89535</wp:posOffset>
            </wp:positionV>
            <wp:extent cx="93980" cy="1168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11684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89535</wp:posOffset>
            </wp:positionV>
            <wp:extent cx="99695" cy="1168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9695" cy="11684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94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440" w:type="dxa"/>
            <w:vAlign w:val="bottom"/>
            <w:tcBorders>
              <w:top w:val="single" w:sz="8" w:color="auto"/>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6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ind w:right="6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9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Dredging:</w:t>
            </w:r>
          </w:p>
        </w:tc>
        <w:tc>
          <w:tcPr>
            <w:tcW w:w="4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Capital—U.S.</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348,085</w:t>
            </w:r>
          </w:p>
        </w:tc>
        <w:tc>
          <w:tcPr>
            <w:tcW w:w="940" w:type="dxa"/>
            <w:vAlign w:val="bottom"/>
            <w:gridSpan w:val="3"/>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186,715</w:t>
            </w:r>
          </w:p>
        </w:tc>
        <w:tc>
          <w:tcPr>
            <w:tcW w:w="940" w:type="dxa"/>
            <w:vAlign w:val="bottom"/>
            <w:gridSpan w:val="3"/>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342,461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Coastal protection</w:t>
            </w: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253,360</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196,343</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192,567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Maintenance</w:t>
            </w:r>
          </w:p>
        </w:tc>
        <w:tc>
          <w:tcPr>
            <w:tcW w:w="4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158,882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187,586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Rivers &amp; lakes</w:t>
            </w: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2,366</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16,318</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Capital—foreign</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dredging revenues</w:t>
            </w:r>
          </w:p>
        </w:tc>
        <w:tc>
          <w:tcPr>
            <w:tcW w:w="44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762,693</w:t>
            </w:r>
          </w:p>
        </w:tc>
        <w:tc>
          <w:tcPr>
            <w:tcW w:w="940" w:type="dxa"/>
            <w:vAlign w:val="bottom"/>
            <w:gridSpan w:val="3"/>
            <w:shd w:val="clear" w:color="auto" w:fill="CFF0FC"/>
          </w:tcPr>
          <w:p>
            <w:pPr>
              <w:jc w:val="right"/>
              <w:ind w:right="2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586,962</w:t>
            </w:r>
          </w:p>
        </w:tc>
        <w:tc>
          <w:tcPr>
            <w:tcW w:w="940" w:type="dxa"/>
            <w:vAlign w:val="bottom"/>
            <w:gridSpan w:val="3"/>
            <w:shd w:val="clear" w:color="auto" w:fill="CFF0FC"/>
          </w:tcPr>
          <w:p>
            <w:pPr>
              <w:jc w:val="right"/>
              <w:ind w:right="2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648,781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Offshore energy</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4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440" w:type="dxa"/>
            <w:vAlign w:val="bottom"/>
            <w:tcBorders>
              <w:bottom w:val="single" w:sz="8" w:color="auto"/>
            </w:tcBorders>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762,693</w:t>
            </w:r>
          </w:p>
        </w:tc>
        <w:tc>
          <w:tcPr>
            <w:tcW w:w="540" w:type="dxa"/>
            <w:vAlign w:val="bottom"/>
            <w:tcBorders>
              <w:bottom w:val="single" w:sz="8" w:color="CFF0FC"/>
            </w:tcBorders>
            <w:gridSpan w:val="2"/>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589,625</w:t>
            </w:r>
          </w:p>
        </w:tc>
        <w:tc>
          <w:tcPr>
            <w:tcW w:w="540" w:type="dxa"/>
            <w:vAlign w:val="bottom"/>
            <w:tcBorders>
              <w:bottom w:val="single" w:sz="8" w:color="CFF0FC"/>
            </w:tcBorders>
            <w:gridSpan w:val="2"/>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648,781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7700" w:type="dxa"/>
            <w:vAlign w:val="bottom"/>
            <w:gridSpan w:val="6"/>
          </w:tcPr>
          <w:p>
            <w:pPr>
              <w:ind w:left="500"/>
              <w:spacing w:after="0"/>
              <w:rPr>
                <w:sz w:val="20"/>
                <w:szCs w:val="20"/>
                <w:color w:val="auto"/>
              </w:rPr>
            </w:pPr>
            <w:r>
              <w:rPr>
                <w:rFonts w:ascii="Times New Roman" w:cs="Times New Roman" w:eastAsia="Times New Roman" w:hAnsi="Times New Roman"/>
                <w:sz w:val="12"/>
                <w:szCs w:val="12"/>
                <w:color w:val="auto"/>
              </w:rPr>
              <w:t>The following table sets forth, by type of customer, the Company’s contract revenues for the years ended December 31, 2024, 2023 and 2022:</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940" w:type="dxa"/>
            <w:vAlign w:val="bottom"/>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9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Dredging:</w:t>
            </w:r>
          </w:p>
        </w:tc>
        <w:tc>
          <w:tcPr>
            <w:tcW w:w="4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Federal government</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430,980</w:t>
            </w:r>
          </w:p>
        </w:tc>
        <w:tc>
          <w:tcPr>
            <w:tcW w:w="940" w:type="dxa"/>
            <w:vAlign w:val="bottom"/>
            <w:gridSpan w:val="3"/>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438,790</w:t>
            </w:r>
          </w:p>
        </w:tc>
        <w:tc>
          <w:tcPr>
            <w:tcW w:w="940" w:type="dxa"/>
            <w:vAlign w:val="bottom"/>
            <w:gridSpan w:val="3"/>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431,705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State and local government</w:t>
            </w: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154,427</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129,583</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207,033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Private</w:t>
            </w:r>
          </w:p>
        </w:tc>
        <w:tc>
          <w:tcPr>
            <w:tcW w:w="4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177,286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18,589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Foreign</w:t>
            </w:r>
          </w:p>
        </w:tc>
        <w:tc>
          <w:tcPr>
            <w:tcW w:w="4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dredging revenues</w:t>
            </w:r>
          </w:p>
        </w:tc>
        <w:tc>
          <w:tcPr>
            <w:tcW w:w="44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762,693</w:t>
            </w:r>
          </w:p>
        </w:tc>
        <w:tc>
          <w:tcPr>
            <w:tcW w:w="940" w:type="dxa"/>
            <w:vAlign w:val="bottom"/>
            <w:gridSpan w:val="3"/>
          </w:tcPr>
          <w:p>
            <w:pPr>
              <w:jc w:val="right"/>
              <w:ind w:right="2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586,962</w:t>
            </w:r>
          </w:p>
        </w:tc>
        <w:tc>
          <w:tcPr>
            <w:tcW w:w="940" w:type="dxa"/>
            <w:vAlign w:val="bottom"/>
            <w:gridSpan w:val="3"/>
          </w:tcPr>
          <w:p>
            <w:pPr>
              <w:jc w:val="right"/>
              <w:ind w:right="2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648,781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Offshore energy</w:t>
            </w:r>
          </w:p>
        </w:tc>
        <w:tc>
          <w:tcPr>
            <w:tcW w:w="4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2,663</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440" w:type="dxa"/>
            <w:vAlign w:val="bottom"/>
            <w:tcBorders>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762,693</w:t>
            </w:r>
          </w:p>
        </w:tc>
        <w:tc>
          <w:tcPr>
            <w:tcW w:w="540" w:type="dxa"/>
            <w:vAlign w:val="bottom"/>
            <w:gridSpan w:val="2"/>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589,625</w:t>
            </w:r>
          </w:p>
        </w:tc>
        <w:tc>
          <w:tcPr>
            <w:tcW w:w="540" w:type="dxa"/>
            <w:vAlign w:val="bottom"/>
            <w:gridSpan w:val="2"/>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648,781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4292600</wp:posOffset>
            </wp:positionH>
            <wp:positionV relativeFrom="paragraph">
              <wp:posOffset>-1170940</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-1159510</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-1170940</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-1159510</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-1170940</wp:posOffset>
            </wp:positionV>
            <wp:extent cx="7429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-1159510</wp:posOffset>
            </wp:positionV>
            <wp:extent cx="7429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-863600</wp:posOffset>
            </wp:positionV>
            <wp:extent cx="93980" cy="1168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3980" cy="11684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-863600</wp:posOffset>
            </wp:positionV>
            <wp:extent cx="93980" cy="1168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980" cy="11684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-863600</wp:posOffset>
            </wp:positionV>
            <wp:extent cx="99695" cy="1168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9695" cy="11684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-302260</wp:posOffset>
            </wp:positionV>
            <wp:extent cx="685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-302260</wp:posOffset>
            </wp:positionV>
            <wp:extent cx="685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-302260</wp:posOffset>
            </wp:positionV>
            <wp:extent cx="7429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-113665</wp:posOffset>
            </wp:positionV>
            <wp:extent cx="685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-113665</wp:posOffset>
            </wp:positionV>
            <wp:extent cx="685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-113665</wp:posOffset>
            </wp:positionV>
            <wp:extent cx="7429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 balances</w:t>
      </w:r>
    </w:p>
    <w:p>
      <w:pPr>
        <w:spacing w:after="0" w:line="163" w:lineRule="exact"/>
        <w:rPr>
          <w:sz w:val="20"/>
          <w:szCs w:val="20"/>
          <w:color w:val="auto"/>
        </w:rPr>
      </w:pPr>
    </w:p>
    <w:p>
      <w:pPr>
        <w:jc w:val="both"/>
        <w:ind w:right="320" w:firstLine="512"/>
        <w:spacing w:after="0" w:line="265" w:lineRule="auto"/>
        <w:rPr>
          <w:sz w:val="20"/>
          <w:szCs w:val="20"/>
          <w:color w:val="auto"/>
        </w:rPr>
      </w:pPr>
      <w:r>
        <w:rPr>
          <w:rFonts w:ascii="Times New Roman" w:cs="Times New Roman" w:eastAsia="Times New Roman" w:hAnsi="Times New Roman"/>
          <w:sz w:val="12"/>
          <w:szCs w:val="12"/>
          <w:color w:val="auto"/>
        </w:rPr>
        <w:t>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77" w:name="page78"/>
    <w:bookmarkEnd w:id="77"/>
    <w:p>
      <w:pPr>
        <w:ind w:left="500"/>
        <w:spacing w:after="0"/>
        <w:rPr>
          <w:sz w:val="20"/>
          <w:szCs w:val="20"/>
          <w:color w:val="auto"/>
        </w:rPr>
      </w:pPr>
      <w:r>
        <w:rPr>
          <w:rFonts w:ascii="Times New Roman" w:cs="Times New Roman" w:eastAsia="Times New Roman" w:hAnsi="Times New Roman"/>
          <w:sz w:val="12"/>
          <w:szCs w:val="12"/>
          <w:color w:val="auto"/>
        </w:rPr>
        <w:t>Accounts receivable at December 31, 2024 and 2023 are as follows:</w:t>
      </w:r>
    </w:p>
    <w:p>
      <w:pPr>
        <w:spacing w:after="0" w:line="144" w:lineRule="exact"/>
        <w:rPr>
          <w:sz w:val="20"/>
          <w:szCs w:val="20"/>
          <w:color w:val="auto"/>
        </w:rPr>
      </w:pPr>
    </w:p>
    <w:tbl>
      <w:tblPr>
        <w:tblLayout w:type="fixed"/>
        <w:tblInd w:w="500" w:type="dxa"/>
        <w:tblCellMar>
          <w:top w:w="0" w:type="dxa"/>
          <w:left w:w="0" w:type="dxa"/>
          <w:bottom w:w="0" w:type="dxa"/>
          <w:right w:w="0" w:type="dxa"/>
        </w:tblCellMar>
      </w:tblPr>
      <w:tr>
        <w:trPr>
          <w:trHeight w:val="115"/>
        </w:trPr>
        <w:tc>
          <w:tcPr>
            <w:tcW w:w="120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r>
      <w:tr>
        <w:trPr>
          <w:trHeight w:val="133"/>
        </w:trPr>
        <w:tc>
          <w:tcPr>
            <w:tcW w:w="1200" w:type="dxa"/>
            <w:vAlign w:val="bottom"/>
          </w:tcPr>
          <w:p>
            <w:pPr>
              <w:spacing w:after="0"/>
              <w:rPr>
                <w:sz w:val="11"/>
                <w:szCs w:val="11"/>
                <w:color w:val="auto"/>
              </w:rPr>
            </w:pPr>
          </w:p>
        </w:tc>
        <w:tc>
          <w:tcPr>
            <w:tcW w:w="54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Completed contracts</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660</w:t>
            </w: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2,920</w:t>
            </w:r>
          </w:p>
        </w:tc>
        <w:tc>
          <w:tcPr>
            <w:tcW w:w="80" w:type="dxa"/>
            <w:vAlign w:val="bottom"/>
            <w:shd w:val="clear" w:color="auto" w:fill="CFF0FC"/>
          </w:tcPr>
          <w:p>
            <w:pPr>
              <w:spacing w:after="0"/>
              <w:rPr>
                <w:sz w:val="11"/>
                <w:szCs w:val="11"/>
                <w:color w:val="auto"/>
              </w:rPr>
            </w:pPr>
          </w:p>
        </w:tc>
      </w:tr>
      <w:tr>
        <w:trPr>
          <w:trHeight w:val="144"/>
        </w:trPr>
        <w:tc>
          <w:tcPr>
            <w:tcW w:w="1200" w:type="dxa"/>
            <w:vAlign w:val="bottom"/>
          </w:tcPr>
          <w:p>
            <w:pPr>
              <w:spacing w:after="0"/>
              <w:rPr>
                <w:sz w:val="12"/>
                <w:szCs w:val="12"/>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Contracts in progress</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105,159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40,743</w:t>
            </w:r>
          </w:p>
        </w:tc>
        <w:tc>
          <w:tcPr>
            <w:tcW w:w="80" w:type="dxa"/>
            <w:vAlign w:val="bottom"/>
          </w:tcPr>
          <w:p>
            <w:pPr>
              <w:spacing w:after="0"/>
              <w:rPr>
                <w:sz w:val="12"/>
                <w:szCs w:val="12"/>
                <w:color w:val="auto"/>
              </w:rPr>
            </w:pPr>
          </w:p>
        </w:tc>
      </w:tr>
      <w:tr>
        <w:trPr>
          <w:trHeight w:val="144"/>
        </w:trPr>
        <w:tc>
          <w:tcPr>
            <w:tcW w:w="1200" w:type="dxa"/>
            <w:vAlign w:val="bottom"/>
          </w:tcPr>
          <w:p>
            <w:pPr>
              <w:spacing w:after="0"/>
              <w:rPr>
                <w:sz w:val="12"/>
                <w:szCs w:val="12"/>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Retainage</w:t>
            </w:r>
          </w:p>
        </w:tc>
        <w:tc>
          <w:tcPr>
            <w:tcW w:w="2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12,575</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11,511</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33"/>
        </w:trPr>
        <w:tc>
          <w:tcPr>
            <w:tcW w:w="12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118,394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55,174</w:t>
            </w:r>
          </w:p>
        </w:tc>
        <w:tc>
          <w:tcPr>
            <w:tcW w:w="80" w:type="dxa"/>
            <w:vAlign w:val="bottom"/>
          </w:tcPr>
          <w:p>
            <w:pPr>
              <w:spacing w:after="0"/>
              <w:rPr>
                <w:sz w:val="11"/>
                <w:szCs w:val="11"/>
                <w:color w:val="auto"/>
              </w:rPr>
            </w:pPr>
          </w:p>
        </w:tc>
      </w:tr>
      <w:tr>
        <w:trPr>
          <w:trHeight w:val="144"/>
        </w:trPr>
        <w:tc>
          <w:tcPr>
            <w:tcW w:w="1200" w:type="dxa"/>
            <w:vAlign w:val="bottom"/>
          </w:tcPr>
          <w:p>
            <w:pPr>
              <w:spacing w:after="0"/>
              <w:rPr>
                <w:sz w:val="12"/>
                <w:szCs w:val="12"/>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(364 )</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(364 )</w:t>
            </w:r>
          </w:p>
        </w:tc>
      </w:tr>
      <w:tr>
        <w:trPr>
          <w:trHeight w:val="221"/>
        </w:trPr>
        <w:tc>
          <w:tcPr>
            <w:tcW w:w="1200" w:type="dxa"/>
            <w:vAlign w:val="bottom"/>
          </w:tcPr>
          <w:p>
            <w:pPr>
              <w:spacing w:after="0"/>
              <w:rPr>
                <w:sz w:val="19"/>
                <w:szCs w:val="19"/>
                <w:color w:val="auto"/>
              </w:rPr>
            </w:pPr>
          </w:p>
        </w:tc>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2"/>
                <w:szCs w:val="12"/>
                <w:color w:val="auto"/>
              </w:rPr>
              <w:t>Total accounts receivable—net</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118,030</w:t>
            </w: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54,810</w:t>
            </w:r>
          </w:p>
        </w:tc>
        <w:tc>
          <w:tcPr>
            <w:tcW w:w="80" w:type="dxa"/>
            <w:vAlign w:val="bottom"/>
            <w:tcBorders>
              <w:top w:val="single" w:sz="8" w:color="CFF0FC"/>
            </w:tcBorders>
          </w:tcPr>
          <w:p>
            <w:pPr>
              <w:spacing w:after="0"/>
              <w:rPr>
                <w:sz w:val="19"/>
                <w:szCs w:val="19"/>
                <w:color w:val="auto"/>
              </w:rPr>
            </w:pPr>
          </w:p>
        </w:tc>
      </w:tr>
      <w:tr>
        <w:trPr>
          <w:trHeight w:val="396"/>
        </w:trPr>
        <w:tc>
          <w:tcPr>
            <w:tcW w:w="6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components of contracts in progress at December 31, 2024 and 2023 are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2"/>
        </w:trPr>
        <w:tc>
          <w:tcPr>
            <w:tcW w:w="12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21"/>
                <w:szCs w:val="21"/>
                <w:color w:val="auto"/>
              </w:rPr>
            </w:pPr>
          </w:p>
        </w:tc>
      </w:tr>
      <w:tr>
        <w:trPr>
          <w:trHeight w:val="133"/>
        </w:trPr>
        <w:tc>
          <w:tcPr>
            <w:tcW w:w="1200" w:type="dxa"/>
            <w:vAlign w:val="bottom"/>
          </w:tcPr>
          <w:p>
            <w:pPr>
              <w:spacing w:after="0"/>
              <w:rPr>
                <w:sz w:val="11"/>
                <w:szCs w:val="11"/>
                <w:color w:val="auto"/>
              </w:rPr>
            </w:pPr>
          </w:p>
        </w:tc>
        <w:tc>
          <w:tcPr>
            <w:tcW w:w="54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Costs and earnings in excess of billings:</w:t>
            </w: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4"/>
        </w:trPr>
        <w:tc>
          <w:tcPr>
            <w:tcW w:w="1200" w:type="dxa"/>
            <w:vAlign w:val="bottom"/>
          </w:tcPr>
          <w:p>
            <w:pPr>
              <w:spacing w:after="0"/>
              <w:rPr>
                <w:sz w:val="12"/>
                <w:szCs w:val="12"/>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Costs and earnings for contracts in progress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206,933</w:t>
            </w:r>
          </w:p>
        </w:tc>
        <w:tc>
          <w:tcPr>
            <w:tcW w:w="2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206,330</w:t>
            </w:r>
          </w:p>
        </w:tc>
        <w:tc>
          <w:tcPr>
            <w:tcW w:w="80" w:type="dxa"/>
            <w:vAlign w:val="bottom"/>
          </w:tcPr>
          <w:p>
            <w:pPr>
              <w:spacing w:after="0"/>
              <w:rPr>
                <w:sz w:val="12"/>
                <w:szCs w:val="12"/>
                <w:color w:val="auto"/>
              </w:rPr>
            </w:pPr>
          </w:p>
        </w:tc>
      </w:tr>
      <w:tr>
        <w:trPr>
          <w:trHeight w:val="144"/>
        </w:trPr>
        <w:tc>
          <w:tcPr>
            <w:tcW w:w="1200" w:type="dxa"/>
            <w:vAlign w:val="bottom"/>
          </w:tcPr>
          <w:p>
            <w:pPr>
              <w:spacing w:after="0"/>
              <w:rPr>
                <w:sz w:val="12"/>
                <w:szCs w:val="12"/>
                <w:color w:val="auto"/>
              </w:rPr>
            </w:pPr>
          </w:p>
        </w:tc>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Amounts billed</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(153,208 )</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(196,520 )</w:t>
            </w:r>
          </w:p>
        </w:tc>
      </w:tr>
      <w:tr>
        <w:trPr>
          <w:trHeight w:val="133"/>
        </w:trPr>
        <w:tc>
          <w:tcPr>
            <w:tcW w:w="1200" w:type="dxa"/>
            <w:vAlign w:val="bottom"/>
          </w:tcPr>
          <w:p>
            <w:pPr>
              <w:spacing w:after="0"/>
              <w:rPr>
                <w:sz w:val="11"/>
                <w:szCs w:val="11"/>
                <w:color w:val="auto"/>
              </w:rPr>
            </w:pPr>
          </w:p>
        </w:tc>
        <w:tc>
          <w:tcPr>
            <w:tcW w:w="542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Costs and earnings in excess of billings for contracts in progress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53,725</w:t>
            </w:r>
          </w:p>
        </w:tc>
        <w:tc>
          <w:tcPr>
            <w:tcW w:w="20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9,810</w:t>
            </w:r>
          </w:p>
        </w:tc>
        <w:tc>
          <w:tcPr>
            <w:tcW w:w="80" w:type="dxa"/>
            <w:vAlign w:val="bottom"/>
            <w:tcBorders>
              <w:top w:val="single" w:sz="8" w:color="CFF0FC"/>
            </w:tcBorders>
          </w:tcPr>
          <w:p>
            <w:pPr>
              <w:spacing w:after="0"/>
              <w:rPr>
                <w:sz w:val="11"/>
                <w:szCs w:val="11"/>
                <w:color w:val="auto"/>
              </w:rPr>
            </w:pPr>
          </w:p>
        </w:tc>
      </w:tr>
      <w:tr>
        <w:trPr>
          <w:trHeight w:val="144"/>
        </w:trPr>
        <w:tc>
          <w:tcPr>
            <w:tcW w:w="1200" w:type="dxa"/>
            <w:vAlign w:val="bottom"/>
          </w:tcPr>
          <w:p>
            <w:pPr>
              <w:spacing w:after="0"/>
              <w:rPr>
                <w:sz w:val="12"/>
                <w:szCs w:val="12"/>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Costs and earnings in excess of billings for completed contracts</w:t>
            </w:r>
          </w:p>
        </w:tc>
        <w:tc>
          <w:tcPr>
            <w:tcW w:w="2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20,472</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58,925</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33"/>
        </w:trPr>
        <w:tc>
          <w:tcPr>
            <w:tcW w:w="1200" w:type="dxa"/>
            <w:vAlign w:val="bottom"/>
          </w:tcPr>
          <w:p>
            <w:pPr>
              <w:spacing w:after="0"/>
              <w:rPr>
                <w:sz w:val="11"/>
                <w:szCs w:val="11"/>
                <w:color w:val="auto"/>
              </w:rPr>
            </w:pPr>
          </w:p>
        </w:tc>
        <w:tc>
          <w:tcPr>
            <w:tcW w:w="5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contract revenues in excess of billings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74,197</w:t>
            </w:r>
          </w:p>
        </w:tc>
        <w:tc>
          <w:tcPr>
            <w:tcW w:w="20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68,735</w:t>
            </w:r>
          </w:p>
        </w:tc>
        <w:tc>
          <w:tcPr>
            <w:tcW w:w="80" w:type="dxa"/>
            <w:vAlign w:val="bottom"/>
          </w:tcPr>
          <w:p>
            <w:pPr>
              <w:spacing w:after="0"/>
              <w:rPr>
                <w:sz w:val="11"/>
                <w:szCs w:val="11"/>
                <w:color w:val="auto"/>
              </w:rPr>
            </w:pPr>
          </w:p>
        </w:tc>
      </w:tr>
      <w:tr>
        <w:trPr>
          <w:trHeight w:val="144"/>
        </w:trPr>
        <w:tc>
          <w:tcPr>
            <w:tcW w:w="1200" w:type="dxa"/>
            <w:vAlign w:val="bottom"/>
          </w:tcPr>
          <w:p>
            <w:pPr>
              <w:spacing w:after="0"/>
              <w:rPr>
                <w:sz w:val="12"/>
                <w:szCs w:val="12"/>
                <w:color w:val="auto"/>
              </w:rPr>
            </w:pPr>
          </w:p>
        </w:tc>
        <w:tc>
          <w:tcPr>
            <w:tcW w:w="5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1200" w:type="dxa"/>
            <w:vAlign w:val="bottom"/>
          </w:tcPr>
          <w:p>
            <w:pPr>
              <w:spacing w:after="0"/>
              <w:rPr>
                <w:sz w:val="12"/>
                <w:szCs w:val="12"/>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Current portion of contract revenues in excess of billings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74,197</w:t>
            </w:r>
          </w:p>
        </w:tc>
        <w:tc>
          <w:tcPr>
            <w:tcW w:w="2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68,735</w:t>
            </w:r>
          </w:p>
        </w:tc>
        <w:tc>
          <w:tcPr>
            <w:tcW w:w="80" w:type="dxa"/>
            <w:vAlign w:val="bottom"/>
          </w:tcPr>
          <w:p>
            <w:pPr>
              <w:spacing w:after="0"/>
              <w:rPr>
                <w:sz w:val="12"/>
                <w:szCs w:val="12"/>
                <w:color w:val="auto"/>
              </w:rPr>
            </w:pPr>
          </w:p>
        </w:tc>
      </w:tr>
      <w:tr>
        <w:trPr>
          <w:trHeight w:val="144"/>
        </w:trPr>
        <w:tc>
          <w:tcPr>
            <w:tcW w:w="1200" w:type="dxa"/>
            <w:vAlign w:val="bottom"/>
          </w:tcPr>
          <w:p>
            <w:pPr>
              <w:spacing w:after="0"/>
              <w:rPr>
                <w:sz w:val="12"/>
                <w:szCs w:val="12"/>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Long-term contract revenues in excess of billings</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1200" w:type="dxa"/>
            <w:vAlign w:val="bottom"/>
          </w:tcPr>
          <w:p>
            <w:pPr>
              <w:spacing w:after="0"/>
              <w:rPr>
                <w:sz w:val="12"/>
                <w:szCs w:val="12"/>
                <w:color w:val="auto"/>
              </w:rPr>
            </w:pPr>
          </w:p>
        </w:tc>
        <w:tc>
          <w:tcPr>
            <w:tcW w:w="542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Total contract revenues in excess of billings</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74,197</w:t>
            </w:r>
          </w:p>
        </w:tc>
        <w:tc>
          <w:tcPr>
            <w:tcW w:w="20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68,735</w:t>
            </w:r>
          </w:p>
        </w:tc>
        <w:tc>
          <w:tcPr>
            <w:tcW w:w="80" w:type="dxa"/>
            <w:vAlign w:val="bottom"/>
            <w:tcBorders>
              <w:top w:val="single" w:sz="8" w:color="CFF0FC"/>
            </w:tcBorders>
          </w:tcPr>
          <w:p>
            <w:pPr>
              <w:spacing w:after="0"/>
              <w:rPr>
                <w:sz w:val="12"/>
                <w:szCs w:val="12"/>
                <w:color w:val="auto"/>
              </w:rPr>
            </w:pPr>
          </w:p>
        </w:tc>
      </w:tr>
      <w:tr>
        <w:trPr>
          <w:trHeight w:val="144"/>
        </w:trPr>
        <w:tc>
          <w:tcPr>
            <w:tcW w:w="1200" w:type="dxa"/>
            <w:vAlign w:val="bottom"/>
          </w:tcPr>
          <w:p>
            <w:pPr>
              <w:spacing w:after="0"/>
              <w:rPr>
                <w:sz w:val="12"/>
                <w:szCs w:val="12"/>
                <w:color w:val="auto"/>
              </w:rPr>
            </w:pPr>
          </w:p>
        </w:tc>
        <w:tc>
          <w:tcPr>
            <w:tcW w:w="5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4"/>
        </w:trPr>
        <w:tc>
          <w:tcPr>
            <w:tcW w:w="1200" w:type="dxa"/>
            <w:vAlign w:val="bottom"/>
          </w:tcPr>
          <w:p>
            <w:pPr>
              <w:spacing w:after="0"/>
              <w:rPr>
                <w:sz w:val="12"/>
                <w:szCs w:val="12"/>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Billings in excess of costs and earnings:</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1200" w:type="dxa"/>
            <w:vAlign w:val="bottom"/>
          </w:tcPr>
          <w:p>
            <w:pPr>
              <w:spacing w:after="0"/>
              <w:rPr>
                <w:sz w:val="12"/>
                <w:szCs w:val="12"/>
                <w:color w:val="auto"/>
              </w:rPr>
            </w:pPr>
          </w:p>
        </w:tc>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Amounts billed</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(303,810 )</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(258,948 )</w:t>
            </w:r>
          </w:p>
        </w:tc>
      </w:tr>
      <w:tr>
        <w:trPr>
          <w:trHeight w:val="144"/>
        </w:trPr>
        <w:tc>
          <w:tcPr>
            <w:tcW w:w="1200" w:type="dxa"/>
            <w:vAlign w:val="bottom"/>
          </w:tcPr>
          <w:p>
            <w:pPr>
              <w:spacing w:after="0"/>
              <w:rPr>
                <w:sz w:val="12"/>
                <w:szCs w:val="12"/>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Costs and earnings for contracts in progress</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278,014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229,388</w:t>
            </w:r>
          </w:p>
        </w:tc>
        <w:tc>
          <w:tcPr>
            <w:tcW w:w="80" w:type="dxa"/>
            <w:vAlign w:val="bottom"/>
          </w:tcPr>
          <w:p>
            <w:pPr>
              <w:spacing w:after="0"/>
              <w:rPr>
                <w:sz w:val="12"/>
                <w:szCs w:val="12"/>
                <w:color w:val="auto"/>
              </w:rPr>
            </w:pPr>
          </w:p>
        </w:tc>
      </w:tr>
      <w:tr>
        <w:trPr>
          <w:trHeight w:val="133"/>
        </w:trPr>
        <w:tc>
          <w:tcPr>
            <w:tcW w:w="1200" w:type="dxa"/>
            <w:vAlign w:val="bottom"/>
          </w:tcPr>
          <w:p>
            <w:pPr>
              <w:spacing w:after="0"/>
              <w:rPr>
                <w:sz w:val="11"/>
                <w:szCs w:val="11"/>
                <w:color w:val="auto"/>
              </w:rPr>
            </w:pPr>
          </w:p>
        </w:tc>
        <w:tc>
          <w:tcPr>
            <w:tcW w:w="54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billings in excess of contract revenues</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(25,796 )</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(29,560 )</w:t>
            </w:r>
          </w:p>
        </w:tc>
      </w:tr>
      <w:tr>
        <w:trPr>
          <w:trHeight w:val="27"/>
        </w:trPr>
        <w:tc>
          <w:tcPr>
            <w:tcW w:w="1200" w:type="dxa"/>
            <w:vAlign w:val="bottom"/>
          </w:tcPr>
          <w:p>
            <w:pPr>
              <w:spacing w:after="0"/>
              <w:rPr>
                <w:sz w:val="2"/>
                <w:szCs w:val="2"/>
                <w:color w:val="auto"/>
              </w:rPr>
            </w:pPr>
          </w:p>
        </w:tc>
        <w:tc>
          <w:tcPr>
            <w:tcW w:w="54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-2199640</wp:posOffset>
            </wp:positionV>
            <wp:extent cx="4572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-2199640</wp:posOffset>
            </wp:positionV>
            <wp:extent cx="5143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-2011045</wp:posOffset>
            </wp:positionV>
            <wp:extent cx="4572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-2011045</wp:posOffset>
            </wp:positionV>
            <wp:extent cx="5143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-1153795</wp:posOffset>
            </wp:positionV>
            <wp:extent cx="4572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-1153795</wp:posOffset>
            </wp:positionV>
            <wp:extent cx="5143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-965200</wp:posOffset>
            </wp:positionV>
            <wp:extent cx="4572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-965200</wp:posOffset>
            </wp:positionV>
            <wp:extent cx="5143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-593725</wp:posOffset>
            </wp:positionV>
            <wp:extent cx="4572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-593725</wp:posOffset>
            </wp:positionV>
            <wp:extent cx="5143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-16510</wp:posOffset>
            </wp:positionV>
            <wp:extent cx="4572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-5080</wp:posOffset>
            </wp:positionV>
            <wp:extent cx="4572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-16510</wp:posOffset>
            </wp:positionV>
            <wp:extent cx="5143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-5080</wp:posOffset>
            </wp:positionV>
            <wp:extent cx="5143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13" w:lineRule="exact"/>
        <w:rPr>
          <w:sz w:val="20"/>
          <w:szCs w:val="20"/>
          <w:color w:val="auto"/>
        </w:rPr>
      </w:pPr>
    </w:p>
    <w:p>
      <w:pPr>
        <w:ind w:right="20" w:firstLine="512"/>
        <w:spacing w:after="0" w:line="260" w:lineRule="auto"/>
        <w:rPr>
          <w:sz w:val="20"/>
          <w:szCs w:val="20"/>
          <w:color w:val="auto"/>
        </w:rPr>
      </w:pPr>
      <w:r>
        <w:rPr>
          <w:rFonts w:ascii="Times New Roman" w:cs="Times New Roman" w:eastAsia="Times New Roman" w:hAnsi="Times New Roman"/>
          <w:sz w:val="12"/>
          <w:szCs w:val="12"/>
          <w:color w:val="auto"/>
        </w:rPr>
        <w:t>At December 31, 2024 and 2023, costs to fulfill contracts with customers recognized as other current assets were $10.3 million and $22.2 million, respectively. At December 31, 2024 and 2023, costs to fulfill contracts with customers recognized as other noncurrent assets were $7.6 million and $4.0 million, respectively. These costs relate to pre-contract and pre-construction activities. During the years ended December 31, 2024 and 2023 the company amortized pre-contract and pre-construction costs of $21.9 million and $11.5 million, respectively. The Company recognized $27.7 million in revenues during the year ended December 31, 2024 that was recorded as billings in excess of contract revenues as of December 31, 2023.</w:t>
      </w:r>
    </w:p>
    <w:p>
      <w:pPr>
        <w:spacing w:after="0" w:line="122" w:lineRule="exact"/>
        <w:rPr>
          <w:sz w:val="20"/>
          <w:szCs w:val="20"/>
          <w:color w:val="auto"/>
        </w:rPr>
      </w:pPr>
    </w:p>
    <w:p>
      <w:pPr>
        <w:ind w:right="120" w:firstLine="512"/>
        <w:spacing w:after="0" w:line="257" w:lineRule="auto"/>
        <w:rPr>
          <w:sz w:val="20"/>
          <w:szCs w:val="20"/>
          <w:color w:val="auto"/>
        </w:rPr>
      </w:pPr>
      <w:r>
        <w:rPr>
          <w:rFonts w:ascii="Times New Roman" w:cs="Times New Roman" w:eastAsia="Times New Roman" w:hAnsi="Times New Roman"/>
          <w:sz w:val="12"/>
          <w:szCs w:val="12"/>
          <w:color w:val="auto"/>
        </w:rPr>
        <w:t>The Company’s largest domestic customer is the U.S. Army Corps of Engineers (the “Corps”), which has responsibility for federally funded projects related to navigation and flood control of U.S. waterways. In 2024, 2023 and 2022, 57%, 75% and 67%, respectively, of contract revenues were earned from contracts with federal government agencies, including the Corps, as well as other federal entities such as the U.S. Coast Guard and U.S. Navy. At December 31, 2024 and 2023, approximately 19% and 35%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derived revenues and gross loss from foreign project operations for the years ended December 31, 2024, 2023, and 2022,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89535</wp:posOffset>
            </wp:positionV>
            <wp:extent cx="236855" cy="996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6855" cy="99695"/>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89535</wp:posOffset>
            </wp:positionV>
            <wp:extent cx="236855" cy="996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6855" cy="9969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1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980" w:type="dxa"/>
            <w:vAlign w:val="bottom"/>
            <w:tcBorders>
              <w:top w:val="single" w:sz="8" w:color="auto"/>
              <w:bottom w:val="single" w:sz="8" w:color="auto"/>
            </w:tcBorders>
          </w:tcPr>
          <w:p>
            <w:pPr>
              <w:jc w:val="right"/>
              <w:ind w:right="106"/>
              <w:spacing w:after="0" w:line="108" w:lineRule="exact"/>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top w:val="single" w:sz="8" w:color="auto"/>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ind w:right="603"/>
              <w:spacing w:after="0" w:line="108" w:lineRule="exact"/>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jc w:val="right"/>
              <w:ind w:right="603"/>
              <w:spacing w:after="0" w:line="108" w:lineRule="exact"/>
              <w:rPr>
                <w:sz w:val="20"/>
                <w:szCs w:val="20"/>
                <w:color w:val="auto"/>
              </w:rPr>
            </w:pPr>
            <w:r>
              <w:rPr>
                <w:rFonts w:ascii="Times New Roman" w:cs="Times New Roman" w:eastAsia="Times New Roman" w:hAnsi="Times New Roman"/>
                <w:sz w:val="10"/>
                <w:szCs w:val="10"/>
                <w:b w:val="1"/>
                <w:bCs w:val="1"/>
                <w:color w:val="auto"/>
              </w:rPr>
              <w:t>2022</w:t>
            </w:r>
          </w:p>
        </w:tc>
        <w:tc>
          <w:tcPr>
            <w:tcW w:w="1140" w:type="dxa"/>
            <w:vAlign w:val="bottom"/>
          </w:tcPr>
          <w:p>
            <w:pPr>
              <w:spacing w:after="0"/>
              <w:rPr>
                <w:sz w:val="9"/>
                <w:szCs w:val="9"/>
                <w:color w:val="auto"/>
              </w:rPr>
            </w:pPr>
          </w:p>
        </w:tc>
      </w:tr>
      <w:tr>
        <w:trPr>
          <w:trHeight w:val="133"/>
        </w:trPr>
        <w:tc>
          <w:tcPr>
            <w:tcW w:w="1120" w:type="dxa"/>
            <w:vAlign w:val="bottom"/>
          </w:tcPr>
          <w:p>
            <w:pPr>
              <w:spacing w:after="0"/>
              <w:rPr>
                <w:sz w:val="11"/>
                <w:szCs w:val="11"/>
                <w:color w:val="auto"/>
              </w:rPr>
            </w:pPr>
          </w:p>
        </w:tc>
        <w:tc>
          <w:tcPr>
            <w:tcW w:w="39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Contract revenues</w:t>
            </w:r>
          </w:p>
        </w:tc>
        <w:tc>
          <w:tcPr>
            <w:tcW w:w="980" w:type="dxa"/>
            <w:vAlign w:val="bottom"/>
            <w:shd w:val="clear" w:color="auto" w:fill="CFF0FC"/>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ind w:right="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ind w:right="43"/>
              <w:spacing w:after="0" w:line="133" w:lineRule="exact"/>
              <w:rPr>
                <w:sz w:val="20"/>
                <w:szCs w:val="20"/>
                <w:color w:val="auto"/>
              </w:rPr>
            </w:pPr>
            <w:r>
              <w:rPr>
                <w:rFonts w:ascii="Times New Roman" w:cs="Times New Roman" w:eastAsia="Times New Roman" w:hAnsi="Times New Roman"/>
                <w:sz w:val="12"/>
                <w:szCs w:val="12"/>
                <w:color w:val="auto"/>
              </w:rPr>
              <w:t>149</w:t>
            </w:r>
          </w:p>
        </w:tc>
        <w:tc>
          <w:tcPr>
            <w:tcW w:w="1140" w:type="dxa"/>
            <w:vAlign w:val="bottom"/>
          </w:tcPr>
          <w:p>
            <w:pPr>
              <w:spacing w:after="0"/>
              <w:rPr>
                <w:sz w:val="11"/>
                <w:szCs w:val="11"/>
                <w:color w:val="auto"/>
              </w:rPr>
            </w:pPr>
          </w:p>
        </w:tc>
      </w:tr>
      <w:tr>
        <w:trPr>
          <w:trHeight w:val="144"/>
        </w:trPr>
        <w:tc>
          <w:tcPr>
            <w:tcW w:w="1120" w:type="dxa"/>
            <w:vAlign w:val="bottom"/>
          </w:tcPr>
          <w:p>
            <w:pPr>
              <w:spacing w:after="0"/>
              <w:rPr>
                <w:sz w:val="12"/>
                <w:szCs w:val="12"/>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Costs of contract revenues</w:t>
            </w:r>
          </w:p>
        </w:tc>
        <w:tc>
          <w:tcPr>
            <w:tcW w:w="9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(1,808 )</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(1,142 )</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(341 )</w:t>
            </w:r>
          </w:p>
        </w:tc>
        <w:tc>
          <w:tcPr>
            <w:tcW w:w="1140" w:type="dxa"/>
            <w:vAlign w:val="bottom"/>
          </w:tcPr>
          <w:p>
            <w:pPr>
              <w:spacing w:after="0"/>
              <w:rPr>
                <w:sz w:val="12"/>
                <w:szCs w:val="12"/>
                <w:color w:val="auto"/>
              </w:rPr>
            </w:pPr>
          </w:p>
        </w:tc>
      </w:tr>
      <w:tr>
        <w:trPr>
          <w:trHeight w:val="140"/>
        </w:trPr>
        <w:tc>
          <w:tcPr>
            <w:tcW w:w="1120" w:type="dxa"/>
            <w:vAlign w:val="bottom"/>
          </w:tcPr>
          <w:p>
            <w:pPr>
              <w:spacing w:after="0"/>
              <w:rPr>
                <w:sz w:val="12"/>
                <w:szCs w:val="12"/>
                <w:color w:val="auto"/>
              </w:rPr>
            </w:pPr>
          </w:p>
        </w:tc>
        <w:tc>
          <w:tcPr>
            <w:tcW w:w="39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Gross loss</w:t>
            </w:r>
          </w:p>
        </w:tc>
        <w:tc>
          <w:tcPr>
            <w:tcW w:w="980" w:type="dxa"/>
            <w:vAlign w:val="bottom"/>
            <w:shd w:val="clear" w:color="auto" w:fill="CFF0FC"/>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(1,808 )</w:t>
            </w:r>
          </w:p>
        </w:tc>
        <w:tc>
          <w:tcPr>
            <w:tcW w:w="66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(1,142 )</w:t>
            </w:r>
          </w:p>
        </w:tc>
        <w:tc>
          <w:tcPr>
            <w:tcW w:w="66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(192 )</w:t>
            </w:r>
          </w:p>
        </w:tc>
        <w:tc>
          <w:tcPr>
            <w:tcW w:w="1140" w:type="dxa"/>
            <w:vAlign w:val="bottom"/>
          </w:tcPr>
          <w:p>
            <w:pPr>
              <w:spacing w:after="0"/>
              <w:rPr>
                <w:sz w:val="12"/>
                <w:szCs w:val="12"/>
                <w:color w:val="auto"/>
              </w:rPr>
            </w:pPr>
          </w:p>
        </w:tc>
      </w:tr>
      <w:tr>
        <w:trPr>
          <w:trHeight w:val="432"/>
        </w:trPr>
        <w:tc>
          <w:tcPr>
            <w:tcW w:w="1120" w:type="dxa"/>
            <w:vAlign w:val="bottom"/>
          </w:tcPr>
          <w:p>
            <w:pPr>
              <w:spacing w:after="0"/>
              <w:rPr>
                <w:sz w:val="24"/>
                <w:szCs w:val="24"/>
                <w:color w:val="auto"/>
              </w:rPr>
            </w:pPr>
          </w:p>
        </w:tc>
        <w:tc>
          <w:tcPr>
            <w:tcW w:w="396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2"/>
                <w:szCs w:val="12"/>
                <w:color w:val="auto"/>
              </w:rPr>
              <w:t>76</w:t>
            </w: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504"/>
        </w:trPr>
        <w:tc>
          <w:tcPr>
            <w:tcW w:w="11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-622300</wp:posOffset>
            </wp:positionV>
            <wp:extent cx="21145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-610870</wp:posOffset>
            </wp:positionV>
            <wp:extent cx="21145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-622300</wp:posOffset>
            </wp:positionV>
            <wp:extent cx="21145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-610870</wp:posOffset>
            </wp:positionV>
            <wp:extent cx="21145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7" w:right="299" w:bottom="1440" w:gutter="0" w:footer="0" w:header="0"/>
        </w:sectPr>
      </w:pPr>
    </w:p>
    <w:bookmarkStart w:id="78" w:name="page79"/>
    <w:bookmarkEnd w:id="78"/>
    <w:p>
      <w:pPr>
        <w:ind w:right="40" w:firstLine="512"/>
        <w:spacing w:after="0" w:line="260" w:lineRule="auto"/>
        <w:rPr>
          <w:sz w:val="20"/>
          <w:szCs w:val="20"/>
          <w:color w:val="auto"/>
        </w:rPr>
      </w:pPr>
      <w:r>
        <w:rPr>
          <w:rFonts w:ascii="Times New Roman" w:cs="Times New Roman" w:eastAsia="Times New Roman" w:hAnsi="Times New Roman"/>
          <w:sz w:val="12"/>
          <w:szCs w:val="12"/>
          <w:color w:val="auto"/>
        </w:rPr>
        <w:t>In 2022, foreign revenues were primarily from work done in the Middle East. The majority of the Company’s long-lived assets are marine vessels and related equipment. At any point in time, the Company may employ certain assets outside of the U.S., as needed, to perform work on the Company’s foreign projects. As of December 31, 2023 and 2022, long-lived assets located outside of the U.S had no net book value. Currently our assets outside of the U.S. do not include dredges. Revenue from foreign projects has been concentrated in the Middle East which comprised less than 1% of total contract revenues in 2024, 2023 and 2022. At December 31, 2024, there were no accounts receivable due on contracts in the Middle East. At December 31, 2022, approximately 9% of total accounts receivable, including retainage and contract revenues in excess of billings, were due on contracts in the Middle East.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RETIREMENT PLANS</w:t>
      </w:r>
    </w:p>
    <w:p>
      <w:pPr>
        <w:spacing w:after="0" w:line="82" w:lineRule="exact"/>
        <w:rPr>
          <w:sz w:val="20"/>
          <w:szCs w:val="20"/>
          <w:color w:val="auto"/>
        </w:rPr>
      </w:pPr>
    </w:p>
    <w:p>
      <w:pPr>
        <w:ind w:right="120" w:firstLine="512"/>
        <w:spacing w:after="0" w:line="260" w:lineRule="auto"/>
        <w:rPr>
          <w:sz w:val="20"/>
          <w:szCs w:val="20"/>
          <w:color w:val="auto"/>
        </w:rPr>
      </w:pPr>
      <w:r>
        <w:rPr>
          <w:rFonts w:ascii="Times New Roman" w:cs="Times New Roman" w:eastAsia="Times New Roman" w:hAnsi="Times New Roman"/>
          <w:sz w:val="12"/>
          <w:szCs w:val="12"/>
          <w:color w:val="auto"/>
        </w:rPr>
        <w:t>The Company sponsors two 401(k) savings plans, one covering substantially all non-union salaried employees (“Salaried Plan”), a second covering its hourly employees (“Hourly Plan”). Under the Salaried Plan and the Hourly Plan, individual employees may contribute a percentage of compensation and the Company will match a portion of the employees’ contributions. The Salaried Plan also includes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2024, 2023 and 2022, was $6.1 million, $4.8 million and $3.0 million, respectively.</w:t>
      </w:r>
    </w:p>
    <w:p>
      <w:pPr>
        <w:spacing w:after="0" w:line="122" w:lineRule="exact"/>
        <w:rPr>
          <w:sz w:val="20"/>
          <w:szCs w:val="20"/>
          <w:color w:val="auto"/>
        </w:rPr>
      </w:pPr>
    </w:p>
    <w:p>
      <w:pPr>
        <w:ind w:right="20" w:firstLine="512"/>
        <w:spacing w:after="0" w:line="260" w:lineRule="auto"/>
        <w:rPr>
          <w:sz w:val="20"/>
          <w:szCs w:val="20"/>
          <w:color w:val="auto"/>
        </w:rPr>
      </w:pPr>
      <w:r>
        <w:rPr>
          <w:rFonts w:ascii="Times New Roman" w:cs="Times New Roman" w:eastAsia="Times New Roman" w:hAnsi="Times New Roman"/>
          <w:sz w:val="12"/>
          <w:szCs w:val="12"/>
          <w:color w:val="auto"/>
        </w:rPr>
        <w:t>The Company also contributes to various multiemployer pension plans pursuant to collective bargaining agreements. In 2024, 2023 and 2022, the Company contributed $5.3 million, $5.2 million and $4.9 million respectively to all of the multiemployer plans that provide pension benefits.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w:t>
      </w:r>
    </w:p>
    <w:p>
      <w:pPr>
        <w:spacing w:after="0" w:line="122" w:lineRule="exact"/>
        <w:rPr>
          <w:sz w:val="20"/>
          <w:szCs w:val="20"/>
          <w:color w:val="auto"/>
        </w:rPr>
      </w:pPr>
    </w:p>
    <w:p>
      <w:pPr>
        <w:ind w:firstLine="512"/>
        <w:spacing w:after="0" w:line="260" w:lineRule="auto"/>
        <w:rPr>
          <w:sz w:val="20"/>
          <w:szCs w:val="20"/>
          <w:color w:val="auto"/>
        </w:rPr>
      </w:pPr>
      <w:r>
        <w:rPr>
          <w:rFonts w:ascii="Times New Roman" w:cs="Times New Roman" w:eastAsia="Times New Roman" w:hAnsi="Times New Roman"/>
          <w:sz w:val="12"/>
          <w:szCs w:val="12"/>
          <w:color w:val="auto"/>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COMMITMENTS AND CONTINGENCIES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Commercial commitments</w:t>
      </w:r>
    </w:p>
    <w:p>
      <w:pPr>
        <w:spacing w:after="0" w:line="82" w:lineRule="exact"/>
        <w:rPr>
          <w:sz w:val="20"/>
          <w:szCs w:val="20"/>
          <w:color w:val="auto"/>
        </w:rPr>
      </w:pPr>
    </w:p>
    <w:p>
      <w:pPr>
        <w:ind w:right="80" w:firstLine="512"/>
        <w:spacing w:after="0" w:line="257" w:lineRule="auto"/>
        <w:rPr>
          <w:sz w:val="20"/>
          <w:szCs w:val="20"/>
          <w:color w:val="auto"/>
        </w:rPr>
      </w:pPr>
      <w:r>
        <w:rPr>
          <w:rFonts w:ascii="Times New Roman" w:cs="Times New Roman" w:eastAsia="Times New Roman" w:hAnsi="Times New Roman"/>
          <w:sz w:val="12"/>
          <w:szCs w:val="12"/>
          <w:color w:val="auto"/>
        </w:rPr>
        <w:t>Performance and bid bonds are customarily required for dredging and marine construction projects. The Company has bonding agreements with Argonaut Insurance Company, Liberty Mutual Insurance Company and Philadelphia Indemnity Insurance Company, (collectively, the “Sureties”) under which the Company can obtain performance, bid and payment bonds. The Company also currently has outstanding bonds with ACE Holdings, Travelers Casualty and Surety Company of America, Berkley Insurance Company and Zurich American Insurance Company. Bid bonds are generally obtained for a percentage of bid value and amounts outstanding typically range from $1.0 million to $10.0 million. At December 31, 2024, the Company had outstanding performance bonds with a notional amount of approximately $1.32 billion. The revenue value remaining in backlog related to the projects totaled approximately $904.1 million.</w:t>
      </w:r>
    </w:p>
    <w:p>
      <w:pPr>
        <w:spacing w:after="0" w:line="125" w:lineRule="exact"/>
        <w:rPr>
          <w:sz w:val="20"/>
          <w:szCs w:val="20"/>
          <w:color w:val="auto"/>
        </w:rPr>
      </w:pPr>
    </w:p>
    <w:p>
      <w:pPr>
        <w:ind w:right="140" w:firstLine="150"/>
        <w:spacing w:after="0" w:line="279" w:lineRule="auto"/>
        <w:rPr>
          <w:sz w:val="20"/>
          <w:szCs w:val="20"/>
          <w:color w:val="auto"/>
        </w:rPr>
      </w:pPr>
      <w:r>
        <w:rPr>
          <w:rFonts w:ascii="Times New Roman" w:cs="Times New Roman" w:eastAsia="Times New Roman" w:hAnsi="Times New Roman"/>
          <w:sz w:val="12"/>
          <w:szCs w:val="12"/>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 and other contingencies</w:t>
      </w:r>
    </w:p>
    <w:p>
      <w:pPr>
        <w:spacing w:after="0" w:line="82" w:lineRule="exact"/>
        <w:rPr>
          <w:sz w:val="20"/>
          <w:szCs w:val="20"/>
          <w:color w:val="auto"/>
        </w:rPr>
      </w:pPr>
    </w:p>
    <w:p>
      <w:pPr>
        <w:ind w:right="40" w:firstLine="512"/>
        <w:spacing w:after="0" w:line="265" w:lineRule="auto"/>
        <w:rPr>
          <w:sz w:val="20"/>
          <w:szCs w:val="20"/>
          <w:color w:val="auto"/>
        </w:rPr>
      </w:pPr>
      <w:r>
        <w:rPr>
          <w:rFonts w:ascii="Times New Roman" w:cs="Times New Roman" w:eastAsia="Times New Roman" w:hAnsi="Times New Roman"/>
          <w:sz w:val="12"/>
          <w:szCs w:val="12"/>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79" w:name="page80"/>
    <w:bookmarkEnd w:id="79"/>
    <w:p>
      <w:pPr>
        <w:ind w:left="8" w:right="80" w:firstLine="512"/>
        <w:spacing w:after="0" w:line="257" w:lineRule="auto"/>
        <w:rPr>
          <w:sz w:val="20"/>
          <w:szCs w:val="20"/>
          <w:color w:val="auto"/>
        </w:rPr>
      </w:pPr>
      <w:r>
        <w:rPr>
          <w:rFonts w:ascii="Times New Roman" w:cs="Times New Roman" w:eastAsia="Times New Roman" w:hAnsi="Times New Roman"/>
          <w:sz w:val="12"/>
          <w:szCs w:val="12"/>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Lease obligations</w:t>
      </w:r>
    </w:p>
    <w:p>
      <w:pPr>
        <w:spacing w:after="0" w:line="154" w:lineRule="exact"/>
        <w:rPr>
          <w:sz w:val="20"/>
          <w:szCs w:val="20"/>
          <w:color w:val="auto"/>
        </w:rPr>
      </w:pPr>
    </w:p>
    <w:p>
      <w:pPr>
        <w:ind w:left="8" w:right="60" w:firstLine="512"/>
        <w:spacing w:after="0" w:line="257" w:lineRule="auto"/>
        <w:rPr>
          <w:sz w:val="20"/>
          <w:szCs w:val="20"/>
          <w:color w:val="auto"/>
        </w:rPr>
      </w:pPr>
      <w:r>
        <w:rPr>
          <w:rFonts w:ascii="Times New Roman" w:cs="Times New Roman" w:eastAsia="Times New Roman" w:hAnsi="Times New Roman"/>
          <w:sz w:val="12"/>
          <w:szCs w:val="12"/>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ABL Credit Agreement, or, in certain instances, cross default to other equipment leases and certain lease arrangements require that the Company maintain certain financial ratios comparable to those required by its ABL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13. SEGMENT INFORMATION</w:t>
      </w:r>
    </w:p>
    <w:p>
      <w:pPr>
        <w:spacing w:after="0" w:line="154" w:lineRule="exact"/>
        <w:rPr>
          <w:sz w:val="20"/>
          <w:szCs w:val="20"/>
          <w:color w:val="auto"/>
        </w:rPr>
      </w:pPr>
    </w:p>
    <w:p>
      <w:pPr>
        <w:ind w:left="8" w:right="300" w:firstLine="512"/>
        <w:spacing w:after="0" w:line="279" w:lineRule="auto"/>
        <w:rPr>
          <w:sz w:val="20"/>
          <w:szCs w:val="20"/>
          <w:color w:val="auto"/>
        </w:rPr>
      </w:pPr>
      <w:r>
        <w:rPr>
          <w:rFonts w:ascii="Times New Roman" w:cs="Times New Roman" w:eastAsia="Times New Roman" w:hAnsi="Times New Roman"/>
          <w:sz w:val="12"/>
          <w:szCs w:val="12"/>
          <w:color w:val="auto"/>
        </w:rPr>
        <w:t>The Company reports segment information based on the management approach which designates the internal reporting used by the Chief Operating Decision Maker (“CODM”), which is the Company’s Chief Executive Officer, for making decisions and assessing performance as the source of the Company’s reportable segments. The Company has determined it has one reportable segment: dredging.</w:t>
      </w:r>
    </w:p>
    <w:p>
      <w:pPr>
        <w:spacing w:after="0" w:line="111" w:lineRule="exact"/>
        <w:rPr>
          <w:sz w:val="20"/>
          <w:szCs w:val="20"/>
          <w:color w:val="auto"/>
        </w:rPr>
      </w:pPr>
    </w:p>
    <w:p>
      <w:pPr>
        <w:ind w:left="8" w:right="300" w:firstLine="512"/>
        <w:spacing w:after="0" w:line="265" w:lineRule="auto"/>
        <w:rPr>
          <w:sz w:val="20"/>
          <w:szCs w:val="20"/>
          <w:color w:val="auto"/>
        </w:rPr>
      </w:pPr>
      <w:r>
        <w:rPr>
          <w:rFonts w:ascii="Times New Roman" w:cs="Times New Roman" w:eastAsia="Times New Roman" w:hAnsi="Times New Roman"/>
          <w:sz w:val="12"/>
          <w:szCs w:val="12"/>
          <w:color w:val="auto"/>
        </w:rPr>
        <w:t>As the Company operates in one reportable segment, the CODM is provided financial reports which include (i) a consolidated statement of operations, (ii) plant expenses (as defined below), (iii) a summary of contract revenues by work type and backlog by customer type, (iv) a consolidated balance sheet and (v) a contract analysis of revenues and margins by project. These financial reports assist the CODM in assessing the Company’s financial performance and in allocating resources appropriately.</w:t>
      </w:r>
    </w:p>
    <w:p>
      <w:pPr>
        <w:spacing w:after="0" w:line="119" w:lineRule="exact"/>
        <w:rPr>
          <w:sz w:val="20"/>
          <w:szCs w:val="20"/>
          <w:color w:val="auto"/>
        </w:rPr>
      </w:pPr>
    </w:p>
    <w:p>
      <w:pPr>
        <w:ind w:left="8" w:right="40" w:firstLine="512"/>
        <w:spacing w:after="0" w:line="291" w:lineRule="auto"/>
        <w:rPr>
          <w:sz w:val="20"/>
          <w:szCs w:val="20"/>
          <w:color w:val="auto"/>
        </w:rPr>
      </w:pPr>
      <w:r>
        <w:rPr>
          <w:rFonts w:ascii="Times New Roman" w:cs="Times New Roman" w:eastAsia="Times New Roman" w:hAnsi="Times New Roman"/>
          <w:sz w:val="11"/>
          <w:szCs w:val="11"/>
          <w:color w:val="auto"/>
        </w:rPr>
        <w:t>The dredging segment provides dredging services, which generally involves the enhancement or preservation of the navigability of waterways or the protection of shorelines through the removal or replenishment of soil, sand or rock. The Company derives its revenue primarily in the United States and manages its business activities on a consolidated basis. The accounting policies of the dredging segment are the same as those described in the summary of significant accounting policies. The measure of segment assets is reported on the consolidated balance sheet as total consolidated assets. The CODM uses net income and Adjusted EBITDA to evaluate income generated from segment assets in deciding whether to reinvest profits into the operating segment or into other parts of the entity. Net income and Adjusted EBITDA are used to monitor budgeted versus actual results and to assess performance of the segment.</w:t>
      </w:r>
    </w:p>
    <w:p>
      <w:pPr>
        <w:spacing w:after="0" w:line="107"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2"/>
          <w:szCs w:val="12"/>
          <w:color w:val="auto"/>
        </w:rPr>
        <w:t>Net income from the Company’s reportable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-1270</wp:posOffset>
            </wp:positionV>
            <wp:extent cx="99695" cy="996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-1270</wp:posOffset>
            </wp:positionV>
            <wp:extent cx="93980" cy="996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-1270</wp:posOffset>
            </wp:positionV>
            <wp:extent cx="93980" cy="996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9969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88"/>
        </w:trPr>
        <w:tc>
          <w:tcPr>
            <w:tcW w:w="5540" w:type="dxa"/>
            <w:vAlign w:val="bottom"/>
          </w:tcPr>
          <w:p>
            <w:pPr>
              <w:spacing w:after="0"/>
              <w:rPr>
                <w:sz w:val="7"/>
                <w:szCs w:val="7"/>
                <w:color w:val="auto"/>
              </w:rPr>
            </w:pPr>
          </w:p>
        </w:tc>
        <w:tc>
          <w:tcPr>
            <w:tcW w:w="1120" w:type="dxa"/>
            <w:vAlign w:val="bottom"/>
            <w:tcBorders>
              <w:top w:val="single" w:sz="8" w:color="auto"/>
              <w:bottom w:val="single" w:sz="8" w:color="auto"/>
            </w:tcBorders>
          </w:tcPr>
          <w:p>
            <w:pPr>
              <w:jc w:val="right"/>
              <w:ind w:right="124"/>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20" w:type="dxa"/>
            <w:vAlign w:val="bottom"/>
            <w:tcBorders>
              <w:top w:val="single" w:sz="8" w:color="auto"/>
              <w:bottom w:val="single" w:sz="8" w:color="auto"/>
            </w:tcBorders>
          </w:tcPr>
          <w:p>
            <w:pPr>
              <w:jc w:val="right"/>
              <w:ind w:right="12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56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7"/>
                <w:szCs w:val="7"/>
                <w:color w:val="auto"/>
              </w:rPr>
            </w:pPr>
          </w:p>
        </w:tc>
        <w:tc>
          <w:tcPr>
            <w:tcW w:w="1260" w:type="dxa"/>
            <w:vAlign w:val="bottom"/>
            <w:tcBorders>
              <w:top w:val="single" w:sz="8" w:color="auto"/>
              <w:bottom w:val="single" w:sz="8" w:color="auto"/>
            </w:tcBorders>
          </w:tcPr>
          <w:p>
            <w:pPr>
              <w:jc w:val="right"/>
              <w:ind w:right="68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7"/>
                <w:szCs w:val="7"/>
                <w:color w:val="auto"/>
              </w:rPr>
            </w:pPr>
          </w:p>
        </w:tc>
      </w:tr>
      <w:tr>
        <w:trPr>
          <w:trHeight w:val="133"/>
        </w:trPr>
        <w:tc>
          <w:tcPr>
            <w:tcW w:w="55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Contract revenues</w:t>
            </w:r>
          </w:p>
        </w:tc>
        <w:tc>
          <w:tcPr>
            <w:tcW w:w="1120" w:type="dxa"/>
            <w:vAlign w:val="bottom"/>
            <w:shd w:val="clear" w:color="auto" w:fill="CFF0FC"/>
          </w:tcPr>
          <w:p>
            <w:pPr>
              <w:jc w:val="right"/>
              <w:ind w:right="98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762,693</w:t>
            </w:r>
          </w:p>
        </w:tc>
        <w:tc>
          <w:tcPr>
            <w:tcW w:w="1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9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589,625</w:t>
            </w:r>
          </w:p>
        </w:tc>
        <w:tc>
          <w:tcPr>
            <w:tcW w:w="12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648,781</w:t>
            </w:r>
          </w:p>
        </w:tc>
        <w:tc>
          <w:tcPr>
            <w:tcW w:w="120" w:type="dxa"/>
            <w:vAlign w:val="bottom"/>
            <w:shd w:val="clear" w:color="auto" w:fill="CFF0FC"/>
          </w:tcPr>
          <w:p>
            <w:pPr>
              <w:spacing w:after="0"/>
              <w:rPr>
                <w:sz w:val="11"/>
                <w:szCs w:val="1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Direct contract cost</w:t>
            </w:r>
          </w:p>
        </w:tc>
        <w:tc>
          <w:tcPr>
            <w:tcW w:w="1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449,748</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379,062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418,274</w:t>
            </w:r>
          </w:p>
        </w:tc>
        <w:tc>
          <w:tcPr>
            <w:tcW w:w="120" w:type="dxa"/>
            <w:vAlign w:val="bottom"/>
            <w:shd w:val="clear" w:color="auto" w:fill="CFF0FC"/>
          </w:tcPr>
          <w:p>
            <w:pPr>
              <w:spacing w:after="0"/>
              <w:rPr>
                <w:sz w:val="12"/>
                <w:szCs w:val="12"/>
                <w:color w:val="auto"/>
              </w:rPr>
            </w:pPr>
          </w:p>
        </w:tc>
      </w:tr>
      <w:tr>
        <w:trPr>
          <w:trHeight w:val="144"/>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Plant expenses excluding depreciation expense *</w:t>
            </w:r>
          </w:p>
        </w:tc>
        <w:tc>
          <w:tcPr>
            <w:tcW w:w="1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109,670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90,306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153,061</w:t>
            </w:r>
          </w:p>
        </w:tc>
        <w:tc>
          <w:tcPr>
            <w:tcW w:w="120" w:type="dxa"/>
            <w:vAlign w:val="bottom"/>
          </w:tcPr>
          <w:p>
            <w:pPr>
              <w:spacing w:after="0"/>
              <w:rPr>
                <w:sz w:val="12"/>
                <w:szCs w:val="12"/>
                <w:color w:val="auto"/>
              </w:rPr>
            </w:pPr>
          </w:p>
        </w:tc>
      </w:tr>
      <w:tr>
        <w:trPr>
          <w:trHeight w:val="144"/>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Depreciation expense</w:t>
            </w:r>
          </w:p>
        </w:tc>
        <w:tc>
          <w:tcPr>
            <w:tcW w:w="1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42,699</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42,525</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46,273</w:t>
            </w:r>
          </w:p>
        </w:tc>
        <w:tc>
          <w:tcPr>
            <w:tcW w:w="120" w:type="dxa"/>
            <w:vAlign w:val="bottom"/>
            <w:shd w:val="clear" w:color="auto" w:fill="CFF0FC"/>
          </w:tcPr>
          <w:p>
            <w:pPr>
              <w:spacing w:after="0"/>
              <w:rPr>
                <w:sz w:val="12"/>
                <w:szCs w:val="12"/>
                <w:color w:val="auto"/>
              </w:rPr>
            </w:pPr>
          </w:p>
        </w:tc>
      </w:tr>
      <w:tr>
        <w:trPr>
          <w:trHeight w:val="144"/>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70,769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57,056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51,117</w:t>
            </w:r>
          </w:p>
        </w:tc>
        <w:tc>
          <w:tcPr>
            <w:tcW w:w="120" w:type="dxa"/>
            <w:vAlign w:val="bottom"/>
          </w:tcPr>
          <w:p>
            <w:pPr>
              <w:spacing w:after="0"/>
              <w:rPr>
                <w:sz w:val="12"/>
                <w:szCs w:val="12"/>
                <w:color w:val="auto"/>
              </w:rPr>
            </w:pPr>
          </w:p>
        </w:tc>
      </w:tr>
      <w:tr>
        <w:trPr>
          <w:trHeight w:val="144"/>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Other (gains) losses</w:t>
            </w:r>
          </w:p>
        </w:tc>
        <w:tc>
          <w:tcPr>
            <w:tcW w:w="1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(2,998 )</w:t>
            </w: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(7,543 )</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7,792</w:t>
            </w:r>
          </w:p>
        </w:tc>
        <w:tc>
          <w:tcPr>
            <w:tcW w:w="120" w:type="dxa"/>
            <w:vAlign w:val="bottom"/>
            <w:shd w:val="clear" w:color="auto" w:fill="CFF0FC"/>
          </w:tcPr>
          <w:p>
            <w:pPr>
              <w:spacing w:after="0"/>
              <w:rPr>
                <w:sz w:val="12"/>
                <w:szCs w:val="12"/>
                <w:color w:val="auto"/>
              </w:rPr>
            </w:pPr>
          </w:p>
        </w:tc>
      </w:tr>
      <w:tr>
        <w:trPr>
          <w:trHeight w:val="144"/>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18,556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12,577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14,507</w:t>
            </w:r>
          </w:p>
        </w:tc>
        <w:tc>
          <w:tcPr>
            <w:tcW w:w="120" w:type="dxa"/>
            <w:vAlign w:val="bottom"/>
          </w:tcPr>
          <w:p>
            <w:pPr>
              <w:spacing w:after="0"/>
              <w:rPr>
                <w:sz w:val="12"/>
                <w:szCs w:val="12"/>
                <w:color w:val="auto"/>
              </w:rPr>
            </w:pPr>
          </w:p>
        </w:tc>
      </w:tr>
      <w:tr>
        <w:trPr>
          <w:trHeight w:val="144"/>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1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(676 )</w:t>
            </w: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(437 )</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(399 )</w:t>
            </w:r>
          </w:p>
        </w:tc>
      </w:tr>
      <w:tr>
        <w:trPr>
          <w:trHeight w:val="144"/>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(income) expense</w:t>
            </w:r>
          </w:p>
        </w:tc>
        <w:tc>
          <w:tcPr>
            <w:tcW w:w="1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(460 )</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(2,233 )</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1,571</w:t>
            </w:r>
          </w:p>
        </w:tc>
        <w:tc>
          <w:tcPr>
            <w:tcW w:w="120" w:type="dxa"/>
            <w:vAlign w:val="bottom"/>
          </w:tcPr>
          <w:p>
            <w:pPr>
              <w:spacing w:after="0"/>
              <w:rPr>
                <w:sz w:val="12"/>
                <w:szCs w:val="12"/>
                <w:color w:val="auto"/>
              </w:rPr>
            </w:pPr>
          </w:p>
        </w:tc>
      </w:tr>
      <w:tr>
        <w:trPr>
          <w:trHeight w:val="144"/>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1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18,120</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4,406</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(9,360 )</w:t>
            </w:r>
          </w:p>
        </w:tc>
      </w:tr>
      <w:tr>
        <w:trPr>
          <w:trHeight w:val="20"/>
        </w:trPr>
        <w:tc>
          <w:tcPr>
            <w:tcW w:w="55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33"/>
        </w:trPr>
        <w:tc>
          <w:tcPr>
            <w:tcW w:w="5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1120" w:type="dxa"/>
            <w:vAlign w:val="bottom"/>
          </w:tcPr>
          <w:p>
            <w:pPr>
              <w:jc w:val="right"/>
              <w:ind w:right="98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57,265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986"/>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13,906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(34,055 )</w:t>
            </w:r>
          </w:p>
        </w:tc>
      </w:tr>
      <w:tr>
        <w:trPr>
          <w:trHeight w:val="27"/>
        </w:trPr>
        <w:tc>
          <w:tcPr>
            <w:tcW w:w="5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-113665</wp:posOffset>
            </wp:positionV>
            <wp:extent cx="7429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-113665</wp:posOffset>
            </wp:positionV>
            <wp:extent cx="685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-113665</wp:posOffset>
            </wp:positionV>
            <wp:extent cx="685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left="5588" w:right="4840" w:hanging="5588"/>
        <w:spacing w:after="0" w:line="530" w:lineRule="auto"/>
        <w:tabs>
          <w:tab w:leader="none" w:pos="8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indirect expenses that are allocated to contracts, including, but not limited to: maintenance, supplies, wear and insurance.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20344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9" w:right="299" w:bottom="1440" w:gutter="0" w:footer="0" w:header="0"/>
        </w:sectPr>
      </w:pPr>
    </w:p>
    <w:bookmarkStart w:id="80" w:name="page81"/>
    <w:bookmarkEnd w:id="80"/>
    <w:p>
      <w:pPr>
        <w:jc w:val="center"/>
        <w:ind w:right="120"/>
        <w:spacing w:after="0"/>
        <w:rPr>
          <w:sz w:val="20"/>
          <w:szCs w:val="20"/>
          <w:color w:val="auto"/>
        </w:rPr>
      </w:pPr>
      <w:r>
        <w:rPr>
          <w:rFonts w:ascii="Times New Roman" w:cs="Times New Roman" w:eastAsia="Times New Roman" w:hAnsi="Times New Roman"/>
          <w:sz w:val="12"/>
          <w:szCs w:val="12"/>
          <w:color w:val="auto"/>
        </w:rPr>
        <w:t>Great Lakes Dredge &amp; Dock Corporation</w:t>
      </w:r>
    </w:p>
    <w:p>
      <w:pPr>
        <w:spacing w:after="0" w:line="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Schedule II—Valuation and Qualifying Accounts</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For the Years Ended December 31, 2024, 2023 and 2022</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Beginning</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Additions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Deductions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Ending</w:t>
            </w:r>
          </w:p>
        </w:tc>
        <w:tc>
          <w:tcPr>
            <w:tcW w:w="0" w:type="dxa"/>
            <w:vAlign w:val="bottom"/>
          </w:tcPr>
          <w:p>
            <w:pPr>
              <w:spacing w:after="0"/>
              <w:rPr>
                <w:sz w:val="1"/>
                <w:szCs w:val="1"/>
                <w:color w:val="auto"/>
              </w:rPr>
            </w:pPr>
          </w:p>
        </w:tc>
      </w:tr>
      <w:tr>
        <w:trPr>
          <w:trHeight w:val="117"/>
        </w:trPr>
        <w:tc>
          <w:tcPr>
            <w:tcW w:w="4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Description</w:t>
            </w:r>
          </w:p>
        </w:tc>
        <w:tc>
          <w:tcPr>
            <w:tcW w:w="1500" w:type="dxa"/>
            <w:vAlign w:val="bottom"/>
          </w:tcPr>
          <w:p>
            <w:pPr>
              <w:spacing w:after="0"/>
              <w:rPr>
                <w:sz w:val="10"/>
                <w:szCs w:val="10"/>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0" w:type="dxa"/>
            <w:vAlign w:val="bottom"/>
          </w:tcPr>
          <w:p>
            <w:pPr>
              <w:spacing w:after="0"/>
              <w:rPr>
                <w:sz w:val="1"/>
                <w:szCs w:val="1"/>
                <w:color w:val="auto"/>
              </w:rPr>
            </w:pPr>
          </w:p>
        </w:tc>
      </w:tr>
      <w:tr>
        <w:trPr>
          <w:trHeight w:val="133"/>
        </w:trPr>
        <w:tc>
          <w:tcPr>
            <w:tcW w:w="41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Year ended December 31, 2022</w:t>
            </w:r>
          </w:p>
        </w:tc>
        <w:tc>
          <w:tcPr>
            <w:tcW w:w="15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Allowances deducted from assets to which they apply:</w:t>
            </w: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Allowances for doubtful accounts</w:t>
            </w:r>
          </w:p>
        </w:tc>
        <w:tc>
          <w:tcPr>
            <w:tcW w:w="23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50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shd w:val="clear" w:color="auto" w:fill="CFF0FC"/>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Valuation allowance for deferred tax assets</w:t>
            </w:r>
          </w:p>
        </w:tc>
        <w:tc>
          <w:tcPr>
            <w:tcW w:w="15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6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380" w:type="dxa"/>
            <w:vAlign w:val="bottom"/>
            <w:gridSpan w:val="2"/>
            <w:shd w:val="clear" w:color="auto" w:fill="CFF0FC"/>
          </w:tcPr>
          <w:p>
            <w:pPr>
              <w:jc w:val="right"/>
              <w:ind w:right="748"/>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3,051</w:t>
            </w:r>
          </w:p>
        </w:tc>
        <w:tc>
          <w:tcPr>
            <w:tcW w:w="500" w:type="dxa"/>
            <w:vAlign w:val="bottom"/>
            <w:gridSpan w:val="3"/>
            <w:shd w:val="clear" w:color="auto" w:fill="CFF0FC"/>
          </w:tcPr>
          <w:p>
            <w:pPr>
              <w:jc w:val="right"/>
              <w:ind w:right="126"/>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3,525</w:t>
            </w:r>
          </w:p>
        </w:tc>
        <w:tc>
          <w:tcPr>
            <w:tcW w:w="480" w:type="dxa"/>
            <w:vAlign w:val="bottom"/>
            <w:gridSpan w:val="3"/>
            <w:shd w:val="clear" w:color="auto" w:fill="CFF0FC"/>
          </w:tcPr>
          <w:p>
            <w:pPr>
              <w:jc w:val="right"/>
              <w:ind w:right="106"/>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shd w:val="clear" w:color="auto" w:fill="CFF0FC"/>
          </w:tcPr>
          <w:p>
            <w:pPr>
              <w:jc w:val="right"/>
              <w:ind w:right="1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6,576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Borders>
              <w:top w:val="single" w:sz="8" w:color="CFF0FC"/>
            </w:tcBorders>
          </w:tcPr>
          <w:p>
            <w:pPr>
              <w:spacing w:after="0"/>
              <w:rPr>
                <w:sz w:val="12"/>
                <w:szCs w:val="12"/>
                <w:color w:val="auto"/>
              </w:rPr>
            </w:pPr>
          </w:p>
        </w:tc>
        <w:tc>
          <w:tcPr>
            <w:tcW w:w="150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Year ended December 31, 2023</w:t>
            </w:r>
          </w:p>
        </w:tc>
        <w:tc>
          <w:tcPr>
            <w:tcW w:w="15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Allowances deducted from assets to which they apply:</w:t>
            </w: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Allowances for doubtful accounts</w:t>
            </w:r>
          </w:p>
        </w:tc>
        <w:tc>
          <w:tcPr>
            <w:tcW w:w="23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50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500" w:type="dxa"/>
            <w:vAlign w:val="bottom"/>
            <w:gridSpan w:val="3"/>
            <w:shd w:val="clear" w:color="auto" w:fill="CFF0FC"/>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Valuation allowance for deferred tax assets</w:t>
            </w:r>
          </w:p>
        </w:tc>
        <w:tc>
          <w:tcPr>
            <w:tcW w:w="15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6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380" w:type="dxa"/>
            <w:vAlign w:val="bottom"/>
            <w:gridSpan w:val="2"/>
            <w:shd w:val="clear" w:color="auto" w:fill="CFF0FC"/>
          </w:tcPr>
          <w:p>
            <w:pPr>
              <w:jc w:val="right"/>
              <w:ind w:right="748"/>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6,576</w:t>
            </w:r>
          </w:p>
        </w:tc>
        <w:tc>
          <w:tcPr>
            <w:tcW w:w="500" w:type="dxa"/>
            <w:vAlign w:val="bottom"/>
            <w:gridSpan w:val="3"/>
            <w:shd w:val="clear" w:color="auto" w:fill="CFF0FC"/>
          </w:tcPr>
          <w:p>
            <w:pPr>
              <w:jc w:val="right"/>
              <w:ind w:right="126"/>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546</w:t>
            </w:r>
          </w:p>
        </w:tc>
        <w:tc>
          <w:tcPr>
            <w:tcW w:w="480" w:type="dxa"/>
            <w:vAlign w:val="bottom"/>
            <w:gridSpan w:val="3"/>
            <w:shd w:val="clear" w:color="auto" w:fill="CFF0FC"/>
          </w:tcPr>
          <w:p>
            <w:pPr>
              <w:jc w:val="right"/>
              <w:ind w:right="106"/>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200</w:t>
            </w:r>
          </w:p>
        </w:tc>
        <w:tc>
          <w:tcPr>
            <w:tcW w:w="500" w:type="dxa"/>
            <w:vAlign w:val="bottom"/>
            <w:gridSpan w:val="3"/>
            <w:shd w:val="clear" w:color="auto" w:fill="CFF0FC"/>
          </w:tcPr>
          <w:p>
            <w:pPr>
              <w:jc w:val="right"/>
              <w:ind w:right="1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6,922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Borders>
              <w:top w:val="single" w:sz="8" w:color="CFF0FC"/>
            </w:tcBorders>
          </w:tcPr>
          <w:p>
            <w:pPr>
              <w:spacing w:after="0"/>
              <w:rPr>
                <w:sz w:val="12"/>
                <w:szCs w:val="12"/>
                <w:color w:val="auto"/>
              </w:rPr>
            </w:pPr>
          </w:p>
        </w:tc>
        <w:tc>
          <w:tcPr>
            <w:tcW w:w="150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Year ended December 31, 2024</w:t>
            </w:r>
          </w:p>
        </w:tc>
        <w:tc>
          <w:tcPr>
            <w:tcW w:w="15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Allowances deducted from assets to which they apply:</w:t>
            </w: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Allowances for doubtful accounts</w:t>
            </w:r>
          </w:p>
        </w:tc>
        <w:tc>
          <w:tcPr>
            <w:tcW w:w="23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50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shd w:val="clear" w:color="auto" w:fill="CFF0FC"/>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Valuation allowance for deferred tax assets</w:t>
            </w:r>
          </w:p>
        </w:tc>
        <w:tc>
          <w:tcPr>
            <w:tcW w:w="15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60" w:type="dxa"/>
            <w:vAlign w:val="bottom"/>
            <w:tcBorders>
              <w:bottom w:val="single" w:sz="8" w:color="CFF0FC"/>
            </w:tcBorders>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5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748"/>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6,922</w:t>
            </w:r>
          </w:p>
        </w:tc>
        <w:tc>
          <w:tcPr>
            <w:tcW w:w="260" w:type="dxa"/>
            <w:vAlign w:val="bottom"/>
            <w:tcBorders>
              <w:bottom w:val="single" w:sz="8" w:color="CFF0FC"/>
            </w:tcBorders>
            <w:gridSpan w:val="2"/>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757</w:t>
            </w:r>
          </w:p>
        </w:tc>
        <w:tc>
          <w:tcPr>
            <w:tcW w:w="260" w:type="dxa"/>
            <w:vAlign w:val="bottom"/>
            <w:tcBorders>
              <w:bottom w:val="single" w:sz="8" w:color="CFF0FC"/>
            </w:tcBorders>
            <w:gridSpan w:val="2"/>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gridSpan w:val="2"/>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7,679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2380" w:type="dxa"/>
            <w:vAlign w:val="bottom"/>
            <w:gridSpan w:val="2"/>
          </w:tcPr>
          <w:p>
            <w:pPr>
              <w:jc w:val="right"/>
              <w:ind w:right="788"/>
              <w:spacing w:after="0"/>
              <w:rPr>
                <w:sz w:val="20"/>
                <w:szCs w:val="20"/>
                <w:color w:val="auto"/>
              </w:rPr>
            </w:pPr>
            <w:r>
              <w:rPr>
                <w:rFonts w:ascii="Times New Roman" w:cs="Times New Roman" w:eastAsia="Times New Roman" w:hAnsi="Times New Roman"/>
                <w:sz w:val="12"/>
                <w:szCs w:val="12"/>
                <w:color w:val="auto"/>
              </w:rPr>
              <w:t>79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-1765300</wp:posOffset>
            </wp:positionV>
            <wp:extent cx="7429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-1753870</wp:posOffset>
            </wp:positionV>
            <wp:extent cx="7429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-1765300</wp:posOffset>
            </wp:positionV>
            <wp:extent cx="7429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-1753870</wp:posOffset>
            </wp:positionV>
            <wp:extent cx="7429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-1765300</wp:posOffset>
            </wp:positionV>
            <wp:extent cx="6858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-1753870</wp:posOffset>
            </wp:positionV>
            <wp:extent cx="685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-1765300</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-1753870</wp:posOffset>
            </wp:positionV>
            <wp:extent cx="685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-1193800</wp:posOffset>
            </wp:positionV>
            <wp:extent cx="7429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-1182370</wp:posOffset>
            </wp:positionV>
            <wp:extent cx="7429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-1193800</wp:posOffset>
            </wp:positionV>
            <wp:extent cx="7429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-1182370</wp:posOffset>
            </wp:positionV>
            <wp:extent cx="7429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-1193800</wp:posOffset>
            </wp:positionV>
            <wp:extent cx="685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-1182370</wp:posOffset>
            </wp:positionV>
            <wp:extent cx="685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-1193800</wp:posOffset>
            </wp:positionV>
            <wp:extent cx="685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-1182370</wp:posOffset>
            </wp:positionV>
            <wp:extent cx="685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-622300</wp:posOffset>
            </wp:positionV>
            <wp:extent cx="7429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-610870</wp:posOffset>
            </wp:positionV>
            <wp:extent cx="7429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-622300</wp:posOffset>
            </wp:positionV>
            <wp:extent cx="7429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-610870</wp:posOffset>
            </wp:positionV>
            <wp:extent cx="7429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-622300</wp:posOffset>
            </wp:positionV>
            <wp:extent cx="6858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-610870</wp:posOffset>
            </wp:positionV>
            <wp:extent cx="6858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-622300</wp:posOffset>
            </wp:positionV>
            <wp:extent cx="6858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-610870</wp:posOffset>
            </wp:positionV>
            <wp:extent cx="685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59"/>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180" w:type="dxa"/>
            <w:vAlign w:val="bottom"/>
            <w:gridSpan w:val="23"/>
          </w:tcPr>
          <w:p>
            <w:pPr>
              <w:jc w:val="center"/>
              <w:ind w:right="5140"/>
              <w:spacing w:after="0"/>
              <w:rPr>
                <w:sz w:val="20"/>
                <w:szCs w:val="20"/>
                <w:color w:val="auto"/>
              </w:rPr>
            </w:pPr>
            <w:r>
              <w:rPr>
                <w:rFonts w:ascii="Times New Roman" w:cs="Times New Roman" w:eastAsia="Times New Roman" w:hAnsi="Times New Roman"/>
                <w:sz w:val="12"/>
                <w:szCs w:val="12"/>
                <w:b w:val="1"/>
                <w:bCs w:val="1"/>
                <w:color w:val="auto"/>
              </w:rPr>
              <w:t>I. EXHIBIT INDEX</w:t>
            </w:r>
          </w:p>
        </w:tc>
      </w:tr>
      <w:tr>
        <w:trPr>
          <w:trHeight w:val="288"/>
        </w:trPr>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18"/>
          </w:tcPr>
          <w:p>
            <w:pPr>
              <w:ind w:left="340"/>
              <w:spacing w:after="0"/>
              <w:rPr>
                <w:sz w:val="20"/>
                <w:szCs w:val="20"/>
                <w:color w:val="auto"/>
              </w:rPr>
            </w:pPr>
            <w:r>
              <w:rPr>
                <w:rFonts w:ascii="Times New Roman" w:cs="Times New Roman" w:eastAsia="Times New Roman" w:hAnsi="Times New Roman"/>
                <w:sz w:val="12"/>
                <w:szCs w:val="12"/>
                <w:b w:val="1"/>
                <w:bCs w:val="1"/>
                <w:color w:val="auto"/>
              </w:rPr>
              <w:t>Document Description</w:t>
            </w:r>
          </w:p>
        </w:tc>
      </w:tr>
      <w:tr>
        <w:trPr>
          <w:trHeight w:val="106"/>
        </w:trPr>
        <w:tc>
          <w:tcPr>
            <w:tcW w:w="160" w:type="dxa"/>
            <w:vAlign w:val="bottom"/>
            <w:tcBorders>
              <w:bottom w:val="single" w:sz="8" w:color="0000FF"/>
            </w:tcBorders>
          </w:tcPr>
          <w:p>
            <w:pPr>
              <w:spacing w:after="0" w:line="106" w:lineRule="exact"/>
              <w:rPr>
                <w:rFonts w:ascii="Times New Roman" w:cs="Times New Roman" w:eastAsia="Times New Roman" w:hAnsi="Times New Roman"/>
                <w:sz w:val="12"/>
                <w:szCs w:val="12"/>
                <w:color w:val="0000FF"/>
                <w:w w:val="92"/>
              </w:rPr>
            </w:pPr>
            <w:hyperlink r:id="rId385">
              <w:r>
                <w:rPr>
                  <w:rFonts w:ascii="Times New Roman" w:cs="Times New Roman" w:eastAsia="Times New Roman" w:hAnsi="Times New Roman"/>
                  <w:sz w:val="12"/>
                  <w:szCs w:val="12"/>
                  <w:color w:val="0000FF"/>
                  <w:w w:val="92"/>
                </w:rPr>
                <w:t>2.</w:t>
              </w:r>
              <w:r>
                <w:rPr>
                  <w:rFonts w:ascii="Times New Roman" w:cs="Times New Roman" w:eastAsia="Times New Roman" w:hAnsi="Times New Roman"/>
                  <w:sz w:val="12"/>
                  <w:szCs w:val="12"/>
                  <w:u w:val="single" w:color="auto"/>
                  <w:color w:val="0000FF"/>
                  <w:w w:val="92"/>
                </w:rPr>
                <w:t>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780" w:type="dxa"/>
            <w:vAlign w:val="bottom"/>
            <w:tcBorders>
              <w:bottom w:val="single" w:sz="8" w:color="0000FF"/>
            </w:tcBorders>
            <w:gridSpan w:val="25"/>
          </w:tcPr>
          <w:p>
            <w:pPr>
              <w:spacing w:after="0" w:line="106" w:lineRule="exact"/>
              <w:rPr>
                <w:rFonts w:ascii="Times New Roman" w:cs="Times New Roman" w:eastAsia="Times New Roman" w:hAnsi="Times New Roman"/>
                <w:sz w:val="12"/>
                <w:szCs w:val="12"/>
                <w:color w:val="0000FF"/>
              </w:rPr>
            </w:pPr>
            <w:hyperlink r:id="rId385">
              <w:r>
                <w:rPr>
                  <w:rFonts w:ascii="Times New Roman" w:cs="Times New Roman" w:eastAsia="Times New Roman" w:hAnsi="Times New Roman"/>
                  <w:sz w:val="12"/>
                  <w:szCs w:val="12"/>
                  <w:color w:val="0000FF"/>
                </w:rPr>
                <w:t>Amended and Restated Agreement and Plan of Merger dated as of December 22, 2003, among Great Lakes Dredge &amp; Dock Corporation, GLDD Acquisitions Corp., GLDD Merger Sub, Inc. and Vectura</w:t>
              </w:r>
            </w:hyperlink>
          </w:p>
        </w:tc>
        <w:tc>
          <w:tcPr>
            <w:tcW w:w="40" w:type="dxa"/>
            <w:vAlign w:val="bottom"/>
            <w:gridSpan w:val="2"/>
          </w:tcPr>
          <w:p>
            <w:pPr>
              <w:spacing w:after="0"/>
              <w:rPr>
                <w:sz w:val="9"/>
                <w:szCs w:val="9"/>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40" w:type="dxa"/>
            <w:vAlign w:val="bottom"/>
            <w:tcBorders>
              <w:bottom w:val="single" w:sz="8" w:color="0000FF"/>
            </w:tcBorders>
            <w:gridSpan w:val="17"/>
          </w:tcPr>
          <w:p>
            <w:pPr>
              <w:spacing w:after="0" w:line="124" w:lineRule="exact"/>
              <w:rPr>
                <w:rFonts w:ascii="Times New Roman" w:cs="Times New Roman" w:eastAsia="Times New Roman" w:hAnsi="Times New Roman"/>
                <w:sz w:val="12"/>
                <w:szCs w:val="12"/>
                <w:color w:val="0000FF"/>
                <w:w w:val="99"/>
              </w:rPr>
            </w:pPr>
            <w:hyperlink r:id="rId385">
              <w:r>
                <w:rPr>
                  <w:rFonts w:ascii="Times New Roman" w:cs="Times New Roman" w:eastAsia="Times New Roman" w:hAnsi="Times New Roman"/>
                  <w:sz w:val="12"/>
                  <w:szCs w:val="12"/>
                  <w:color w:val="0000FF"/>
                  <w:w w:val="99"/>
                </w:rPr>
                <w:t>Holding Company LLC. (Incorporated by reference to Great Lakes Dredge &amp; Dock Corporation’s Current Report on Form 8-K filed with the Commission on January 6, 2004).</w:t>
              </w:r>
            </w:hyperlink>
          </w:p>
        </w:tc>
        <w:tc>
          <w:tcPr>
            <w:tcW w:w="20" w:type="dxa"/>
            <w:vAlign w:val="bottom"/>
            <w:tcBorders>
              <w:bottom w:val="single" w:sz="8" w:color="0000EE"/>
            </w:tcBorders>
          </w:tcPr>
          <w:p>
            <w:pPr>
              <w:spacing w:after="0"/>
              <w:rPr>
                <w:sz w:val="10"/>
                <w:szCs w:val="10"/>
                <w:color w:val="auto"/>
              </w:rPr>
            </w:pPr>
          </w:p>
        </w:tc>
        <w:tc>
          <w:tcPr>
            <w:tcW w:w="1360" w:type="dxa"/>
            <w:vAlign w:val="bottom"/>
            <w:gridSpan w:val="9"/>
          </w:tcPr>
          <w:p>
            <w:pPr>
              <w:spacing w:after="0"/>
              <w:rPr>
                <w:sz w:val="10"/>
                <w:szCs w:val="10"/>
                <w:color w:val="auto"/>
              </w:rPr>
            </w:pPr>
          </w:p>
        </w:tc>
      </w:tr>
      <w:tr>
        <w:trPr>
          <w:trHeight w:val="205"/>
        </w:trPr>
        <w:tc>
          <w:tcPr>
            <w:tcW w:w="160" w:type="dxa"/>
            <w:vAlign w:val="bottom"/>
            <w:tcBorders>
              <w:bottom w:val="single" w:sz="8" w:color="0000FF"/>
            </w:tcBorders>
          </w:tcPr>
          <w:p>
            <w:pPr>
              <w:spacing w:after="0"/>
              <w:rPr>
                <w:rFonts w:ascii="Times New Roman" w:cs="Times New Roman" w:eastAsia="Times New Roman" w:hAnsi="Times New Roman"/>
                <w:sz w:val="12"/>
                <w:szCs w:val="12"/>
                <w:color w:val="0000FF"/>
                <w:w w:val="92"/>
              </w:rPr>
            </w:pPr>
            <w:hyperlink r:id="rId386">
              <w:r>
                <w:rPr>
                  <w:rFonts w:ascii="Times New Roman" w:cs="Times New Roman" w:eastAsia="Times New Roman" w:hAnsi="Times New Roman"/>
                  <w:sz w:val="12"/>
                  <w:szCs w:val="12"/>
                  <w:color w:val="0000FF"/>
                  <w:w w:val="92"/>
                </w:rPr>
                <w:t>2.</w:t>
              </w:r>
              <w:r>
                <w:rPr>
                  <w:rFonts w:ascii="Times New Roman" w:cs="Times New Roman" w:eastAsia="Times New Roman" w:hAnsi="Times New Roman"/>
                  <w:sz w:val="12"/>
                  <w:szCs w:val="12"/>
                  <w:u w:val="single" w:color="auto"/>
                  <w:color w:val="0000FF"/>
                  <w:w w:val="92"/>
                </w:rPr>
                <w:t>2</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21"/>
          </w:tcPr>
          <w:p>
            <w:pPr>
              <w:spacing w:after="0"/>
              <w:rPr>
                <w:rFonts w:ascii="Times New Roman" w:cs="Times New Roman" w:eastAsia="Times New Roman" w:hAnsi="Times New Roman"/>
                <w:sz w:val="12"/>
                <w:szCs w:val="12"/>
                <w:color w:val="0000FF"/>
              </w:rPr>
            </w:pPr>
            <w:hyperlink r:id="rId386">
              <w:r>
                <w:rPr>
                  <w:rFonts w:ascii="Times New Roman" w:cs="Times New Roman" w:eastAsia="Times New Roman" w:hAnsi="Times New Roman"/>
                  <w:sz w:val="12"/>
                  <w:szCs w:val="12"/>
                  <w:color w:val="0000FF"/>
                </w:rPr>
                <w:t>Agreement and Plan of Merger by and among GLDD Acquisitions Corp., Aldabra Acquisition Corporation, and certain shareholders of Aldabra Acquisition Corporation and GLDD Acquisitions Corp.,</w:t>
              </w:r>
            </w:hyperlink>
          </w:p>
        </w:tc>
        <w:tc>
          <w:tcPr>
            <w:tcW w:w="140" w:type="dxa"/>
            <w:vAlign w:val="bottom"/>
            <w:gridSpan w:val="6"/>
          </w:tcPr>
          <w:p>
            <w:pPr>
              <w:spacing w:after="0"/>
              <w:rPr>
                <w:sz w:val="17"/>
                <w:szCs w:val="17"/>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20" w:type="dxa"/>
            <w:vAlign w:val="bottom"/>
            <w:tcBorders>
              <w:bottom w:val="single" w:sz="8" w:color="0000FF"/>
            </w:tcBorders>
            <w:gridSpan w:val="16"/>
          </w:tcPr>
          <w:p>
            <w:pPr>
              <w:spacing w:after="0" w:line="124" w:lineRule="exact"/>
              <w:rPr>
                <w:rFonts w:ascii="Times New Roman" w:cs="Times New Roman" w:eastAsia="Times New Roman" w:hAnsi="Times New Roman"/>
                <w:sz w:val="12"/>
                <w:szCs w:val="12"/>
                <w:color w:val="0000FF"/>
                <w:w w:val="99"/>
              </w:rPr>
            </w:pPr>
            <w:hyperlink r:id="rId386">
              <w:r>
                <w:rPr>
                  <w:rFonts w:ascii="Times New Roman" w:cs="Times New Roman" w:eastAsia="Times New Roman" w:hAnsi="Times New Roman"/>
                  <w:sz w:val="12"/>
                  <w:szCs w:val="12"/>
                  <w:color w:val="0000FF"/>
                  <w:w w:val="99"/>
                </w:rPr>
                <w:t>dated as of June 20, 2006. (Incorporated by reference to Great Lakes Dredge &amp; Dock Corporation’s Current Report on Form 8-K filed with the Commission on June 22, 2006).</w:t>
              </w:r>
            </w:hyperlink>
          </w:p>
        </w:tc>
        <w:tc>
          <w:tcPr>
            <w:tcW w:w="20" w:type="dxa"/>
            <w:vAlign w:val="bottom"/>
            <w:tcBorders>
              <w:bottom w:val="single" w:sz="8" w:color="0000EE"/>
            </w:tcBorders>
          </w:tcPr>
          <w:p>
            <w:pPr>
              <w:spacing w:after="0"/>
              <w:rPr>
                <w:sz w:val="10"/>
                <w:szCs w:val="10"/>
                <w:color w:val="auto"/>
              </w:rPr>
            </w:pPr>
          </w:p>
        </w:tc>
        <w:tc>
          <w:tcPr>
            <w:tcW w:w="1380" w:type="dxa"/>
            <w:vAlign w:val="bottom"/>
            <w:gridSpan w:val="10"/>
          </w:tcPr>
          <w:p>
            <w:pPr>
              <w:spacing w:after="0"/>
              <w:rPr>
                <w:sz w:val="10"/>
                <w:szCs w:val="10"/>
                <w:color w:val="auto"/>
              </w:rPr>
            </w:pPr>
          </w:p>
        </w:tc>
      </w:tr>
      <w:tr>
        <w:trPr>
          <w:trHeight w:val="205"/>
        </w:trPr>
        <w:tc>
          <w:tcPr>
            <w:tcW w:w="160" w:type="dxa"/>
            <w:vAlign w:val="bottom"/>
            <w:tcBorders>
              <w:bottom w:val="single" w:sz="8" w:color="0000FF"/>
            </w:tcBorders>
          </w:tcPr>
          <w:p>
            <w:pPr>
              <w:spacing w:after="0"/>
              <w:rPr>
                <w:rFonts w:ascii="Times New Roman" w:cs="Times New Roman" w:eastAsia="Times New Roman" w:hAnsi="Times New Roman"/>
                <w:sz w:val="12"/>
                <w:szCs w:val="12"/>
                <w:color w:val="0000FF"/>
                <w:w w:val="92"/>
              </w:rPr>
            </w:pPr>
            <w:hyperlink r:id="rId387">
              <w:r>
                <w:rPr>
                  <w:rFonts w:ascii="Times New Roman" w:cs="Times New Roman" w:eastAsia="Times New Roman" w:hAnsi="Times New Roman"/>
                  <w:sz w:val="12"/>
                  <w:szCs w:val="12"/>
                  <w:color w:val="0000FF"/>
                  <w:w w:val="92"/>
                </w:rPr>
                <w:t>3.</w:t>
              </w:r>
              <w:r>
                <w:rPr>
                  <w:rFonts w:ascii="Times New Roman" w:cs="Times New Roman" w:eastAsia="Times New Roman" w:hAnsi="Times New Roman"/>
                  <w:sz w:val="12"/>
                  <w:szCs w:val="12"/>
                  <w:u w:val="single" w:color="auto"/>
                  <w:color w:val="0000FF"/>
                  <w:w w:val="92"/>
                </w:rPr>
                <w:t>1</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rPr>
                <w:rFonts w:ascii="Times New Roman" w:cs="Times New Roman" w:eastAsia="Times New Roman" w:hAnsi="Times New Roman"/>
                <w:sz w:val="12"/>
                <w:szCs w:val="12"/>
                <w:color w:val="0000FF"/>
              </w:rPr>
            </w:pPr>
            <w:hyperlink r:id="rId387">
              <w:r>
                <w:rPr>
                  <w:rFonts w:ascii="Times New Roman" w:cs="Times New Roman" w:eastAsia="Times New Roman" w:hAnsi="Times New Roman"/>
                  <w:sz w:val="12"/>
                  <w:szCs w:val="12"/>
                  <w:color w:val="0000FF"/>
                </w:rPr>
                <w:t>Second Amended and Restated Certificate of Incorporation of Great Lakes Dredge &amp; Dock Corporation, effective May 9, 2024. (Incorporated by reference to Great Lakes Dredge &amp; Dock Corporation’s</w:t>
              </w:r>
            </w:hyperlink>
          </w:p>
        </w:tc>
        <w:tc>
          <w:tcPr>
            <w:tcW w:w="100" w:type="dxa"/>
            <w:vAlign w:val="bottom"/>
            <w:gridSpan w:val="4"/>
          </w:tcPr>
          <w:p>
            <w:pPr>
              <w:spacing w:after="0"/>
              <w:rPr>
                <w:sz w:val="17"/>
                <w:szCs w:val="17"/>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20" w:type="dxa"/>
            <w:vAlign w:val="bottom"/>
            <w:gridSpan w:val="27"/>
          </w:tcPr>
          <w:p>
            <w:pPr>
              <w:spacing w:after="0" w:line="124" w:lineRule="exact"/>
              <w:rPr>
                <w:rFonts w:ascii="Times New Roman" w:cs="Times New Roman" w:eastAsia="Times New Roman" w:hAnsi="Times New Roman"/>
                <w:sz w:val="12"/>
                <w:szCs w:val="12"/>
                <w:color w:val="0000FF"/>
              </w:rPr>
            </w:pPr>
            <w:hyperlink r:id="rId387">
              <w:r>
                <w:rPr>
                  <w:rFonts w:ascii="Times New Roman" w:cs="Times New Roman" w:eastAsia="Times New Roman" w:hAnsi="Times New Roman"/>
                  <w:sz w:val="12"/>
                  <w:szCs w:val="12"/>
                  <w:color w:val="0000FF"/>
                </w:rPr>
                <w:t>Quarterly Report on Form 10-Q filed with the Commission on August 6, 2024).</w:t>
              </w:r>
            </w:hyperlink>
          </w:p>
        </w:tc>
      </w:tr>
      <w:tr>
        <w:trPr>
          <w:trHeight w:val="20"/>
        </w:trPr>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0" w:type="dxa"/>
            <w:vAlign w:val="bottom"/>
            <w:gridSpan w:val="3"/>
          </w:tcPr>
          <w:p>
            <w:pPr>
              <w:spacing w:after="0"/>
              <w:rPr>
                <w:rFonts w:ascii="Times New Roman" w:cs="Times New Roman" w:eastAsia="Times New Roman" w:hAnsi="Times New Roman"/>
                <w:sz w:val="12"/>
                <w:szCs w:val="12"/>
                <w:color w:val="0000FF"/>
              </w:rPr>
            </w:pPr>
            <w:hyperlink r:id="rId388">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2</w:t>
              </w:r>
            </w:hyperlink>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7"/>
          </w:tcPr>
          <w:p>
            <w:pPr>
              <w:spacing w:after="0"/>
              <w:rPr>
                <w:rFonts w:ascii="Times New Roman" w:cs="Times New Roman" w:eastAsia="Times New Roman" w:hAnsi="Times New Roman"/>
                <w:sz w:val="12"/>
                <w:szCs w:val="12"/>
                <w:color w:val="0000FF"/>
              </w:rPr>
            </w:pPr>
            <w:hyperlink r:id="rId388">
              <w:r>
                <w:rPr>
                  <w:rFonts w:ascii="Times New Roman" w:cs="Times New Roman" w:eastAsia="Times New Roman" w:hAnsi="Times New Roman"/>
                  <w:sz w:val="12"/>
                  <w:szCs w:val="12"/>
                  <w:color w:val="0000FF"/>
                </w:rPr>
                <w:t>Second Amended and Restated Bylaws of Great Lakes Dredge &amp; Dock Corporation, dated as of January 12, 2023. (Incorporated by reference to Great Lakes Dredge &amp; Dock Corporation’s Current Report</w:t>
              </w:r>
            </w:hyperlink>
          </w:p>
        </w:tc>
      </w:tr>
      <w:tr>
        <w:trPr>
          <w:trHeight w:val="124"/>
        </w:trPr>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20" w:type="dxa"/>
            <w:vAlign w:val="bottom"/>
            <w:tcBorders>
              <w:top w:val="single" w:sz="8" w:color="0000FF"/>
            </w:tcBorders>
            <w:gridSpan w:val="27"/>
          </w:tcPr>
          <w:p>
            <w:pPr>
              <w:spacing w:after="0" w:line="124" w:lineRule="exact"/>
              <w:rPr>
                <w:rFonts w:ascii="Times New Roman" w:cs="Times New Roman" w:eastAsia="Times New Roman" w:hAnsi="Times New Roman"/>
                <w:sz w:val="12"/>
                <w:szCs w:val="12"/>
                <w:color w:val="0000FF"/>
              </w:rPr>
            </w:pPr>
            <w:hyperlink r:id="rId388">
              <w:r>
                <w:rPr>
                  <w:rFonts w:ascii="Times New Roman" w:cs="Times New Roman" w:eastAsia="Times New Roman" w:hAnsi="Times New Roman"/>
                  <w:sz w:val="12"/>
                  <w:szCs w:val="12"/>
                  <w:color w:val="0000FF"/>
                </w:rPr>
                <w:t>on Form 8-K filed with the Commission on January 19, 2023).</w:t>
              </w:r>
            </w:hyperlink>
          </w:p>
        </w:tc>
      </w:tr>
      <w:tr>
        <w:trPr>
          <w:trHeight w:val="20"/>
        </w:trPr>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60" w:type="dxa"/>
            <w:vAlign w:val="bottom"/>
            <w:tcBorders>
              <w:bottom w:val="single" w:sz="8" w:color="0000FF"/>
            </w:tcBorders>
          </w:tcPr>
          <w:p>
            <w:pPr>
              <w:spacing w:after="0"/>
              <w:rPr>
                <w:rFonts w:ascii="Times New Roman" w:cs="Times New Roman" w:eastAsia="Times New Roman" w:hAnsi="Times New Roman"/>
                <w:sz w:val="12"/>
                <w:szCs w:val="12"/>
                <w:color w:val="0000FF"/>
                <w:w w:val="92"/>
              </w:rPr>
            </w:pPr>
            <w:hyperlink r:id="rId389">
              <w:r>
                <w:rPr>
                  <w:rFonts w:ascii="Times New Roman" w:cs="Times New Roman" w:eastAsia="Times New Roman" w:hAnsi="Times New Roman"/>
                  <w:sz w:val="12"/>
                  <w:szCs w:val="12"/>
                  <w:color w:val="0000FF"/>
                  <w:w w:val="92"/>
                </w:rPr>
                <w:t>3.</w:t>
              </w:r>
              <w:r>
                <w:rPr>
                  <w:rFonts w:ascii="Times New Roman" w:cs="Times New Roman" w:eastAsia="Times New Roman" w:hAnsi="Times New Roman"/>
                  <w:sz w:val="12"/>
                  <w:szCs w:val="12"/>
                  <w:u w:val="single" w:color="auto"/>
                  <w:color w:val="0000FF"/>
                  <w:w w:val="92"/>
                </w:rPr>
                <w:t>3</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20"/>
          </w:tcPr>
          <w:p>
            <w:pPr>
              <w:spacing w:after="0"/>
              <w:rPr>
                <w:rFonts w:ascii="Times New Roman" w:cs="Times New Roman" w:eastAsia="Times New Roman" w:hAnsi="Times New Roman"/>
                <w:sz w:val="12"/>
                <w:szCs w:val="12"/>
                <w:color w:val="0000FF"/>
              </w:rPr>
            </w:pPr>
            <w:hyperlink r:id="rId389">
              <w:r>
                <w:rPr>
                  <w:rFonts w:ascii="Times New Roman" w:cs="Times New Roman" w:eastAsia="Times New Roman" w:hAnsi="Times New Roman"/>
                  <w:sz w:val="12"/>
                  <w:szCs w:val="12"/>
                  <w:color w:val="0000FF"/>
                </w:rPr>
                <w:t>Certificate of Ownership and Merger of Great Lakes Dredge &amp; Dock Corporation with and into Great Lakes Dredge &amp; Dock Holdings Corp. (Incorporated by reference to Great Lakes Dredge &amp; Dock</w:t>
              </w:r>
            </w:hyperlink>
          </w:p>
        </w:tc>
        <w:tc>
          <w:tcPr>
            <w:tcW w:w="180" w:type="dxa"/>
            <w:vAlign w:val="bottom"/>
            <w:gridSpan w:val="7"/>
          </w:tcPr>
          <w:p>
            <w:pPr>
              <w:spacing w:after="0"/>
              <w:rPr>
                <w:sz w:val="17"/>
                <w:szCs w:val="17"/>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80" w:type="dxa"/>
            <w:vAlign w:val="bottom"/>
            <w:tcBorders>
              <w:bottom w:val="single" w:sz="8" w:color="0000FF"/>
            </w:tcBorders>
            <w:gridSpan w:val="10"/>
          </w:tcPr>
          <w:p>
            <w:pPr>
              <w:spacing w:after="0" w:line="124" w:lineRule="exact"/>
              <w:rPr>
                <w:rFonts w:ascii="Times New Roman" w:cs="Times New Roman" w:eastAsia="Times New Roman" w:hAnsi="Times New Roman"/>
                <w:sz w:val="12"/>
                <w:szCs w:val="12"/>
                <w:color w:val="0000FF"/>
                <w:w w:val="99"/>
              </w:rPr>
            </w:pPr>
            <w:hyperlink r:id="rId389">
              <w:r>
                <w:rPr>
                  <w:rFonts w:ascii="Times New Roman" w:cs="Times New Roman" w:eastAsia="Times New Roman" w:hAnsi="Times New Roman"/>
                  <w:sz w:val="12"/>
                  <w:szCs w:val="12"/>
                  <w:color w:val="0000FF"/>
                  <w:w w:val="99"/>
                </w:rPr>
                <w:t>Corporation’s Current Report on Form 8-K filed with the Commission on December 29, 2006).</w:t>
              </w:r>
            </w:hyperlink>
          </w:p>
        </w:tc>
        <w:tc>
          <w:tcPr>
            <w:tcW w:w="20" w:type="dxa"/>
            <w:vAlign w:val="bottom"/>
            <w:tcBorders>
              <w:bottom w:val="single" w:sz="8" w:color="0000EE"/>
            </w:tcBorders>
          </w:tcPr>
          <w:p>
            <w:pPr>
              <w:spacing w:after="0"/>
              <w:rPr>
                <w:sz w:val="10"/>
                <w:szCs w:val="10"/>
                <w:color w:val="auto"/>
              </w:rPr>
            </w:pPr>
          </w:p>
        </w:tc>
        <w:tc>
          <w:tcPr>
            <w:tcW w:w="5220" w:type="dxa"/>
            <w:vAlign w:val="bottom"/>
            <w:gridSpan w:val="16"/>
          </w:tcPr>
          <w:p>
            <w:pPr>
              <w:spacing w:after="0"/>
              <w:rPr>
                <w:sz w:val="10"/>
                <w:szCs w:val="10"/>
                <w:color w:val="auto"/>
              </w:rPr>
            </w:pPr>
          </w:p>
        </w:tc>
      </w:tr>
      <w:tr>
        <w:trPr>
          <w:trHeight w:val="205"/>
        </w:trPr>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1</w:t>
            </w:r>
          </w:p>
        </w:tc>
        <w:tc>
          <w:tcPr>
            <w:tcW w:w="40" w:type="dxa"/>
            <w:vAlign w:val="bottom"/>
            <w:tcBorders>
              <w:bottom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2"/>
                <w:szCs w:val="12"/>
                <w:color w:val="0000FF"/>
                <w:w w:val="99"/>
              </w:rPr>
              <w:t>Description of Great Lakes Dredge &amp; Dock Corporation Securities Registered Pursuant to Section 12 of the Exchange Act. *</w:t>
            </w:r>
          </w:p>
        </w:tc>
        <w:tc>
          <w:tcPr>
            <w:tcW w:w="3820" w:type="dxa"/>
            <w:vAlign w:val="bottom"/>
            <w:gridSpan w:val="15"/>
          </w:tcPr>
          <w:p>
            <w:pPr>
              <w:spacing w:after="0"/>
              <w:rPr>
                <w:sz w:val="17"/>
                <w:szCs w:val="17"/>
                <w:color w:val="auto"/>
              </w:rPr>
            </w:pPr>
          </w:p>
        </w:tc>
      </w:tr>
      <w:tr>
        <w:trPr>
          <w:trHeight w:val="205"/>
        </w:trPr>
        <w:tc>
          <w:tcPr>
            <w:tcW w:w="160" w:type="dxa"/>
            <w:vAlign w:val="bottom"/>
            <w:tcBorders>
              <w:bottom w:val="single" w:sz="8" w:color="0000FF"/>
            </w:tcBorders>
          </w:tcPr>
          <w:p>
            <w:pPr>
              <w:spacing w:after="0"/>
              <w:rPr>
                <w:rFonts w:ascii="Times New Roman" w:cs="Times New Roman" w:eastAsia="Times New Roman" w:hAnsi="Times New Roman"/>
                <w:sz w:val="12"/>
                <w:szCs w:val="12"/>
                <w:color w:val="0000FF"/>
                <w:w w:val="92"/>
              </w:rPr>
            </w:pPr>
            <w:hyperlink r:id="rId390">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2</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390">
              <w:r>
                <w:rPr>
                  <w:rFonts w:ascii="Times New Roman" w:cs="Times New Roman" w:eastAsia="Times New Roman" w:hAnsi="Times New Roman"/>
                  <w:sz w:val="12"/>
                  <w:szCs w:val="12"/>
                  <w:color w:val="0000FF"/>
                </w:rPr>
                <w:t>Specimen Common Stock Certificate for Great Lakes Dredge &amp; Dock Corporation. (Incorporated by reference to Great Lakes Dredge &amp; Dock Corporation’s Annual Report on Form 10-K filed with the</w:t>
              </w:r>
            </w:hyperlink>
          </w:p>
        </w:tc>
        <w:tc>
          <w:tcPr>
            <w:tcW w:w="120" w:type="dxa"/>
            <w:vAlign w:val="bottom"/>
            <w:gridSpan w:val="5"/>
          </w:tcPr>
          <w:p>
            <w:pPr>
              <w:spacing w:after="0"/>
              <w:rPr>
                <w:sz w:val="17"/>
                <w:szCs w:val="17"/>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20" w:type="dxa"/>
            <w:vAlign w:val="bottom"/>
            <w:gridSpan w:val="27"/>
          </w:tcPr>
          <w:p>
            <w:pPr>
              <w:spacing w:after="0" w:line="124" w:lineRule="exact"/>
              <w:rPr>
                <w:rFonts w:ascii="Times New Roman" w:cs="Times New Roman" w:eastAsia="Times New Roman" w:hAnsi="Times New Roman"/>
                <w:sz w:val="12"/>
                <w:szCs w:val="12"/>
                <w:color w:val="0000FF"/>
              </w:rPr>
            </w:pPr>
            <w:hyperlink r:id="rId390">
              <w:r>
                <w:rPr>
                  <w:rFonts w:ascii="Times New Roman" w:cs="Times New Roman" w:eastAsia="Times New Roman" w:hAnsi="Times New Roman"/>
                  <w:sz w:val="12"/>
                  <w:szCs w:val="12"/>
                  <w:color w:val="0000FF"/>
                </w:rPr>
                <w:t>Commission on March 22, 2007)</w:t>
              </w:r>
              <w:r>
                <w:rPr>
                  <w:rFonts w:ascii="Times New Roman" w:cs="Times New Roman" w:eastAsia="Times New Roman" w:hAnsi="Times New Roman"/>
                  <w:sz w:val="12"/>
                  <w:szCs w:val="12"/>
                  <w:color w:val="000000"/>
                </w:rPr>
                <w:t>.</w:t>
              </w:r>
            </w:hyperlink>
          </w:p>
        </w:tc>
      </w:tr>
      <w:tr>
        <w:trPr>
          <w:trHeight w:val="20"/>
        </w:trPr>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0" w:type="dxa"/>
            <w:vAlign w:val="bottom"/>
            <w:gridSpan w:val="3"/>
          </w:tcPr>
          <w:p>
            <w:pPr>
              <w:spacing w:after="0"/>
              <w:rPr>
                <w:rFonts w:ascii="Times New Roman" w:cs="Times New Roman" w:eastAsia="Times New Roman" w:hAnsi="Times New Roman"/>
                <w:sz w:val="12"/>
                <w:szCs w:val="12"/>
                <w:color w:val="0000FF"/>
              </w:rPr>
            </w:pPr>
            <w:hyperlink r:id="rId391">
              <w:r>
                <w:rPr>
                  <w:rFonts w:ascii="Times New Roman" w:cs="Times New Roman" w:eastAsia="Times New Roman" w:hAnsi="Times New Roman"/>
                  <w:sz w:val="12"/>
                  <w:szCs w:val="12"/>
                  <w:color w:val="0000FF"/>
                </w:rPr>
                <w:t>4.</w:t>
              </w:r>
              <w:r>
                <w:rPr>
                  <w:rFonts w:ascii="Times New Roman" w:cs="Times New Roman" w:eastAsia="Times New Roman" w:hAnsi="Times New Roman"/>
                  <w:sz w:val="12"/>
                  <w:szCs w:val="12"/>
                  <w:u w:val="single" w:color="auto"/>
                  <w:color w:val="0000FF"/>
                </w:rPr>
                <w:t>3</w:t>
              </w:r>
            </w:hyperlink>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7"/>
          </w:tcPr>
          <w:p>
            <w:pPr>
              <w:spacing w:after="0"/>
              <w:rPr>
                <w:rFonts w:ascii="Times New Roman" w:cs="Times New Roman" w:eastAsia="Times New Roman" w:hAnsi="Times New Roman"/>
                <w:sz w:val="12"/>
                <w:szCs w:val="12"/>
                <w:color w:val="0000FF"/>
                <w:w w:val="99"/>
              </w:rPr>
            </w:pPr>
            <w:hyperlink r:id="rId391">
              <w:r>
                <w:rPr>
                  <w:rFonts w:ascii="Times New Roman" w:cs="Times New Roman" w:eastAsia="Times New Roman" w:hAnsi="Times New Roman"/>
                  <w:sz w:val="12"/>
                  <w:szCs w:val="12"/>
                  <w:color w:val="0000FF"/>
                  <w:w w:val="99"/>
                </w:rPr>
                <w:t>Indenture, dated May 25, 2021, among Great Lakes Dredge &amp; Dock Corporation, as Issuer, the guarantors party thereto, and Wells Fargo Bank, National Association, as Trustee, relating to the 2029 Notes</w:t>
              </w:r>
            </w:hyperlink>
          </w:p>
        </w:tc>
      </w:tr>
      <w:tr>
        <w:trPr>
          <w:trHeight w:val="124"/>
        </w:trPr>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360" w:type="dxa"/>
            <w:vAlign w:val="bottom"/>
            <w:tcBorders>
              <w:top w:val="single" w:sz="8" w:color="0000FF"/>
              <w:bottom w:val="single" w:sz="8" w:color="0000FF"/>
            </w:tcBorders>
            <w:gridSpan w:val="13"/>
          </w:tcPr>
          <w:p>
            <w:pPr>
              <w:spacing w:after="0" w:line="124" w:lineRule="exact"/>
              <w:rPr>
                <w:rFonts w:ascii="Times New Roman" w:cs="Times New Roman" w:eastAsia="Times New Roman" w:hAnsi="Times New Roman"/>
                <w:sz w:val="12"/>
                <w:szCs w:val="12"/>
                <w:color w:val="0000FF"/>
                <w:w w:val="99"/>
              </w:rPr>
            </w:pPr>
            <w:hyperlink r:id="rId391">
              <w:r>
                <w:rPr>
                  <w:rFonts w:ascii="Times New Roman" w:cs="Times New Roman" w:eastAsia="Times New Roman" w:hAnsi="Times New Roman"/>
                  <w:sz w:val="12"/>
                  <w:szCs w:val="12"/>
                  <w:color w:val="0000FF"/>
                  <w:w w:val="99"/>
                </w:rPr>
                <w:t>(incorporated by reference to Great Lakes Dredge &amp; Dock Corporation’s Quarterly Report on Form 10-Q filed with the Commission on August 3, 2021).</w:t>
              </w:r>
            </w:hyperlink>
          </w:p>
        </w:tc>
        <w:tc>
          <w:tcPr>
            <w:tcW w:w="20" w:type="dxa"/>
            <w:vAlign w:val="bottom"/>
            <w:tcBorders>
              <w:top w:val="single" w:sz="8" w:color="0000FF"/>
              <w:bottom w:val="single" w:sz="8" w:color="0000EE"/>
            </w:tcBorders>
          </w:tcPr>
          <w:p>
            <w:pPr>
              <w:spacing w:after="0"/>
              <w:rPr>
                <w:sz w:val="10"/>
                <w:szCs w:val="10"/>
                <w:color w:val="auto"/>
              </w:rPr>
            </w:pPr>
          </w:p>
        </w:tc>
        <w:tc>
          <w:tcPr>
            <w:tcW w:w="2440" w:type="dxa"/>
            <w:vAlign w:val="bottom"/>
            <w:tcBorders>
              <w:top w:val="single" w:sz="8" w:color="0000FF"/>
            </w:tcBorders>
            <w:gridSpan w:val="13"/>
          </w:tcPr>
          <w:p>
            <w:pPr>
              <w:spacing w:after="0"/>
              <w:rPr>
                <w:sz w:val="10"/>
                <w:szCs w:val="10"/>
                <w:color w:val="auto"/>
              </w:rPr>
            </w:pPr>
          </w:p>
        </w:tc>
      </w:tr>
      <w:tr>
        <w:trPr>
          <w:trHeight w:val="205"/>
        </w:trPr>
        <w:tc>
          <w:tcPr>
            <w:tcW w:w="160" w:type="dxa"/>
            <w:vAlign w:val="bottom"/>
            <w:tcBorders>
              <w:bottom w:val="single" w:sz="8" w:color="0000FF"/>
            </w:tcBorders>
          </w:tcPr>
          <w:p>
            <w:pPr>
              <w:spacing w:after="0"/>
              <w:rPr>
                <w:rFonts w:ascii="Times New Roman" w:cs="Times New Roman" w:eastAsia="Times New Roman" w:hAnsi="Times New Roman"/>
                <w:sz w:val="12"/>
                <w:szCs w:val="12"/>
                <w:color w:val="0000FF"/>
                <w:w w:val="92"/>
              </w:rPr>
            </w:pPr>
            <w:hyperlink r:id="rId392">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4</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60" w:type="dxa"/>
            <w:vAlign w:val="bottom"/>
            <w:tcBorders>
              <w:bottom w:val="single" w:sz="8" w:color="0000FF"/>
            </w:tcBorders>
            <w:gridSpan w:val="15"/>
          </w:tcPr>
          <w:p>
            <w:pPr>
              <w:spacing w:after="0"/>
              <w:rPr>
                <w:rFonts w:ascii="Times New Roman" w:cs="Times New Roman" w:eastAsia="Times New Roman" w:hAnsi="Times New Roman"/>
                <w:sz w:val="12"/>
                <w:szCs w:val="12"/>
                <w:color w:val="0000FF"/>
                <w:w w:val="99"/>
              </w:rPr>
            </w:pPr>
            <w:hyperlink r:id="rId392">
              <w:r>
                <w:rPr>
                  <w:rFonts w:ascii="Times New Roman" w:cs="Times New Roman" w:eastAsia="Times New Roman" w:hAnsi="Times New Roman"/>
                  <w:sz w:val="12"/>
                  <w:szCs w:val="12"/>
                  <w:color w:val="0000FF"/>
                  <w:w w:val="99"/>
                </w:rPr>
                <w:t>Form of 2029 Notes (Incorporated by reference to Great Lakes Dredge &amp; Dock Corporation’s Quarterly Report on Form 10-Q filed with the Commission on August 3, 2021).</w:t>
              </w:r>
            </w:hyperlink>
          </w:p>
        </w:tc>
        <w:tc>
          <w:tcPr>
            <w:tcW w:w="1460" w:type="dxa"/>
            <w:vAlign w:val="bottom"/>
            <w:gridSpan w:val="12"/>
          </w:tcPr>
          <w:p>
            <w:pPr>
              <w:spacing w:after="0"/>
              <w:rPr>
                <w:sz w:val="17"/>
                <w:szCs w:val="17"/>
                <w:color w:val="auto"/>
              </w:rPr>
            </w:pPr>
          </w:p>
        </w:tc>
      </w:tr>
      <w:tr>
        <w:trPr>
          <w:trHeight w:val="250"/>
        </w:trPr>
        <w:tc>
          <w:tcPr>
            <w:tcW w:w="220" w:type="dxa"/>
            <w:vAlign w:val="bottom"/>
            <w:tcBorders>
              <w:bottom w:val="single" w:sz="8" w:color="0000FF"/>
            </w:tcBorders>
            <w:gridSpan w:val="4"/>
          </w:tcPr>
          <w:p>
            <w:pPr>
              <w:spacing w:after="0"/>
              <w:rPr>
                <w:rFonts w:ascii="Times New Roman" w:cs="Times New Roman" w:eastAsia="Times New Roman" w:hAnsi="Times New Roman"/>
                <w:sz w:val="12"/>
                <w:szCs w:val="12"/>
                <w:color w:val="0000FF"/>
                <w:w w:val="94"/>
              </w:rPr>
            </w:pPr>
            <w:hyperlink r:id="rId393">
              <w:r>
                <w:rPr>
                  <w:rFonts w:ascii="Times New Roman" w:cs="Times New Roman" w:eastAsia="Times New Roman" w:hAnsi="Times New Roman"/>
                  <w:sz w:val="12"/>
                  <w:szCs w:val="12"/>
                  <w:color w:val="0000FF"/>
                  <w:w w:val="94"/>
                </w:rPr>
                <w:t>10.</w:t>
              </w:r>
              <w:r>
                <w:rPr>
                  <w:rFonts w:ascii="Times New Roman" w:cs="Times New Roman" w:eastAsia="Times New Roman" w:hAnsi="Times New Roman"/>
                  <w:sz w:val="12"/>
                  <w:szCs w:val="12"/>
                  <w:u w:val="single" w:color="auto"/>
                  <w:color w:val="0000FF"/>
                  <w:w w:val="94"/>
                </w:rPr>
                <w:t>1</w:t>
              </w:r>
            </w:hyperlink>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19"/>
          </w:tcPr>
          <w:p>
            <w:pPr>
              <w:spacing w:after="0"/>
              <w:rPr>
                <w:rFonts w:ascii="Times New Roman" w:cs="Times New Roman" w:eastAsia="Times New Roman" w:hAnsi="Times New Roman"/>
                <w:sz w:val="12"/>
                <w:szCs w:val="12"/>
                <w:color w:val="0000FF"/>
              </w:rPr>
            </w:pPr>
            <w:hyperlink r:id="rId393">
              <w:r>
                <w:rPr>
                  <w:rFonts w:ascii="Times New Roman" w:cs="Times New Roman" w:eastAsia="Times New Roman" w:hAnsi="Times New Roman"/>
                  <w:sz w:val="12"/>
                  <w:szCs w:val="12"/>
                  <w:color w:val="0000FF"/>
                </w:rPr>
                <w:t>Employment Agreement between Great Lakes Dredge &amp; Dock Corporation and Lasse Petterson, dated as of April 28, 2017. (Incorporated by reference to Great Lakes Dredge &amp; Dock Corporation’s</w:t>
              </w:r>
            </w:hyperlink>
          </w:p>
        </w:tc>
        <w:tc>
          <w:tcPr>
            <w:tcW w:w="300" w:type="dxa"/>
            <w:vAlign w:val="bottom"/>
            <w:gridSpan w:val="8"/>
          </w:tcPr>
          <w:p>
            <w:pPr>
              <w:spacing w:after="0"/>
              <w:rPr>
                <w:sz w:val="21"/>
                <w:szCs w:val="21"/>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tcBorders>
              <w:bottom w:val="single" w:sz="8" w:color="0000FF"/>
            </w:tcBorders>
            <w:gridSpan w:val="4"/>
          </w:tcPr>
          <w:p>
            <w:pPr>
              <w:spacing w:after="0" w:line="124" w:lineRule="exact"/>
              <w:rPr>
                <w:rFonts w:ascii="Times New Roman" w:cs="Times New Roman" w:eastAsia="Times New Roman" w:hAnsi="Times New Roman"/>
                <w:sz w:val="12"/>
                <w:szCs w:val="12"/>
                <w:color w:val="0000FF"/>
                <w:w w:val="99"/>
              </w:rPr>
            </w:pPr>
            <w:hyperlink r:id="rId393">
              <w:r>
                <w:rPr>
                  <w:rFonts w:ascii="Times New Roman" w:cs="Times New Roman" w:eastAsia="Times New Roman" w:hAnsi="Times New Roman"/>
                  <w:sz w:val="12"/>
                  <w:szCs w:val="12"/>
                  <w:color w:val="0000FF"/>
                  <w:w w:val="99"/>
                </w:rPr>
                <w:t>Current Report on Form 8-K filed with the Commission on May 1, 2017). †</w:t>
              </w:r>
            </w:hyperlink>
          </w:p>
        </w:tc>
        <w:tc>
          <w:tcPr>
            <w:tcW w:w="6180" w:type="dxa"/>
            <w:vAlign w:val="bottom"/>
            <w:gridSpan w:val="23"/>
          </w:tcPr>
          <w:p>
            <w:pPr>
              <w:spacing w:after="0"/>
              <w:rPr>
                <w:sz w:val="10"/>
                <w:szCs w:val="10"/>
                <w:color w:val="auto"/>
              </w:rPr>
            </w:pPr>
          </w:p>
        </w:tc>
      </w:tr>
      <w:tr>
        <w:trPr>
          <w:trHeight w:val="205"/>
        </w:trPr>
        <w:tc>
          <w:tcPr>
            <w:tcW w:w="220" w:type="dxa"/>
            <w:vAlign w:val="bottom"/>
            <w:tcBorders>
              <w:bottom w:val="single" w:sz="8" w:color="0000FF"/>
            </w:tcBorders>
            <w:gridSpan w:val="4"/>
          </w:tcPr>
          <w:p>
            <w:pPr>
              <w:spacing w:after="0"/>
              <w:rPr>
                <w:rFonts w:ascii="Times New Roman" w:cs="Times New Roman" w:eastAsia="Times New Roman" w:hAnsi="Times New Roman"/>
                <w:sz w:val="12"/>
                <w:szCs w:val="12"/>
                <w:color w:val="0000FF"/>
                <w:w w:val="94"/>
              </w:rPr>
            </w:pPr>
            <w:hyperlink r:id="rId394">
              <w:r>
                <w:rPr>
                  <w:rFonts w:ascii="Times New Roman" w:cs="Times New Roman" w:eastAsia="Times New Roman" w:hAnsi="Times New Roman"/>
                  <w:sz w:val="12"/>
                  <w:szCs w:val="12"/>
                  <w:color w:val="0000FF"/>
                  <w:w w:val="94"/>
                </w:rPr>
                <w:t>10.</w:t>
              </w:r>
              <w:r>
                <w:rPr>
                  <w:rFonts w:ascii="Times New Roman" w:cs="Times New Roman" w:eastAsia="Times New Roman" w:hAnsi="Times New Roman"/>
                  <w:sz w:val="12"/>
                  <w:szCs w:val="12"/>
                  <w:u w:val="single" w:color="auto"/>
                  <w:color w:val="0000FF"/>
                  <w:w w:val="94"/>
                </w:rPr>
                <w:t>2</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4"/>
          </w:tcPr>
          <w:p>
            <w:pPr>
              <w:spacing w:after="0"/>
              <w:rPr>
                <w:rFonts w:ascii="Times New Roman" w:cs="Times New Roman" w:eastAsia="Times New Roman" w:hAnsi="Times New Roman"/>
                <w:sz w:val="12"/>
                <w:szCs w:val="12"/>
                <w:color w:val="0000FF"/>
              </w:rPr>
            </w:pPr>
            <w:hyperlink r:id="rId394">
              <w:r>
                <w:rPr>
                  <w:rFonts w:ascii="Times New Roman" w:cs="Times New Roman" w:eastAsia="Times New Roman" w:hAnsi="Times New Roman"/>
                  <w:sz w:val="12"/>
                  <w:szCs w:val="12"/>
                  <w:color w:val="0000FF"/>
                </w:rPr>
                <w:t>Employment Agreement between Great Lakes Dredge &amp; Dock Corporation and Scott Kornblau, dated as of September 29, 2021. (Incorporated by reference to Great Lakes Dredge &amp; Dock Corporation’s</w:t>
              </w:r>
            </w:hyperlink>
          </w:p>
        </w:tc>
        <w:tc>
          <w:tcPr>
            <w:tcW w:w="60" w:type="dxa"/>
            <w:vAlign w:val="bottom"/>
            <w:gridSpan w:val="3"/>
          </w:tcPr>
          <w:p>
            <w:pPr>
              <w:spacing w:after="0"/>
              <w:rPr>
                <w:sz w:val="17"/>
                <w:szCs w:val="17"/>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40" w:type="dxa"/>
            <w:vAlign w:val="bottom"/>
            <w:tcBorders>
              <w:bottom w:val="single" w:sz="8" w:color="0000FF"/>
            </w:tcBorders>
            <w:gridSpan w:val="5"/>
          </w:tcPr>
          <w:p>
            <w:pPr>
              <w:spacing w:after="0" w:line="124" w:lineRule="exact"/>
              <w:rPr>
                <w:rFonts w:ascii="Times New Roman" w:cs="Times New Roman" w:eastAsia="Times New Roman" w:hAnsi="Times New Roman"/>
                <w:sz w:val="12"/>
                <w:szCs w:val="12"/>
                <w:color w:val="0000FF"/>
                <w:w w:val="99"/>
              </w:rPr>
            </w:pPr>
            <w:hyperlink r:id="rId394">
              <w:r>
                <w:rPr>
                  <w:rFonts w:ascii="Times New Roman" w:cs="Times New Roman" w:eastAsia="Times New Roman" w:hAnsi="Times New Roman"/>
                  <w:sz w:val="12"/>
                  <w:szCs w:val="12"/>
                  <w:color w:val="0000FF"/>
                  <w:w w:val="99"/>
                </w:rPr>
                <w:t>Current Report on Form 8-K filed with the Commission on October 4 , 2021). †</w:t>
              </w:r>
            </w:hyperlink>
          </w:p>
        </w:tc>
        <w:tc>
          <w:tcPr>
            <w:tcW w:w="20" w:type="dxa"/>
            <w:vAlign w:val="bottom"/>
            <w:tcBorders>
              <w:bottom w:val="single" w:sz="8" w:color="0000EE"/>
            </w:tcBorders>
          </w:tcPr>
          <w:p>
            <w:pPr>
              <w:spacing w:after="0"/>
              <w:rPr>
                <w:sz w:val="10"/>
                <w:szCs w:val="10"/>
                <w:color w:val="auto"/>
              </w:rPr>
            </w:pPr>
          </w:p>
        </w:tc>
        <w:tc>
          <w:tcPr>
            <w:tcW w:w="5960" w:type="dxa"/>
            <w:vAlign w:val="bottom"/>
            <w:gridSpan w:val="21"/>
          </w:tcPr>
          <w:p>
            <w:pPr>
              <w:spacing w:after="0"/>
              <w:rPr>
                <w:sz w:val="10"/>
                <w:szCs w:val="10"/>
                <w:color w:val="auto"/>
              </w:rPr>
            </w:pPr>
          </w:p>
        </w:tc>
      </w:tr>
      <w:tr>
        <w:trPr>
          <w:trHeight w:val="205"/>
        </w:trPr>
        <w:tc>
          <w:tcPr>
            <w:tcW w:w="220" w:type="dxa"/>
            <w:vAlign w:val="bottom"/>
            <w:tcBorders>
              <w:bottom w:val="single" w:sz="8" w:color="0000FF"/>
            </w:tcBorders>
            <w:gridSpan w:val="4"/>
          </w:tcPr>
          <w:p>
            <w:pPr>
              <w:spacing w:after="0"/>
              <w:rPr>
                <w:rFonts w:ascii="Times New Roman" w:cs="Times New Roman" w:eastAsia="Times New Roman" w:hAnsi="Times New Roman"/>
                <w:sz w:val="12"/>
                <w:szCs w:val="12"/>
                <w:color w:val="0000FF"/>
                <w:w w:val="94"/>
              </w:rPr>
            </w:pPr>
            <w:hyperlink r:id="rId395">
              <w:r>
                <w:rPr>
                  <w:rFonts w:ascii="Times New Roman" w:cs="Times New Roman" w:eastAsia="Times New Roman" w:hAnsi="Times New Roman"/>
                  <w:sz w:val="12"/>
                  <w:szCs w:val="12"/>
                  <w:color w:val="0000FF"/>
                  <w:w w:val="94"/>
                </w:rPr>
                <w:t>10.</w:t>
              </w:r>
              <w:r>
                <w:rPr>
                  <w:rFonts w:ascii="Times New Roman" w:cs="Times New Roman" w:eastAsia="Times New Roman" w:hAnsi="Times New Roman"/>
                  <w:sz w:val="12"/>
                  <w:szCs w:val="12"/>
                  <w:u w:val="single" w:color="auto"/>
                  <w:color w:val="0000FF"/>
                  <w:w w:val="94"/>
                </w:rPr>
                <w:t>3</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26"/>
          </w:tcPr>
          <w:p>
            <w:pPr>
              <w:spacing w:after="0"/>
              <w:rPr>
                <w:rFonts w:ascii="Times New Roman" w:cs="Times New Roman" w:eastAsia="Times New Roman" w:hAnsi="Times New Roman"/>
                <w:sz w:val="12"/>
                <w:szCs w:val="12"/>
                <w:color w:val="0000FF"/>
                <w:w w:val="99"/>
              </w:rPr>
            </w:pPr>
            <w:hyperlink r:id="rId395">
              <w:r>
                <w:rPr>
                  <w:rFonts w:ascii="Times New Roman" w:cs="Times New Roman" w:eastAsia="Times New Roman" w:hAnsi="Times New Roman"/>
                  <w:sz w:val="12"/>
                  <w:szCs w:val="12"/>
                  <w:color w:val="0000FF"/>
                  <w:w w:val="99"/>
                </w:rPr>
                <w:t>Employment Agreement between Great Lakes Dredge &amp; Dock Corporation and Vivienne Schiffer, dated as of December 7, 2020. (Incorporated by reference to Great Lakes Dredge &amp; Dock Corporation’s</w:t>
              </w:r>
            </w:hyperlink>
          </w:p>
        </w:tc>
        <w:tc>
          <w:tcPr>
            <w:tcW w:w="20" w:type="dxa"/>
            <w:vAlign w:val="bottom"/>
          </w:tcPr>
          <w:p>
            <w:pPr>
              <w:spacing w:after="0"/>
              <w:rPr>
                <w:sz w:val="17"/>
                <w:szCs w:val="17"/>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60" w:type="dxa"/>
            <w:vAlign w:val="bottom"/>
            <w:tcBorders>
              <w:bottom w:val="single" w:sz="8" w:color="0000FF"/>
            </w:tcBorders>
            <w:gridSpan w:val="8"/>
          </w:tcPr>
          <w:p>
            <w:pPr>
              <w:spacing w:after="0" w:line="124" w:lineRule="exact"/>
              <w:rPr>
                <w:rFonts w:ascii="Times New Roman" w:cs="Times New Roman" w:eastAsia="Times New Roman" w:hAnsi="Times New Roman"/>
                <w:sz w:val="12"/>
                <w:szCs w:val="12"/>
                <w:color w:val="0000FF"/>
                <w:w w:val="99"/>
              </w:rPr>
            </w:pPr>
            <w:hyperlink r:id="rId395">
              <w:r>
                <w:rPr>
                  <w:rFonts w:ascii="Times New Roman" w:cs="Times New Roman" w:eastAsia="Times New Roman" w:hAnsi="Times New Roman"/>
                  <w:sz w:val="12"/>
                  <w:szCs w:val="12"/>
                  <w:color w:val="0000FF"/>
                  <w:w w:val="99"/>
                </w:rPr>
                <w:t>Annual Report on Form 10-K filed with the Commission on February 23, 2022). †</w:t>
              </w:r>
            </w:hyperlink>
          </w:p>
        </w:tc>
        <w:tc>
          <w:tcPr>
            <w:tcW w:w="20" w:type="dxa"/>
            <w:vAlign w:val="bottom"/>
            <w:tcBorders>
              <w:bottom w:val="single" w:sz="8" w:color="0000EE"/>
            </w:tcBorders>
          </w:tcPr>
          <w:p>
            <w:pPr>
              <w:spacing w:after="0"/>
              <w:rPr>
                <w:sz w:val="10"/>
                <w:szCs w:val="10"/>
                <w:color w:val="auto"/>
              </w:rPr>
            </w:pPr>
          </w:p>
        </w:tc>
        <w:tc>
          <w:tcPr>
            <w:tcW w:w="5840" w:type="dxa"/>
            <w:vAlign w:val="bottom"/>
            <w:gridSpan w:val="18"/>
          </w:tcPr>
          <w:p>
            <w:pPr>
              <w:spacing w:after="0"/>
              <w:rPr>
                <w:sz w:val="10"/>
                <w:szCs w:val="10"/>
                <w:color w:val="auto"/>
              </w:rPr>
            </w:pPr>
          </w:p>
        </w:tc>
      </w:tr>
      <w:tr>
        <w:trPr>
          <w:trHeight w:val="205"/>
        </w:trPr>
        <w:tc>
          <w:tcPr>
            <w:tcW w:w="220" w:type="dxa"/>
            <w:vAlign w:val="bottom"/>
            <w:tcBorders>
              <w:bottom w:val="single" w:sz="8" w:color="0000FF"/>
            </w:tcBorders>
            <w:gridSpan w:val="4"/>
          </w:tcPr>
          <w:p>
            <w:pPr>
              <w:spacing w:after="0"/>
              <w:rPr>
                <w:rFonts w:ascii="Times New Roman" w:cs="Times New Roman" w:eastAsia="Times New Roman" w:hAnsi="Times New Roman"/>
                <w:sz w:val="12"/>
                <w:szCs w:val="12"/>
                <w:color w:val="0000FF"/>
                <w:w w:val="94"/>
              </w:rPr>
            </w:pPr>
            <w:hyperlink r:id="rId396">
              <w:r>
                <w:rPr>
                  <w:rFonts w:ascii="Times New Roman" w:cs="Times New Roman" w:eastAsia="Times New Roman" w:hAnsi="Times New Roman"/>
                  <w:sz w:val="12"/>
                  <w:szCs w:val="12"/>
                  <w:color w:val="0000FF"/>
                  <w:w w:val="94"/>
                </w:rPr>
                <w:t>10.</w:t>
              </w:r>
              <w:r>
                <w:rPr>
                  <w:rFonts w:ascii="Times New Roman" w:cs="Times New Roman" w:eastAsia="Times New Roman" w:hAnsi="Times New Roman"/>
                  <w:sz w:val="12"/>
                  <w:szCs w:val="12"/>
                  <w:u w:val="single" w:color="auto"/>
                  <w:color w:val="0000FF"/>
                  <w:w w:val="94"/>
                </w:rPr>
                <w:t>4</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25"/>
          </w:tcPr>
          <w:p>
            <w:pPr>
              <w:spacing w:after="0"/>
              <w:rPr>
                <w:rFonts w:ascii="Times New Roman" w:cs="Times New Roman" w:eastAsia="Times New Roman" w:hAnsi="Times New Roman"/>
                <w:sz w:val="12"/>
                <w:szCs w:val="12"/>
                <w:color w:val="0000FF"/>
              </w:rPr>
            </w:pPr>
            <w:hyperlink r:id="rId396">
              <w:r>
                <w:rPr>
                  <w:rFonts w:ascii="Times New Roman" w:cs="Times New Roman" w:eastAsia="Times New Roman" w:hAnsi="Times New Roman"/>
                  <w:sz w:val="12"/>
                  <w:szCs w:val="12"/>
                  <w:color w:val="0000FF"/>
                </w:rPr>
                <w:t>Employment Agreement between Great Lakes Dredge &amp; Dock Corporation and Eleni Beyko, dated as of January 8, 2021 (Incorporated by reference to Great Lakes Dredge &amp; Dock Corporation’s Annual</w:t>
              </w:r>
            </w:hyperlink>
          </w:p>
        </w:tc>
        <w:tc>
          <w:tcPr>
            <w:tcW w:w="40" w:type="dxa"/>
            <w:vAlign w:val="bottom"/>
            <w:gridSpan w:val="2"/>
          </w:tcPr>
          <w:p>
            <w:pPr>
              <w:spacing w:after="0"/>
              <w:rPr>
                <w:sz w:val="17"/>
                <w:szCs w:val="17"/>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20" w:type="dxa"/>
            <w:vAlign w:val="bottom"/>
            <w:gridSpan w:val="27"/>
          </w:tcPr>
          <w:p>
            <w:pPr>
              <w:spacing w:after="0" w:line="124" w:lineRule="exact"/>
              <w:rPr>
                <w:rFonts w:ascii="Times New Roman" w:cs="Times New Roman" w:eastAsia="Times New Roman" w:hAnsi="Times New Roman"/>
                <w:sz w:val="12"/>
                <w:szCs w:val="12"/>
                <w:color w:val="0000FF"/>
              </w:rPr>
            </w:pPr>
            <w:hyperlink r:id="rId396">
              <w:r>
                <w:rPr>
                  <w:rFonts w:ascii="Times New Roman" w:cs="Times New Roman" w:eastAsia="Times New Roman" w:hAnsi="Times New Roman"/>
                  <w:sz w:val="12"/>
                  <w:szCs w:val="12"/>
                  <w:color w:val="0000FF"/>
                </w:rPr>
                <w:t>Report on Form 10-K filed with the Commission on February 16, 2024). †</w:t>
              </w:r>
            </w:hyperlink>
          </w:p>
        </w:tc>
      </w:tr>
      <w:tr>
        <w:trPr>
          <w:trHeight w:val="20"/>
        </w:trPr>
        <w:tc>
          <w:tcPr>
            <w:tcW w:w="1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5"/>
        </w:trPr>
        <w:tc>
          <w:tcPr>
            <w:tcW w:w="220" w:type="dxa"/>
            <w:vAlign w:val="bottom"/>
            <w:tcBorders>
              <w:bottom w:val="single" w:sz="8" w:color="0000FF"/>
            </w:tcBorders>
            <w:gridSpan w:val="4"/>
          </w:tcPr>
          <w:p>
            <w:pPr>
              <w:spacing w:after="0"/>
              <w:rPr>
                <w:rFonts w:ascii="Times New Roman" w:cs="Times New Roman" w:eastAsia="Times New Roman" w:hAnsi="Times New Roman"/>
                <w:sz w:val="12"/>
                <w:szCs w:val="12"/>
                <w:color w:val="0000FF"/>
                <w:w w:val="94"/>
              </w:rPr>
            </w:pPr>
            <w:hyperlink r:id="rId397">
              <w:r>
                <w:rPr>
                  <w:rFonts w:ascii="Times New Roman" w:cs="Times New Roman" w:eastAsia="Times New Roman" w:hAnsi="Times New Roman"/>
                  <w:sz w:val="12"/>
                  <w:szCs w:val="12"/>
                  <w:color w:val="0000FF"/>
                  <w:w w:val="94"/>
                </w:rPr>
                <w:t>10.</w:t>
              </w:r>
              <w:r>
                <w:rPr>
                  <w:rFonts w:ascii="Times New Roman" w:cs="Times New Roman" w:eastAsia="Times New Roman" w:hAnsi="Times New Roman"/>
                  <w:sz w:val="12"/>
                  <w:szCs w:val="12"/>
                  <w:u w:val="single" w:color="auto"/>
                  <w:color w:val="0000FF"/>
                  <w:w w:val="94"/>
                </w:rPr>
                <w:t>5</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rPr>
                <w:rFonts w:ascii="Times New Roman" w:cs="Times New Roman" w:eastAsia="Times New Roman" w:hAnsi="Times New Roman"/>
                <w:sz w:val="12"/>
                <w:szCs w:val="12"/>
                <w:color w:val="0000FF"/>
              </w:rPr>
            </w:pPr>
            <w:hyperlink r:id="rId397">
              <w:r>
                <w:rPr>
                  <w:rFonts w:ascii="Times New Roman" w:cs="Times New Roman" w:eastAsia="Times New Roman" w:hAnsi="Times New Roman"/>
                  <w:sz w:val="12"/>
                  <w:szCs w:val="12"/>
                  <w:color w:val="0000FF"/>
                </w:rPr>
                <w:t>Second Amended and Restated Great Lakes Dredge &amp; Dock Company, LLC Annual Bonus Plan effective as of January 1, 2012 (Incorporated by reference to Great Lakes Dredge &amp; Dock Corporation’s</w:t>
              </w:r>
            </w:hyperlink>
          </w:p>
        </w:tc>
        <w:tc>
          <w:tcPr>
            <w:tcW w:w="100" w:type="dxa"/>
            <w:vAlign w:val="bottom"/>
            <w:gridSpan w:val="4"/>
          </w:tcPr>
          <w:p>
            <w:pPr>
              <w:spacing w:after="0"/>
              <w:rPr>
                <w:sz w:val="17"/>
                <w:szCs w:val="17"/>
                <w:color w:val="auto"/>
              </w:rPr>
            </w:pPr>
          </w:p>
        </w:tc>
      </w:tr>
      <w:tr>
        <w:trPr>
          <w:trHeight w:val="124"/>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60" w:type="dxa"/>
            <w:vAlign w:val="bottom"/>
            <w:tcBorders>
              <w:bottom w:val="single" w:sz="8" w:color="0000FF"/>
            </w:tcBorders>
            <w:gridSpan w:val="6"/>
          </w:tcPr>
          <w:p>
            <w:pPr>
              <w:spacing w:after="0" w:line="124" w:lineRule="exact"/>
              <w:rPr>
                <w:rFonts w:ascii="Times New Roman" w:cs="Times New Roman" w:eastAsia="Times New Roman" w:hAnsi="Times New Roman"/>
                <w:sz w:val="12"/>
                <w:szCs w:val="12"/>
                <w:color w:val="0000FF"/>
                <w:w w:val="99"/>
              </w:rPr>
            </w:pPr>
            <w:hyperlink r:id="rId397">
              <w:r>
                <w:rPr>
                  <w:rFonts w:ascii="Times New Roman" w:cs="Times New Roman" w:eastAsia="Times New Roman" w:hAnsi="Times New Roman"/>
                  <w:sz w:val="12"/>
                  <w:szCs w:val="12"/>
                  <w:color w:val="0000FF"/>
                  <w:w w:val="99"/>
                </w:rPr>
                <w:t>Current Report on Form 8-K filed with the Commission on January 17, 2012). †</w:t>
              </w:r>
            </w:hyperlink>
          </w:p>
        </w:tc>
        <w:tc>
          <w:tcPr>
            <w:tcW w:w="20" w:type="dxa"/>
            <w:vAlign w:val="bottom"/>
            <w:tcBorders>
              <w:bottom w:val="single" w:sz="8" w:color="0000EE"/>
            </w:tcBorders>
          </w:tcPr>
          <w:p>
            <w:pPr>
              <w:spacing w:after="0"/>
              <w:rPr>
                <w:sz w:val="10"/>
                <w:szCs w:val="10"/>
                <w:color w:val="auto"/>
              </w:rPr>
            </w:pPr>
          </w:p>
        </w:tc>
        <w:tc>
          <w:tcPr>
            <w:tcW w:w="5940" w:type="dxa"/>
            <w:vAlign w:val="bottom"/>
            <w:gridSpan w:val="20"/>
          </w:tcPr>
          <w:p>
            <w:pPr>
              <w:spacing w:after="0"/>
              <w:rPr>
                <w:sz w:val="10"/>
                <w:szCs w:val="10"/>
                <w:color w:val="auto"/>
              </w:rPr>
            </w:pPr>
          </w:p>
        </w:tc>
      </w:tr>
      <w:tr>
        <w:trPr>
          <w:trHeight w:val="268"/>
        </w:trPr>
        <w:tc>
          <w:tcPr>
            <w:tcW w:w="220" w:type="dxa"/>
            <w:vAlign w:val="bottom"/>
            <w:tcBorders>
              <w:bottom w:val="single" w:sz="8" w:color="0000FF"/>
            </w:tcBorders>
            <w:gridSpan w:val="4"/>
          </w:tcPr>
          <w:p>
            <w:pPr>
              <w:spacing w:after="0"/>
              <w:rPr>
                <w:rFonts w:ascii="Times New Roman" w:cs="Times New Roman" w:eastAsia="Times New Roman" w:hAnsi="Times New Roman"/>
                <w:sz w:val="12"/>
                <w:szCs w:val="12"/>
                <w:color w:val="0000FF"/>
                <w:w w:val="94"/>
              </w:rPr>
            </w:pPr>
            <w:hyperlink r:id="rId398">
              <w:r>
                <w:rPr>
                  <w:rFonts w:ascii="Times New Roman" w:cs="Times New Roman" w:eastAsia="Times New Roman" w:hAnsi="Times New Roman"/>
                  <w:sz w:val="12"/>
                  <w:szCs w:val="12"/>
                  <w:color w:val="0000FF"/>
                  <w:w w:val="94"/>
                </w:rPr>
                <w:t>10.</w:t>
              </w:r>
              <w:r>
                <w:rPr>
                  <w:rFonts w:ascii="Times New Roman" w:cs="Times New Roman" w:eastAsia="Times New Roman" w:hAnsi="Times New Roman"/>
                  <w:sz w:val="12"/>
                  <w:szCs w:val="12"/>
                  <w:u w:val="single" w:color="auto"/>
                  <w:color w:val="0000FF"/>
                  <w:w w:val="94"/>
                </w:rPr>
                <w:t>6</w:t>
              </w:r>
            </w:hyperlink>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40" w:type="dxa"/>
            <w:vAlign w:val="bottom"/>
            <w:tcBorders>
              <w:bottom w:val="single" w:sz="8" w:color="0000FF"/>
            </w:tcBorders>
            <w:gridSpan w:val="17"/>
          </w:tcPr>
          <w:p>
            <w:pPr>
              <w:spacing w:after="0"/>
              <w:rPr>
                <w:rFonts w:ascii="Times New Roman" w:cs="Times New Roman" w:eastAsia="Times New Roman" w:hAnsi="Times New Roman"/>
                <w:sz w:val="12"/>
                <w:szCs w:val="12"/>
                <w:color w:val="0000FF"/>
                <w:w w:val="99"/>
              </w:rPr>
            </w:pPr>
            <w:hyperlink r:id="rId398">
              <w:r>
                <w:rPr>
                  <w:rFonts w:ascii="Times New Roman" w:cs="Times New Roman" w:eastAsia="Times New Roman" w:hAnsi="Times New Roman"/>
                  <w:sz w:val="12"/>
                  <w:szCs w:val="12"/>
                  <w:color w:val="0000FF"/>
                  <w:w w:val="99"/>
                </w:rPr>
                <w:t>401 (k) Savings Plan. (Incorporated by reference to Great Lakes Dredge &amp; Dock Corporation’s Annual Report on Form 10-K filed with the Commission on March 30, 2005). †</w:t>
              </w:r>
            </w:hyperlink>
          </w:p>
        </w:tc>
        <w:tc>
          <w:tcPr>
            <w:tcW w:w="1380" w:type="dxa"/>
            <w:vAlign w:val="bottom"/>
            <w:gridSpan w:val="10"/>
          </w:tcPr>
          <w:p>
            <w:pPr>
              <w:spacing w:after="0"/>
              <w:rPr>
                <w:sz w:val="23"/>
                <w:szCs w:val="23"/>
                <w:color w:val="auto"/>
              </w:rPr>
            </w:pPr>
          </w:p>
        </w:tc>
      </w:tr>
      <w:tr>
        <w:trPr>
          <w:trHeight w:val="376"/>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00" w:type="dxa"/>
            <w:vAlign w:val="bottom"/>
            <w:gridSpan w:val="12"/>
          </w:tcPr>
          <w:p>
            <w:pPr>
              <w:jc w:val="right"/>
              <w:ind w:right="300"/>
              <w:spacing w:after="0"/>
              <w:rPr>
                <w:sz w:val="20"/>
                <w:szCs w:val="20"/>
                <w:color w:val="auto"/>
              </w:rPr>
            </w:pPr>
            <w:r>
              <w:rPr>
                <w:rFonts w:ascii="Times New Roman" w:cs="Times New Roman" w:eastAsia="Times New Roman" w:hAnsi="Times New Roman"/>
                <w:sz w:val="12"/>
                <w:szCs w:val="12"/>
                <w:color w:val="auto"/>
              </w:rPr>
              <w:t>80</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4"/>
        </w:trPr>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82" w:name="page83"/>
    <w:bookmarkEnd w:id="82"/>
    <w:p>
      <w:pPr>
        <w:ind w:left="460"/>
        <w:spacing w:after="0"/>
        <w:tabs>
          <w:tab w:leader="none" w:pos="5780" w:val="left"/>
        </w:tabs>
        <w:rPr>
          <w:sz w:val="20"/>
          <w:szCs w:val="20"/>
          <w:color w:val="auto"/>
        </w:rPr>
      </w:pPr>
      <w:r>
        <w:rPr>
          <w:rFonts w:ascii="Times New Roman" w:cs="Times New Roman" w:eastAsia="Times New Roman" w:hAnsi="Times New Roman"/>
          <w:sz w:val="12"/>
          <w:szCs w:val="12"/>
          <w:b w:val="1"/>
          <w:bCs w:val="1"/>
          <w:color w:val="auto"/>
        </w:rPr>
        <w:t>Number</w:t>
      </w:r>
      <w:r>
        <w:rPr>
          <w:sz w:val="20"/>
          <w:szCs w:val="20"/>
          <w:color w:val="auto"/>
        </w:rPr>
        <w:tab/>
      </w:r>
      <w:r>
        <w:rPr>
          <w:rFonts w:ascii="Times New Roman" w:cs="Times New Roman" w:eastAsia="Times New Roman" w:hAnsi="Times New Roman"/>
          <w:sz w:val="12"/>
          <w:szCs w:val="12"/>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p>
      <w:pPr>
        <w:spacing w:after="0" w:line="21"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r:id="rId402">
        <w:r>
          <w:rPr>
            <w:rFonts w:ascii="Times New Roman" w:cs="Times New Roman" w:eastAsia="Times New Roman" w:hAnsi="Times New Roman"/>
            <w:sz w:val="12"/>
            <w:szCs w:val="12"/>
            <w:u w:val="single" w:color="auto"/>
            <w:color w:val="0000FF"/>
          </w:rPr>
          <w:t>10.7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13335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133350" cy="5715"/>
                    </a:xfrm>
                    <a:prstGeom prst="rect">
                      <a:avLst/>
                    </a:prstGeom>
                    <a:noFill/>
                  </pic:spPr>
                </pic:pic>
              </a:graphicData>
            </a:graphic>
          </wp:anchor>
        </w:drawing>
      </w:r>
    </w:p>
    <w:p>
      <w:pPr>
        <w:spacing w:after="0" w:line="209"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r:id="rId404">
        <w:r>
          <w:rPr>
            <w:rFonts w:ascii="Times New Roman" w:cs="Times New Roman" w:eastAsia="Times New Roman" w:hAnsi="Times New Roman"/>
            <w:sz w:val="12"/>
            <w:szCs w:val="12"/>
            <w:u w:val="single" w:color="auto"/>
            <w:color w:val="0000FF"/>
          </w:rPr>
          <w:t>10.8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3335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5">
                      <a:extLst>
                        <a:ext uri="{28A0092B-C50C-407E-A947-70E740481C1C}"/>
                      </a:extLst>
                    </a:blip>
                    <a:srcRect/>
                    <a:stretch>
                      <a:fillRect/>
                    </a:stretch>
                  </pic:blipFill>
                  <pic:spPr bwMode="auto">
                    <a:xfrm>
                      <a:off x="0" y="0"/>
                      <a:ext cx="133350" cy="5715"/>
                    </a:xfrm>
                    <a:prstGeom prst="rect">
                      <a:avLst/>
                    </a:prstGeom>
                    <a:noFill/>
                  </pic:spPr>
                </pic:pic>
              </a:graphicData>
            </a:graphic>
          </wp:anchor>
        </w:drawing>
      </w:r>
    </w:p>
    <w:p>
      <w:pPr>
        <w:spacing w:after="0" w:line="211"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r:id="rId406">
        <w:r>
          <w:rPr>
            <w:rFonts w:ascii="Times New Roman" w:cs="Times New Roman" w:eastAsia="Times New Roman" w:hAnsi="Times New Roman"/>
            <w:sz w:val="12"/>
            <w:szCs w:val="12"/>
            <w:u w:val="single" w:color="auto"/>
            <w:color w:val="0000FF"/>
          </w:rPr>
          <w:t>10.9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3335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1333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60"/>
        <w:spacing w:after="0" w:line="276" w:lineRule="auto"/>
        <w:rPr>
          <w:rFonts w:ascii="Times New Roman" w:cs="Times New Roman" w:eastAsia="Times New Roman" w:hAnsi="Times New Roman"/>
          <w:sz w:val="12"/>
          <w:szCs w:val="12"/>
          <w:u w:val="single" w:color="auto"/>
          <w:color w:val="0000FF"/>
        </w:rPr>
      </w:pPr>
      <w:hyperlink r:id="rId402">
        <w:r>
          <w:rPr>
            <w:rFonts w:ascii="Times New Roman" w:cs="Times New Roman" w:eastAsia="Times New Roman" w:hAnsi="Times New Roman"/>
            <w:sz w:val="12"/>
            <w:szCs w:val="12"/>
            <w:u w:val="single" w:color="auto"/>
            <w:color w:val="0000FF"/>
          </w:rPr>
          <w:t>Amended and Restated Great Lakes Dredge &amp; Dock Corporation Supplemental Savings Plan effective January 1, 2014. (Incorporated by reference to Great Lakes Dredge &amp; Dock Corporation’s Annual</w:t>
        </w:r>
      </w:hyperlink>
      <w:r>
        <w:rPr>
          <w:rFonts w:ascii="Times New Roman" w:cs="Times New Roman" w:eastAsia="Times New Roman" w:hAnsi="Times New Roman"/>
          <w:sz w:val="12"/>
          <w:szCs w:val="12"/>
          <w:u w:val="single" w:color="auto"/>
          <w:color w:val="0000FF"/>
        </w:rPr>
        <w:t xml:space="preserve"> </w:t>
      </w:r>
      <w:hyperlink r:id="rId402">
        <w:r>
          <w:rPr>
            <w:rFonts w:ascii="Times New Roman" w:cs="Times New Roman" w:eastAsia="Times New Roman" w:hAnsi="Times New Roman"/>
            <w:sz w:val="12"/>
            <w:szCs w:val="12"/>
            <w:u w:val="single" w:color="auto"/>
            <w:color w:val="0000FF"/>
          </w:rPr>
          <w:t>Report on Form 10-K filed with the Commission on March 11, 2014).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615696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615696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-29210</wp:posOffset>
            </wp:positionV>
            <wp:extent cx="219202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2192020" cy="5715"/>
                    </a:xfrm>
                    <a:prstGeom prst="rect">
                      <a:avLst/>
                    </a:prstGeom>
                    <a:noFill/>
                  </pic:spPr>
                </pic:pic>
              </a:graphicData>
            </a:graphic>
          </wp:anchor>
        </w:drawing>
      </w:r>
    </w:p>
    <w:p>
      <w:pPr>
        <w:spacing w:after="0" w:line="30" w:lineRule="exact"/>
        <w:rPr>
          <w:sz w:val="20"/>
          <w:szCs w:val="20"/>
          <w:color w:val="auto"/>
        </w:rPr>
      </w:pPr>
    </w:p>
    <w:p>
      <w:pPr>
        <w:ind w:right="220"/>
        <w:spacing w:after="0" w:line="279" w:lineRule="auto"/>
        <w:rPr>
          <w:rFonts w:ascii="Times New Roman" w:cs="Times New Roman" w:eastAsia="Times New Roman" w:hAnsi="Times New Roman"/>
          <w:sz w:val="12"/>
          <w:szCs w:val="12"/>
          <w:u w:val="single" w:color="auto"/>
          <w:color w:val="0000FF"/>
        </w:rPr>
      </w:pPr>
      <w:hyperlink r:id="rId404">
        <w:r>
          <w:rPr>
            <w:rFonts w:ascii="Times New Roman" w:cs="Times New Roman" w:eastAsia="Times New Roman" w:hAnsi="Times New Roman"/>
            <w:sz w:val="12"/>
            <w:szCs w:val="12"/>
            <w:u w:val="single" w:color="auto"/>
            <w:color w:val="0000FF"/>
          </w:rPr>
          <w:t>Great Lakes Dredge &amp; Dock Corporation Director Deferral Plan, adopted on November 8, 2017 (Incorporated by reference to Great Lakes Dredge &amp; Dock Corporation’s Annual Report on Form 10-K</w:t>
        </w:r>
      </w:hyperlink>
      <w:r>
        <w:rPr>
          <w:rFonts w:ascii="Times New Roman" w:cs="Times New Roman" w:eastAsia="Times New Roman" w:hAnsi="Times New Roman"/>
          <w:sz w:val="12"/>
          <w:szCs w:val="12"/>
          <w:u w:val="single" w:color="auto"/>
          <w:color w:val="0000FF"/>
        </w:rPr>
        <w:t xml:space="preserve"> </w:t>
      </w:r>
      <w:hyperlink r:id="rId404">
        <w:r>
          <w:rPr>
            <w:rFonts w:ascii="Times New Roman" w:cs="Times New Roman" w:eastAsia="Times New Roman" w:hAnsi="Times New Roman"/>
            <w:sz w:val="12"/>
            <w:szCs w:val="12"/>
            <w:u w:val="single" w:color="auto"/>
            <w:color w:val="0000FF"/>
          </w:rPr>
          <w:t>filed with the Commission on February 28,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611505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611505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58686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1586865" cy="5715"/>
                    </a:xfrm>
                    <a:prstGeom prst="rect">
                      <a:avLst/>
                    </a:prstGeom>
                    <a:noFill/>
                  </pic:spPr>
                </pic:pic>
              </a:graphicData>
            </a:graphic>
          </wp:anchor>
        </w:drawing>
      </w:r>
    </w:p>
    <w:p>
      <w:pPr>
        <w:spacing w:after="0" w:line="28" w:lineRule="exact"/>
        <w:rPr>
          <w:sz w:val="20"/>
          <w:szCs w:val="20"/>
          <w:color w:val="auto"/>
        </w:rPr>
      </w:pPr>
    </w:p>
    <w:p>
      <w:pPr>
        <w:jc w:val="both"/>
        <w:ind w:right="120"/>
        <w:spacing w:after="0" w:line="265" w:lineRule="auto"/>
        <w:rPr>
          <w:rFonts w:ascii="Times New Roman" w:cs="Times New Roman" w:eastAsia="Times New Roman" w:hAnsi="Times New Roman"/>
          <w:sz w:val="12"/>
          <w:szCs w:val="12"/>
          <w:u w:val="single" w:color="auto"/>
          <w:color w:val="0000FF"/>
        </w:rPr>
      </w:pPr>
      <w:hyperlink r:id="rId406">
        <w:r>
          <w:rPr>
            <w:rFonts w:ascii="Times New Roman" w:cs="Times New Roman" w:eastAsia="Times New Roman" w:hAnsi="Times New Roman"/>
            <w:sz w:val="12"/>
            <w:szCs w:val="12"/>
            <w:u w:val="single" w:color="auto"/>
            <w:color w:val="0000FF"/>
          </w:rPr>
          <w:t>Form of Investor Rights Agreement among Aldabra Acquisition Corporation, Great Lakes Dredge &amp; Dock Holdings Corp., Madison Dearborn Capital Partners IV, L.P., certain stockholders of Aldabra</w:t>
        </w:r>
      </w:hyperlink>
      <w:r>
        <w:rPr>
          <w:rFonts w:ascii="Times New Roman" w:cs="Times New Roman" w:eastAsia="Times New Roman" w:hAnsi="Times New Roman"/>
          <w:sz w:val="12"/>
          <w:szCs w:val="12"/>
          <w:u w:val="single" w:color="auto"/>
          <w:color w:val="0000FF"/>
        </w:rPr>
        <w:t xml:space="preserve"> </w:t>
      </w:r>
      <w:hyperlink r:id="rId406">
        <w:r>
          <w:rPr>
            <w:rFonts w:ascii="Times New Roman" w:cs="Times New Roman" w:eastAsia="Times New Roman" w:hAnsi="Times New Roman"/>
            <w:sz w:val="12"/>
            <w:szCs w:val="12"/>
            <w:u w:val="single" w:color="auto"/>
            <w:color w:val="0000FF"/>
          </w:rPr>
          <w:t>Acquisition Corporation and certain stockholders of GLDD Acquisitions Corp. (Incorporated by reference to Great Lakes Dredge &amp; Dock Holding Corp.’s Registration Statement on Form S-4 filed with</w:t>
        </w:r>
      </w:hyperlink>
      <w:r>
        <w:rPr>
          <w:rFonts w:ascii="Times New Roman" w:cs="Times New Roman" w:eastAsia="Times New Roman" w:hAnsi="Times New Roman"/>
          <w:sz w:val="12"/>
          <w:szCs w:val="12"/>
          <w:u w:val="single" w:color="auto"/>
          <w:color w:val="0000FF"/>
        </w:rPr>
        <w:t xml:space="preserve"> </w:t>
      </w:r>
      <w:hyperlink r:id="rId406">
        <w:r>
          <w:rPr>
            <w:rFonts w:ascii="Times New Roman" w:cs="Times New Roman" w:eastAsia="Times New Roman" w:hAnsi="Times New Roman"/>
            <w:sz w:val="12"/>
            <w:szCs w:val="12"/>
            <w:u w:val="single" w:color="auto"/>
            <w:color w:val="0000FF"/>
          </w:rPr>
          <w:t>the Commission on August 24, 2006).</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-208280</wp:posOffset>
            </wp:positionV>
            <wp:extent cx="614489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614489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-116840</wp:posOffset>
            </wp:positionV>
            <wp:extent cx="617918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617918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-25400</wp:posOffset>
            </wp:positionV>
            <wp:extent cx="116141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1161415" cy="5715"/>
                    </a:xfrm>
                    <a:prstGeom prst="rect">
                      <a:avLst/>
                    </a:prstGeom>
                    <a:noFill/>
                  </pic:spPr>
                </pic:pic>
              </a:graphicData>
            </a:graphic>
          </wp:anchor>
        </w:drawing>
      </w:r>
    </w:p>
    <w:p>
      <w:pPr>
        <w:spacing w:after="0" w:line="56" w:lineRule="exact"/>
        <w:rPr>
          <w:rFonts w:ascii="Times New Roman" w:cs="Times New Roman" w:eastAsia="Times New Roman" w:hAnsi="Times New Roman"/>
          <w:sz w:val="12"/>
          <w:szCs w:val="12"/>
          <w:u w:val="single" w:color="auto"/>
          <w:color w:val="0000FF"/>
        </w:rPr>
      </w:pPr>
    </w:p>
    <w:p>
      <w:pPr>
        <w:sectPr>
          <w:pgSz w:w="11900" w:h="16838" w:orient="portrait"/>
          <w:cols w:equalWidth="0" w:num="2">
            <w:col w:w="760" w:space="720"/>
            <w:col w:w="9820"/>
          </w:cols>
          <w:pgMar w:left="300" w:top="701" w:right="299" w:bottom="1440" w:gutter="0" w:footer="0" w:header="0"/>
          <w:type w:val="continuous"/>
        </w:sectPr>
      </w:pPr>
    </w:p>
    <w:p>
      <w:pPr>
        <w:spacing w:after="0"/>
        <w:rPr>
          <w:rFonts w:ascii="Times New Roman" w:cs="Times New Roman" w:eastAsia="Times New Roman" w:hAnsi="Times New Roman"/>
          <w:sz w:val="12"/>
          <w:szCs w:val="12"/>
          <w:u w:val="single" w:color="auto"/>
          <w:color w:val="0000FF"/>
        </w:rPr>
      </w:pPr>
      <w:hyperlink r:id="rId415">
        <w:r>
          <w:rPr>
            <w:rFonts w:ascii="Times New Roman" w:cs="Times New Roman" w:eastAsia="Times New Roman" w:hAnsi="Times New Roman"/>
            <w:sz w:val="12"/>
            <w:szCs w:val="12"/>
            <w:u w:val="single" w:color="auto"/>
            <w:color w:val="0000FF"/>
          </w:rPr>
          <w:t>10.10</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-5715</wp:posOffset>
            </wp:positionV>
            <wp:extent cx="17145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11" w:lineRule="exact"/>
        <w:rPr>
          <w:rFonts w:ascii="Times New Roman" w:cs="Times New Roman" w:eastAsia="Times New Roman" w:hAnsi="Times New Roman"/>
          <w:sz w:val="12"/>
          <w:szCs w:val="12"/>
          <w:u w:val="single" w:color="auto"/>
          <w:color w:val="0000FF"/>
        </w:rPr>
      </w:pPr>
    </w:p>
    <w:p>
      <w:pPr>
        <w:spacing w:after="0"/>
        <w:rPr>
          <w:rFonts w:ascii="Times New Roman" w:cs="Times New Roman" w:eastAsia="Times New Roman" w:hAnsi="Times New Roman"/>
          <w:sz w:val="12"/>
          <w:szCs w:val="12"/>
          <w:u w:val="single" w:color="auto"/>
          <w:color w:val="0000FF"/>
        </w:rPr>
      </w:pPr>
      <w:hyperlink r:id="rId417">
        <w:r>
          <w:rPr>
            <w:rFonts w:ascii="Times New Roman" w:cs="Times New Roman" w:eastAsia="Times New Roman" w:hAnsi="Times New Roman"/>
            <w:sz w:val="12"/>
            <w:szCs w:val="12"/>
            <w:u w:val="single" w:color="auto"/>
            <w:color w:val="0000FF"/>
          </w:rPr>
          <w:t>10.11</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-5715</wp:posOffset>
            </wp:positionV>
            <wp:extent cx="17145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11" w:lineRule="exact"/>
        <w:rPr>
          <w:rFonts w:ascii="Times New Roman" w:cs="Times New Roman" w:eastAsia="Times New Roman" w:hAnsi="Times New Roman"/>
          <w:sz w:val="12"/>
          <w:szCs w:val="12"/>
          <w:u w:val="single" w:color="auto"/>
          <w:color w:val="0000FF"/>
        </w:rPr>
      </w:pPr>
    </w:p>
    <w:p>
      <w:pPr>
        <w:spacing w:after="0"/>
        <w:rPr>
          <w:rFonts w:ascii="Times New Roman" w:cs="Times New Roman" w:eastAsia="Times New Roman" w:hAnsi="Times New Roman"/>
          <w:sz w:val="12"/>
          <w:szCs w:val="12"/>
          <w:u w:val="single" w:color="auto"/>
          <w:color w:val="0000FF"/>
        </w:rPr>
      </w:pPr>
      <w:hyperlink r:id="rId419">
        <w:r>
          <w:rPr>
            <w:rFonts w:ascii="Times New Roman" w:cs="Times New Roman" w:eastAsia="Times New Roman" w:hAnsi="Times New Roman"/>
            <w:sz w:val="12"/>
            <w:szCs w:val="12"/>
            <w:u w:val="single" w:color="auto"/>
            <w:color w:val="0000FF"/>
          </w:rPr>
          <w:t>10.12</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-5715</wp:posOffset>
            </wp:positionV>
            <wp:extent cx="17145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0">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11" w:lineRule="exact"/>
        <w:rPr>
          <w:rFonts w:ascii="Times New Roman" w:cs="Times New Roman" w:eastAsia="Times New Roman" w:hAnsi="Times New Roman"/>
          <w:sz w:val="12"/>
          <w:szCs w:val="12"/>
          <w:u w:val="single" w:color="auto"/>
          <w:color w:val="0000FF"/>
        </w:rPr>
      </w:pPr>
    </w:p>
    <w:p>
      <w:pPr>
        <w:spacing w:after="0"/>
        <w:rPr>
          <w:rFonts w:ascii="Times New Roman" w:cs="Times New Roman" w:eastAsia="Times New Roman" w:hAnsi="Times New Roman"/>
          <w:sz w:val="12"/>
          <w:szCs w:val="12"/>
          <w:u w:val="single" w:color="auto"/>
          <w:color w:val="0000FF"/>
        </w:rPr>
      </w:pPr>
      <w:hyperlink r:id="rId421">
        <w:r>
          <w:rPr>
            <w:rFonts w:ascii="Times New Roman" w:cs="Times New Roman" w:eastAsia="Times New Roman" w:hAnsi="Times New Roman"/>
            <w:sz w:val="12"/>
            <w:szCs w:val="12"/>
            <w:u w:val="single" w:color="auto"/>
            <w:color w:val="0000FF"/>
          </w:rPr>
          <w:t>10.13</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-5715</wp:posOffset>
            </wp:positionV>
            <wp:extent cx="17145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11" w:lineRule="exact"/>
        <w:rPr>
          <w:rFonts w:ascii="Times New Roman" w:cs="Times New Roman" w:eastAsia="Times New Roman" w:hAnsi="Times New Roman"/>
          <w:sz w:val="12"/>
          <w:szCs w:val="12"/>
          <w:u w:val="single" w:color="auto"/>
          <w:color w:val="0000FF"/>
        </w:rPr>
      </w:pPr>
    </w:p>
    <w:p>
      <w:pPr>
        <w:spacing w:after="0"/>
        <w:rPr>
          <w:rFonts w:ascii="Times New Roman" w:cs="Times New Roman" w:eastAsia="Times New Roman" w:hAnsi="Times New Roman"/>
          <w:sz w:val="12"/>
          <w:szCs w:val="12"/>
          <w:u w:val="single" w:color="auto"/>
          <w:color w:val="0000FF"/>
        </w:rPr>
      </w:pPr>
      <w:hyperlink r:id="rId423">
        <w:r>
          <w:rPr>
            <w:rFonts w:ascii="Times New Roman" w:cs="Times New Roman" w:eastAsia="Times New Roman" w:hAnsi="Times New Roman"/>
            <w:sz w:val="12"/>
            <w:szCs w:val="12"/>
            <w:u w:val="single" w:color="auto"/>
            <w:color w:val="0000FF"/>
          </w:rPr>
          <w:t>10.14</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-5715</wp:posOffset>
            </wp:positionV>
            <wp:extent cx="17145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11" w:lineRule="exact"/>
        <w:rPr>
          <w:rFonts w:ascii="Times New Roman" w:cs="Times New Roman" w:eastAsia="Times New Roman" w:hAnsi="Times New Roman"/>
          <w:sz w:val="12"/>
          <w:szCs w:val="12"/>
          <w:u w:val="single" w:color="auto"/>
          <w:color w:val="0000FF"/>
        </w:rPr>
      </w:pPr>
    </w:p>
    <w:p>
      <w:pPr>
        <w:spacing w:after="0"/>
        <w:rPr>
          <w:rFonts w:ascii="Times New Roman" w:cs="Times New Roman" w:eastAsia="Times New Roman" w:hAnsi="Times New Roman"/>
          <w:sz w:val="12"/>
          <w:szCs w:val="12"/>
          <w:u w:val="single" w:color="auto"/>
          <w:color w:val="0000FF"/>
        </w:rPr>
      </w:pPr>
      <w:hyperlink r:id="rId425">
        <w:r>
          <w:rPr>
            <w:rFonts w:ascii="Times New Roman" w:cs="Times New Roman" w:eastAsia="Times New Roman" w:hAnsi="Times New Roman"/>
            <w:sz w:val="12"/>
            <w:szCs w:val="12"/>
            <w:u w:val="single" w:color="auto"/>
            <w:color w:val="0000FF"/>
          </w:rPr>
          <w:t>10.15</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-5715</wp:posOffset>
            </wp:positionV>
            <wp:extent cx="17145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11" w:lineRule="exact"/>
        <w:rPr>
          <w:rFonts w:ascii="Times New Roman" w:cs="Times New Roman" w:eastAsia="Times New Roman" w:hAnsi="Times New Roman"/>
          <w:sz w:val="12"/>
          <w:szCs w:val="12"/>
          <w:u w:val="single" w:color="auto"/>
          <w:color w:val="0000FF"/>
        </w:rPr>
      </w:pPr>
    </w:p>
    <w:p>
      <w:pPr>
        <w:spacing w:after="0"/>
        <w:rPr>
          <w:rFonts w:ascii="Times New Roman" w:cs="Times New Roman" w:eastAsia="Times New Roman" w:hAnsi="Times New Roman"/>
          <w:sz w:val="12"/>
          <w:szCs w:val="12"/>
          <w:u w:val="single" w:color="auto"/>
          <w:color w:val="0000FF"/>
        </w:rPr>
      </w:pPr>
      <w:hyperlink r:id="rId427">
        <w:r>
          <w:rPr>
            <w:rFonts w:ascii="Times New Roman" w:cs="Times New Roman" w:eastAsia="Times New Roman" w:hAnsi="Times New Roman"/>
            <w:sz w:val="12"/>
            <w:szCs w:val="12"/>
            <w:u w:val="single" w:color="auto"/>
            <w:color w:val="0000FF"/>
          </w:rPr>
          <w:t>10.16</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-5715</wp:posOffset>
            </wp:positionV>
            <wp:extent cx="17145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11" w:lineRule="exact"/>
        <w:rPr>
          <w:rFonts w:ascii="Times New Roman" w:cs="Times New Roman" w:eastAsia="Times New Roman" w:hAnsi="Times New Roman"/>
          <w:sz w:val="12"/>
          <w:szCs w:val="12"/>
          <w:u w:val="single" w:color="auto"/>
          <w:color w:val="0000FF"/>
        </w:rPr>
      </w:pPr>
    </w:p>
    <w:p>
      <w:pPr>
        <w:spacing w:after="0"/>
        <w:rPr>
          <w:rFonts w:ascii="Times New Roman" w:cs="Times New Roman" w:eastAsia="Times New Roman" w:hAnsi="Times New Roman"/>
          <w:sz w:val="12"/>
          <w:szCs w:val="12"/>
          <w:u w:val="single" w:color="auto"/>
          <w:color w:val="0000FF"/>
        </w:rPr>
      </w:pPr>
      <w:hyperlink r:id="rId429">
        <w:r>
          <w:rPr>
            <w:rFonts w:ascii="Times New Roman" w:cs="Times New Roman" w:eastAsia="Times New Roman" w:hAnsi="Times New Roman"/>
            <w:sz w:val="12"/>
            <w:szCs w:val="12"/>
            <w:u w:val="single" w:color="auto"/>
            <w:color w:val="0000FF"/>
          </w:rPr>
          <w:t>10.17</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-5715</wp:posOffset>
            </wp:positionV>
            <wp:extent cx="17145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br w:type="column"/>
      </w:r>
    </w:p>
    <w:p>
      <w:pPr>
        <w:ind w:right="640"/>
        <w:spacing w:after="0" w:line="279" w:lineRule="auto"/>
        <w:rPr>
          <w:rFonts w:ascii="Times New Roman" w:cs="Times New Roman" w:eastAsia="Times New Roman" w:hAnsi="Times New Roman"/>
          <w:sz w:val="12"/>
          <w:szCs w:val="12"/>
          <w:u w:val="single" w:color="auto"/>
          <w:color w:val="0000FF"/>
        </w:rPr>
      </w:pPr>
      <w:hyperlink r:id="rId415">
        <w:r>
          <w:rPr>
            <w:rFonts w:ascii="Times New Roman" w:cs="Times New Roman" w:eastAsia="Times New Roman" w:hAnsi="Times New Roman"/>
            <w:sz w:val="12"/>
            <w:szCs w:val="12"/>
            <w:u w:val="single" w:color="auto"/>
            <w:color w:val="0000FF"/>
          </w:rPr>
          <w:t>Great Lakes Dredge &amp; Dock Corporation 2017 Long-Term Incentive Plan (Incorporated by reference to Great Lakes Dredge &amp; Dock Corporation’s Current Report on Form 8-K filed with the</w:t>
        </w:r>
      </w:hyperlink>
      <w:r>
        <w:rPr>
          <w:rFonts w:ascii="Times New Roman" w:cs="Times New Roman" w:eastAsia="Times New Roman" w:hAnsi="Times New Roman"/>
          <w:sz w:val="12"/>
          <w:szCs w:val="12"/>
          <w:u w:val="single" w:color="auto"/>
          <w:color w:val="0000FF"/>
        </w:rPr>
        <w:t xml:space="preserve"> </w:t>
      </w:r>
      <w:hyperlink r:id="rId415">
        <w:r>
          <w:rPr>
            <w:rFonts w:ascii="Times New Roman" w:cs="Times New Roman" w:eastAsia="Times New Roman" w:hAnsi="Times New Roman"/>
            <w:sz w:val="12"/>
            <w:szCs w:val="12"/>
            <w:u w:val="single" w:color="auto"/>
            <w:color w:val="0000FF"/>
          </w:rPr>
          <w:t>Commission on May 17, 2017).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584644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584644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02616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1026160" cy="5715"/>
                    </a:xfrm>
                    <a:prstGeom prst="rect">
                      <a:avLst/>
                    </a:prstGeom>
                    <a:noFill/>
                  </pic:spPr>
                </pic:pic>
              </a:graphicData>
            </a:graphic>
          </wp:anchor>
        </w:drawing>
      </w:r>
    </w:p>
    <w:p>
      <w:pPr>
        <w:spacing w:after="0" w:line="28" w:lineRule="exact"/>
        <w:rPr>
          <w:sz w:val="20"/>
          <w:szCs w:val="20"/>
          <w:color w:val="auto"/>
        </w:rPr>
      </w:pPr>
    </w:p>
    <w:p>
      <w:pPr>
        <w:ind w:right="640"/>
        <w:spacing w:after="0" w:line="279" w:lineRule="auto"/>
        <w:rPr>
          <w:rFonts w:ascii="Times New Roman" w:cs="Times New Roman" w:eastAsia="Times New Roman" w:hAnsi="Times New Roman"/>
          <w:sz w:val="12"/>
          <w:szCs w:val="12"/>
          <w:u w:val="single" w:color="auto"/>
          <w:color w:val="0000FF"/>
        </w:rPr>
      </w:pPr>
      <w:hyperlink r:id="rId417">
        <w:r>
          <w:rPr>
            <w:rFonts w:ascii="Times New Roman" w:cs="Times New Roman" w:eastAsia="Times New Roman" w:hAnsi="Times New Roman"/>
            <w:sz w:val="12"/>
            <w:szCs w:val="12"/>
            <w:u w:val="single" w:color="auto"/>
            <w:color w:val="0000FF"/>
          </w:rPr>
          <w:t>Great Lakes Dredge &amp; Dock Corporation 2021 Long-Term Incentive Plan (Incorporated by reference to Great Lakes Dredge &amp; Dock Corporation’s Current Report on Form 8-K filed with the</w:t>
        </w:r>
      </w:hyperlink>
      <w:r>
        <w:rPr>
          <w:rFonts w:ascii="Times New Roman" w:cs="Times New Roman" w:eastAsia="Times New Roman" w:hAnsi="Times New Roman"/>
          <w:sz w:val="12"/>
          <w:szCs w:val="12"/>
          <w:u w:val="single" w:color="auto"/>
          <w:color w:val="0000FF"/>
        </w:rPr>
        <w:t xml:space="preserve"> </w:t>
      </w:r>
      <w:hyperlink r:id="rId417">
        <w:r>
          <w:rPr>
            <w:rFonts w:ascii="Times New Roman" w:cs="Times New Roman" w:eastAsia="Times New Roman" w:hAnsi="Times New Roman"/>
            <w:sz w:val="12"/>
            <w:szCs w:val="12"/>
            <w:u w:val="single" w:color="auto"/>
            <w:color w:val="0000FF"/>
          </w:rPr>
          <w:t>Commission on May 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584644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584644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98806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988060" cy="5715"/>
                    </a:xfrm>
                    <a:prstGeom prst="rect">
                      <a:avLst/>
                    </a:prstGeom>
                    <a:noFill/>
                  </pic:spPr>
                </pic:pic>
              </a:graphicData>
            </a:graphic>
          </wp:anchor>
        </w:drawing>
      </w:r>
    </w:p>
    <w:p>
      <w:pPr>
        <w:spacing w:after="0" w:line="28" w:lineRule="exact"/>
        <w:rPr>
          <w:sz w:val="20"/>
          <w:szCs w:val="20"/>
          <w:color w:val="auto"/>
        </w:rPr>
      </w:pPr>
    </w:p>
    <w:p>
      <w:pPr>
        <w:ind w:right="240"/>
        <w:spacing w:after="0" w:line="279" w:lineRule="auto"/>
        <w:rPr>
          <w:rFonts w:ascii="Times New Roman" w:cs="Times New Roman" w:eastAsia="Times New Roman" w:hAnsi="Times New Roman"/>
          <w:sz w:val="12"/>
          <w:szCs w:val="12"/>
          <w:u w:val="single" w:color="auto"/>
          <w:color w:val="0000FF"/>
        </w:rPr>
      </w:pPr>
      <w:hyperlink r:id="rId419">
        <w:r>
          <w:rPr>
            <w:rFonts w:ascii="Times New Roman" w:cs="Times New Roman" w:eastAsia="Times New Roman" w:hAnsi="Times New Roman"/>
            <w:sz w:val="12"/>
            <w:szCs w:val="12"/>
            <w:u w:val="single" w:color="auto"/>
            <w:color w:val="0000FF"/>
          </w:rPr>
          <w:t>Form of Great Lakes Dredge &amp; Dock Corporation Restricted Stock Unit Award Agreement pursuant to the Great Lakes Dredge &amp; Dock Corporation 2017 Long-Term Incentive Plan. (Incorporated by</w:t>
        </w:r>
      </w:hyperlink>
      <w:r>
        <w:rPr>
          <w:rFonts w:ascii="Times New Roman" w:cs="Times New Roman" w:eastAsia="Times New Roman" w:hAnsi="Times New Roman"/>
          <w:sz w:val="12"/>
          <w:szCs w:val="12"/>
          <w:u w:val="single" w:color="auto"/>
          <w:color w:val="0000FF"/>
        </w:rPr>
        <w:t xml:space="preserve"> </w:t>
      </w:r>
      <w:hyperlink r:id="rId419">
        <w:r>
          <w:rPr>
            <w:rFonts w:ascii="Times New Roman" w:cs="Times New Roman" w:eastAsia="Times New Roman" w:hAnsi="Times New Roman"/>
            <w:sz w:val="12"/>
            <w:szCs w:val="12"/>
            <w:u w:val="single" w:color="auto"/>
            <w:color w:val="0000FF"/>
          </w:rPr>
          <w:t>reference to Great Lakes Dredge &amp; Dock Corporation’s Quarterly Report on Form 10-Q filed with the Commission on May 4,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610679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610679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412305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4123055" cy="5715"/>
                    </a:xfrm>
                    <a:prstGeom prst="rect">
                      <a:avLst/>
                    </a:prstGeom>
                    <a:noFill/>
                  </pic:spPr>
                </pic:pic>
              </a:graphicData>
            </a:graphic>
          </wp:anchor>
        </w:drawing>
      </w:r>
    </w:p>
    <w:p>
      <w:pPr>
        <w:spacing w:after="0" w:line="28" w:lineRule="exact"/>
        <w:rPr>
          <w:sz w:val="20"/>
          <w:szCs w:val="20"/>
          <w:color w:val="auto"/>
        </w:rPr>
      </w:pPr>
    </w:p>
    <w:p>
      <w:pPr>
        <w:ind w:right="160"/>
        <w:spacing w:after="0" w:line="279" w:lineRule="auto"/>
        <w:rPr>
          <w:rFonts w:ascii="Times New Roman" w:cs="Times New Roman" w:eastAsia="Times New Roman" w:hAnsi="Times New Roman"/>
          <w:sz w:val="12"/>
          <w:szCs w:val="12"/>
          <w:u w:val="single" w:color="auto"/>
          <w:color w:val="0000FF"/>
        </w:rPr>
      </w:pPr>
      <w:hyperlink r:id="rId421">
        <w:r>
          <w:rPr>
            <w:rFonts w:ascii="Times New Roman" w:cs="Times New Roman" w:eastAsia="Times New Roman" w:hAnsi="Times New Roman"/>
            <w:sz w:val="12"/>
            <w:szCs w:val="12"/>
            <w:u w:val="single" w:color="auto"/>
            <w:color w:val="0000FF"/>
          </w:rPr>
          <w:t>Form of Great Lakes Dredge &amp; Dock Corporation Performance-Based Restricted Stock Unit Award Agreement (Three Year Form) pursuant to the Great Lakes Dredge &amp; Dock Corporation 2017 Long-</w:t>
        </w:r>
      </w:hyperlink>
      <w:hyperlink r:id="rId421">
        <w:r>
          <w:rPr>
            <w:rFonts w:ascii="Times New Roman" w:cs="Times New Roman" w:eastAsia="Times New Roman" w:hAnsi="Times New Roman"/>
            <w:sz w:val="12"/>
            <w:szCs w:val="12"/>
            <w:u w:val="single" w:color="auto"/>
            <w:color w:val="0000FF"/>
          </w:rPr>
          <w:t>Term Incentive Plan. (Incorporated by reference to Great Lakes Dredge &amp; Dock Corporation’s Quarterly Report on Form 10-Q filed with the Commission on May 4,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613600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613600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531114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5311140" cy="5715"/>
                    </a:xfrm>
                    <a:prstGeom prst="rect">
                      <a:avLst/>
                    </a:prstGeom>
                    <a:noFill/>
                  </pic:spPr>
                </pic:pic>
              </a:graphicData>
            </a:graphic>
          </wp:anchor>
        </w:drawing>
      </w:r>
    </w:p>
    <w:p>
      <w:pPr>
        <w:spacing w:after="0" w:line="28" w:lineRule="exact"/>
        <w:rPr>
          <w:sz w:val="20"/>
          <w:szCs w:val="20"/>
          <w:color w:val="auto"/>
        </w:rPr>
      </w:pPr>
    </w:p>
    <w:p>
      <w:pPr>
        <w:ind w:right="180"/>
        <w:spacing w:after="0" w:line="279" w:lineRule="auto"/>
        <w:rPr>
          <w:rFonts w:ascii="Times New Roman" w:cs="Times New Roman" w:eastAsia="Times New Roman" w:hAnsi="Times New Roman"/>
          <w:sz w:val="12"/>
          <w:szCs w:val="12"/>
          <w:u w:val="single" w:color="auto"/>
          <w:color w:val="0000FF"/>
        </w:rPr>
      </w:pPr>
      <w:hyperlink r:id="rId423">
        <w:r>
          <w:rPr>
            <w:rFonts w:ascii="Times New Roman" w:cs="Times New Roman" w:eastAsia="Times New Roman" w:hAnsi="Times New Roman"/>
            <w:sz w:val="12"/>
            <w:szCs w:val="12"/>
            <w:u w:val="single" w:color="auto"/>
            <w:color w:val="0000FF"/>
          </w:rPr>
          <w:t>Restricted Stock Unit Award Notice pursuant to the Great Lakes Dredge &amp; Dock Corporation 2017 Long-Term Incentive Plan. (Incorporated by reference to Great Lakes Dredge &amp; Dock Corporation’s</w:t>
        </w:r>
      </w:hyperlink>
      <w:r>
        <w:rPr>
          <w:rFonts w:ascii="Times New Roman" w:cs="Times New Roman" w:eastAsia="Times New Roman" w:hAnsi="Times New Roman"/>
          <w:sz w:val="12"/>
          <w:szCs w:val="12"/>
          <w:u w:val="single" w:color="auto"/>
          <w:color w:val="0000FF"/>
        </w:rPr>
        <w:t xml:space="preserve"> </w:t>
      </w:r>
      <w:hyperlink r:id="rId423">
        <w:r>
          <w:rPr>
            <w:rFonts w:ascii="Times New Roman" w:cs="Times New Roman" w:eastAsia="Times New Roman" w:hAnsi="Times New Roman"/>
            <w:sz w:val="12"/>
            <w:szCs w:val="12"/>
            <w:u w:val="single" w:color="auto"/>
            <w:color w:val="0000FF"/>
          </w:rPr>
          <w:t>Quarterly Report on Form 10-Q filed with the Commission on May 3,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614045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614045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240538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2405380" cy="5715"/>
                    </a:xfrm>
                    <a:prstGeom prst="rect">
                      <a:avLst/>
                    </a:prstGeom>
                    <a:noFill/>
                  </pic:spPr>
                </pic:pic>
              </a:graphicData>
            </a:graphic>
          </wp:anchor>
        </w:drawing>
      </w:r>
    </w:p>
    <w:p>
      <w:pPr>
        <w:spacing w:after="0" w:line="28" w:lineRule="exact"/>
        <w:rPr>
          <w:sz w:val="20"/>
          <w:szCs w:val="20"/>
          <w:color w:val="auto"/>
        </w:rPr>
      </w:pPr>
    </w:p>
    <w:p>
      <w:pPr>
        <w:ind w:right="200"/>
        <w:spacing w:after="0" w:line="279" w:lineRule="auto"/>
        <w:rPr>
          <w:rFonts w:ascii="Times New Roman" w:cs="Times New Roman" w:eastAsia="Times New Roman" w:hAnsi="Times New Roman"/>
          <w:sz w:val="12"/>
          <w:szCs w:val="12"/>
          <w:u w:val="single" w:color="auto"/>
          <w:color w:val="0000FF"/>
        </w:rPr>
      </w:pPr>
      <w:hyperlink r:id="rId425">
        <w:r>
          <w:rPr>
            <w:rFonts w:ascii="Times New Roman" w:cs="Times New Roman" w:eastAsia="Times New Roman" w:hAnsi="Times New Roman"/>
            <w:sz w:val="12"/>
            <w:szCs w:val="12"/>
            <w:u w:val="single" w:color="auto"/>
            <w:color w:val="0000FF"/>
          </w:rPr>
          <w:t>Performance-Based Restricted Stock Unit Award Notice pursuant to the Great Lakes Dredge &amp; Dock Corporation 2017 Long-Term Incentive Plan. (Incorporated by reference to Great Lakes Dredge &amp;</w:t>
        </w:r>
      </w:hyperlink>
      <w:r>
        <w:rPr>
          <w:rFonts w:ascii="Times New Roman" w:cs="Times New Roman" w:eastAsia="Times New Roman" w:hAnsi="Times New Roman"/>
          <w:sz w:val="12"/>
          <w:szCs w:val="12"/>
          <w:u w:val="single" w:color="auto"/>
          <w:color w:val="0000FF"/>
        </w:rPr>
        <w:t xml:space="preserve"> </w:t>
      </w:r>
      <w:hyperlink r:id="rId425">
        <w:r>
          <w:rPr>
            <w:rFonts w:ascii="Times New Roman" w:cs="Times New Roman" w:eastAsia="Times New Roman" w:hAnsi="Times New Roman"/>
            <w:sz w:val="12"/>
            <w:szCs w:val="12"/>
            <w:u w:val="single" w:color="auto"/>
            <w:color w:val="0000FF"/>
          </w:rPr>
          <w:t>Dock Corporation’s Quarterly Report on Form 10-Q filed with the Commission on May 3,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613346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613346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303149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3031490" cy="5715"/>
                    </a:xfrm>
                    <a:prstGeom prst="rect">
                      <a:avLst/>
                    </a:prstGeom>
                    <a:noFill/>
                  </pic:spPr>
                </pic:pic>
              </a:graphicData>
            </a:graphic>
          </wp:anchor>
        </w:drawing>
      </w:r>
    </w:p>
    <w:p>
      <w:pPr>
        <w:spacing w:after="0" w:line="28"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r:id="rId427">
        <w:r>
          <w:rPr>
            <w:rFonts w:ascii="Times New Roman" w:cs="Times New Roman" w:eastAsia="Times New Roman" w:hAnsi="Times New Roman"/>
            <w:sz w:val="12"/>
            <w:szCs w:val="12"/>
            <w:u w:val="single" w:color="auto"/>
            <w:color w:val="0000FF"/>
          </w:rPr>
          <w:t>Purchase Agreement, dated May 12, 2021, by and among the Company, certain subsidiary guarantors named therein and BofA Securities, Inc., as representative of the initial purchasers named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11251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6112510" cy="5715"/>
                    </a:xfrm>
                    <a:prstGeom prst="rect">
                      <a:avLst/>
                    </a:prstGeom>
                    <a:noFill/>
                  </pic:spPr>
                </pic:pic>
              </a:graphicData>
            </a:graphic>
          </wp:anchor>
        </w:drawing>
      </w:r>
    </w:p>
    <w:p>
      <w:pPr>
        <w:spacing w:after="0"/>
        <w:rPr>
          <w:rFonts w:ascii="Times New Roman" w:cs="Times New Roman" w:eastAsia="Times New Roman" w:hAnsi="Times New Roman"/>
          <w:sz w:val="12"/>
          <w:szCs w:val="12"/>
          <w:u w:val="single" w:color="auto"/>
          <w:color w:val="0000FF"/>
        </w:rPr>
      </w:pPr>
      <w:hyperlink r:id="rId427">
        <w:r>
          <w:rPr>
            <w:rFonts w:ascii="Times New Roman" w:cs="Times New Roman" w:eastAsia="Times New Roman" w:hAnsi="Times New Roman"/>
            <w:sz w:val="12"/>
            <w:szCs w:val="12"/>
            <w:u w:val="single" w:color="auto"/>
            <w:color w:val="0000FF"/>
          </w:rPr>
          <w:t>(Incorporated by reference to Great Lakes Dredge &amp; Dock Corporation’s Current Report on Form 8-K filed with the Commission on May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453517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4535170" cy="5715"/>
                    </a:xfrm>
                    <a:prstGeom prst="rect">
                      <a:avLst/>
                    </a:prstGeom>
                    <a:noFill/>
                  </pic:spPr>
                </pic:pic>
              </a:graphicData>
            </a:graphic>
          </wp:anchor>
        </w:drawing>
      </w:r>
    </w:p>
    <w:p>
      <w:pPr>
        <w:spacing w:after="0" w:line="56" w:lineRule="exact"/>
        <w:rPr>
          <w:sz w:val="20"/>
          <w:szCs w:val="20"/>
          <w:color w:val="auto"/>
        </w:rPr>
      </w:pPr>
    </w:p>
    <w:p>
      <w:pPr>
        <w:ind w:right="40"/>
        <w:spacing w:after="0" w:line="257" w:lineRule="auto"/>
        <w:rPr>
          <w:rFonts w:ascii="Times New Roman" w:cs="Times New Roman" w:eastAsia="Times New Roman" w:hAnsi="Times New Roman"/>
          <w:sz w:val="12"/>
          <w:szCs w:val="12"/>
          <w:color w:val="0000FF"/>
        </w:rPr>
      </w:pPr>
      <w:hyperlink r:id="rId429">
        <w:r>
          <w:rPr>
            <w:rFonts w:ascii="Times New Roman" w:cs="Times New Roman" w:eastAsia="Times New Roman" w:hAnsi="Times New Roman"/>
            <w:sz w:val="12"/>
            <w:szCs w:val="12"/>
            <w:u w:val="single" w:color="auto"/>
            <w:color w:val="0000FF"/>
          </w:rPr>
          <w:t>Second Amended and Restated Revolving Credit and Security Agreement dated as of July 29, 2022 by and among Great Lakes Dredge &amp; Dock Corporation, as Borrower, each other Credit Party party</w:t>
        </w:r>
      </w:hyperlink>
      <w:r>
        <w:rPr>
          <w:rFonts w:ascii="Times New Roman" w:cs="Times New Roman" w:eastAsia="Times New Roman" w:hAnsi="Times New Roman"/>
          <w:sz w:val="12"/>
          <w:szCs w:val="12"/>
          <w:u w:val="single" w:color="auto"/>
          <w:color w:val="0000FF"/>
        </w:rPr>
        <w:t xml:space="preserve"> </w:t>
      </w:r>
      <w:hyperlink r:id="rId429">
        <w:r>
          <w:rPr>
            <w:rFonts w:ascii="Times New Roman" w:cs="Times New Roman" w:eastAsia="Times New Roman" w:hAnsi="Times New Roman"/>
            <w:sz w:val="12"/>
            <w:szCs w:val="12"/>
            <w:u w:val="single" w:color="auto"/>
            <w:color w:val="0000FF"/>
          </w:rPr>
          <w:t>hereto from time to time, the financial institutions which are now or which hereafter become a party hereto as lenders, PNC Bank, National Association, as Agent (the “Agent”), PNC Capital Markets,</w:t>
        </w:r>
      </w:hyperlink>
      <w:r>
        <w:rPr>
          <w:rFonts w:ascii="Times New Roman" w:cs="Times New Roman" w:eastAsia="Times New Roman" w:hAnsi="Times New Roman"/>
          <w:sz w:val="12"/>
          <w:szCs w:val="12"/>
          <w:u w:val="single" w:color="auto"/>
          <w:color w:val="0000FF"/>
        </w:rPr>
        <w:t xml:space="preserve"> </w:t>
      </w:r>
      <w:hyperlink r:id="rId429">
        <w:r>
          <w:rPr>
            <w:rFonts w:ascii="Times New Roman" w:cs="Times New Roman" w:eastAsia="Times New Roman" w:hAnsi="Times New Roman"/>
            <w:sz w:val="12"/>
            <w:szCs w:val="12"/>
            <w:u w:val="single" w:color="auto"/>
            <w:color w:val="0000FF"/>
          </w:rPr>
          <w:t>CIBC Bank USA, Bank of America, N.A. and Truist Securities, Inc., as Joint Lead Arrangers and Joint Bookrunners, CIBC Bank USA and Truist Bank as Co-Syndication Agents, Bank of America, N.A.,</w:t>
        </w:r>
      </w:hyperlink>
      <w:r>
        <w:rPr>
          <w:rFonts w:ascii="Times New Roman" w:cs="Times New Roman" w:eastAsia="Times New Roman" w:hAnsi="Times New Roman"/>
          <w:sz w:val="12"/>
          <w:szCs w:val="12"/>
          <w:u w:val="single" w:color="auto"/>
          <w:color w:val="0000FF"/>
        </w:rPr>
        <w:t xml:space="preserve"> </w:t>
      </w:r>
      <w:hyperlink r:id="rId429">
        <w:r>
          <w:rPr>
            <w:rFonts w:ascii="Times New Roman" w:cs="Times New Roman" w:eastAsia="Times New Roman" w:hAnsi="Times New Roman"/>
            <w:sz w:val="12"/>
            <w:szCs w:val="12"/>
            <w:u w:val="single" w:color="auto"/>
            <w:color w:val="0000FF"/>
          </w:rPr>
          <w:t>as Documentation Agent and PNC Bank National Association, as Green Loan Coordinator (Incorporated by reference to Great Lakes Dredge &amp; Dock Corporation’s Current Report on Form 8-K filed with</w:t>
        </w:r>
      </w:hyperlink>
      <w:r>
        <w:rPr>
          <w:rFonts w:ascii="Times New Roman" w:cs="Times New Roman" w:eastAsia="Times New Roman" w:hAnsi="Times New Roman"/>
          <w:sz w:val="12"/>
          <w:szCs w:val="12"/>
          <w:u w:val="single" w:color="auto"/>
          <w:color w:val="0000FF"/>
        </w:rPr>
        <w:t xml:space="preserve"> </w:t>
      </w:r>
      <w:hyperlink r:id="rId429">
        <w:r>
          <w:rPr>
            <w:rFonts w:ascii="Times New Roman" w:cs="Times New Roman" w:eastAsia="Times New Roman" w:hAnsi="Times New Roman"/>
            <w:sz w:val="12"/>
            <w:szCs w:val="12"/>
            <w:u w:val="single" w:color="auto"/>
            <w:color w:val="0000FF"/>
          </w:rPr>
          <w:t>the Commission on August 1, 2022)</w:t>
        </w:r>
        <w:r>
          <w:rPr>
            <w:rFonts w:ascii="Times New Roman" w:cs="Times New Roman" w:eastAsia="Times New Roman" w:hAnsi="Times New Roman"/>
            <w:sz w:val="12"/>
            <w:szCs w:val="12"/>
            <w:color w:val="000000"/>
          </w:rPr>
          <w:t>.</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611759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611759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-295910</wp:posOffset>
            </wp:positionV>
            <wp:extent cx="609790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609790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-204470</wp:posOffset>
            </wp:positionV>
            <wp:extent cx="622935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622935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-113030</wp:posOffset>
            </wp:positionV>
            <wp:extent cx="622935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622935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-21590</wp:posOffset>
            </wp:positionV>
            <wp:extent cx="110426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1104265" cy="5715"/>
                    </a:xfrm>
                    <a:prstGeom prst="rect">
                      <a:avLst/>
                    </a:prstGeom>
                    <a:noFill/>
                  </pic:spPr>
                </pic:pic>
              </a:graphicData>
            </a:graphic>
          </wp:anchor>
        </w:drawing>
      </w:r>
    </w:p>
    <w:p>
      <w:pPr>
        <w:spacing w:after="0" w:line="52" w:lineRule="exact"/>
        <w:rPr>
          <w:rFonts w:ascii="Times New Roman" w:cs="Times New Roman" w:eastAsia="Times New Roman" w:hAnsi="Times New Roman"/>
          <w:sz w:val="12"/>
          <w:szCs w:val="12"/>
          <w:u w:val="single" w:color="auto"/>
          <w:color w:val="0000FF"/>
        </w:rPr>
      </w:pPr>
    </w:p>
    <w:p>
      <w:pPr>
        <w:sectPr>
          <w:pgSz w:w="11900" w:h="16838" w:orient="portrait"/>
          <w:cols w:equalWidth="0" w:num="2">
            <w:col w:w="760" w:space="720"/>
            <w:col w:w="9820"/>
          </w:cols>
          <w:pgMar w:left="300" w:top="701" w:right="2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8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96"/>
              </w:rPr>
            </w:pPr>
            <w:hyperlink r:id="rId450">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18</w:t>
              </w:r>
            </w:hyperlink>
          </w:p>
        </w:tc>
        <w:tc>
          <w:tcPr>
            <w:tcW w:w="1200" w:type="dxa"/>
            <w:vAlign w:val="bottom"/>
          </w:tcPr>
          <w:p>
            <w:pPr>
              <w:spacing w:after="0"/>
              <w:rPr>
                <w:sz w:val="12"/>
                <w:szCs w:val="12"/>
                <w:color w:val="auto"/>
              </w:rPr>
            </w:pPr>
          </w:p>
        </w:tc>
        <w:tc>
          <w:tcPr>
            <w:tcW w:w="9800" w:type="dxa"/>
            <w:vAlign w:val="bottom"/>
            <w:tcBorders>
              <w:bottom w:val="single" w:sz="8" w:color="0000FF"/>
            </w:tcBorders>
            <w:gridSpan w:val="8"/>
          </w:tcPr>
          <w:p>
            <w:pPr>
              <w:spacing w:after="0"/>
              <w:rPr>
                <w:rFonts w:ascii="Times New Roman" w:cs="Times New Roman" w:eastAsia="Times New Roman" w:hAnsi="Times New Roman"/>
                <w:sz w:val="12"/>
                <w:szCs w:val="12"/>
                <w:color w:val="0000FF"/>
                <w:w w:val="99"/>
              </w:rPr>
            </w:pPr>
            <w:hyperlink r:id="rId450">
              <w:r>
                <w:rPr>
                  <w:rFonts w:ascii="Times New Roman" w:cs="Times New Roman" w:eastAsia="Times New Roman" w:hAnsi="Times New Roman"/>
                  <w:sz w:val="12"/>
                  <w:szCs w:val="12"/>
                  <w:color w:val="0000FF"/>
                  <w:w w:val="99"/>
                </w:rPr>
                <w:t>Vessel Construction Agreement, dated June 5, 2020 by and between Conrad Shipyard, L.L.C., and Great Lakes Dredge &amp; Dock Company, LLC. (Incorporated by reference to Great Lakes Dredge &amp; Dock</w:t>
              </w:r>
            </w:hyperlink>
          </w:p>
        </w:tc>
        <w:tc>
          <w:tcPr>
            <w:tcW w:w="20" w:type="dxa"/>
            <w:vAlign w:val="bottom"/>
          </w:tcPr>
          <w:p>
            <w:pPr>
              <w:spacing w:after="0"/>
              <w:rPr>
                <w:sz w:val="12"/>
                <w:szCs w:val="12"/>
                <w:color w:val="auto"/>
              </w:rPr>
            </w:pPr>
          </w:p>
        </w:tc>
      </w:tr>
      <w:tr>
        <w:trPr>
          <w:trHeight w:val="124"/>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820" w:type="dxa"/>
            <w:vAlign w:val="bottom"/>
            <w:gridSpan w:val="9"/>
          </w:tcPr>
          <w:p>
            <w:pPr>
              <w:spacing w:after="0" w:line="124" w:lineRule="exact"/>
              <w:rPr>
                <w:rFonts w:ascii="Times New Roman" w:cs="Times New Roman" w:eastAsia="Times New Roman" w:hAnsi="Times New Roman"/>
                <w:sz w:val="12"/>
                <w:szCs w:val="12"/>
                <w:color w:val="0000FF"/>
              </w:rPr>
            </w:pPr>
            <w:hyperlink r:id="rId450">
              <w:r>
                <w:rPr>
                  <w:rFonts w:ascii="Times New Roman" w:cs="Times New Roman" w:eastAsia="Times New Roman" w:hAnsi="Times New Roman"/>
                  <w:sz w:val="12"/>
                  <w:szCs w:val="12"/>
                  <w:color w:val="0000FF"/>
                </w:rPr>
                <w:t>Corporation’s Quarterly Report on Form 10-Q filed with the Commission on August 4, 2020). (1)</w:t>
              </w:r>
            </w:hyperlink>
          </w:p>
        </w:tc>
      </w:tr>
      <w:tr>
        <w:trPr>
          <w:trHeight w:val="20"/>
        </w:trPr>
        <w:tc>
          <w:tcPr>
            <w:tcW w:w="1480" w:type="dxa"/>
            <w:vAlign w:val="bottom"/>
            <w:gridSpan w:val="2"/>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5"/>
        </w:trPr>
        <w:tc>
          <w:tcPr>
            <w:tcW w:w="28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96"/>
              </w:rPr>
            </w:pPr>
            <w:hyperlink r:id="rId451">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19</w:t>
              </w:r>
            </w:hyperlink>
          </w:p>
        </w:tc>
        <w:tc>
          <w:tcPr>
            <w:tcW w:w="1200" w:type="dxa"/>
            <w:vAlign w:val="bottom"/>
          </w:tcPr>
          <w:p>
            <w:pPr>
              <w:spacing w:after="0"/>
              <w:rPr>
                <w:sz w:val="17"/>
                <w:szCs w:val="17"/>
                <w:color w:val="auto"/>
              </w:rPr>
            </w:pPr>
          </w:p>
        </w:tc>
        <w:tc>
          <w:tcPr>
            <w:tcW w:w="9640" w:type="dxa"/>
            <w:vAlign w:val="bottom"/>
            <w:tcBorders>
              <w:bottom w:val="single" w:sz="8" w:color="0000FF"/>
            </w:tcBorders>
            <w:gridSpan w:val="5"/>
          </w:tcPr>
          <w:p>
            <w:pPr>
              <w:spacing w:after="0"/>
              <w:rPr>
                <w:rFonts w:ascii="Times New Roman" w:cs="Times New Roman" w:eastAsia="Times New Roman" w:hAnsi="Times New Roman"/>
                <w:sz w:val="12"/>
                <w:szCs w:val="12"/>
                <w:color w:val="0000FF"/>
                <w:w w:val="99"/>
              </w:rPr>
            </w:pPr>
            <w:hyperlink r:id="rId451">
              <w:r>
                <w:rPr>
                  <w:rFonts w:ascii="Times New Roman" w:cs="Times New Roman" w:eastAsia="Times New Roman" w:hAnsi="Times New Roman"/>
                  <w:sz w:val="12"/>
                  <w:szCs w:val="12"/>
                  <w:color w:val="0000FF"/>
                  <w:w w:val="99"/>
                </w:rPr>
                <w:t>Vessel Construction Agreement, dated November 15, 2021 by and between Philly Shipyard Inc., and Great Lakes Dredge &amp; Dock Company, LLC. (Incorporated by reference to Great Lakes Dredge &amp;</w:t>
              </w:r>
            </w:hyperlink>
          </w:p>
        </w:tc>
        <w:tc>
          <w:tcPr>
            <w:tcW w:w="180" w:type="dxa"/>
            <w:vAlign w:val="bottom"/>
            <w:gridSpan w:val="4"/>
          </w:tcPr>
          <w:p>
            <w:pPr>
              <w:spacing w:after="0"/>
              <w:rPr>
                <w:sz w:val="17"/>
                <w:szCs w:val="17"/>
                <w:color w:val="auto"/>
              </w:rPr>
            </w:pPr>
          </w:p>
        </w:tc>
      </w:tr>
      <w:tr>
        <w:trPr>
          <w:trHeight w:val="124"/>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4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FF"/>
                <w:w w:val="99"/>
              </w:rPr>
            </w:pPr>
            <w:hyperlink r:id="rId451">
              <w:r>
                <w:rPr>
                  <w:rFonts w:ascii="Times New Roman" w:cs="Times New Roman" w:eastAsia="Times New Roman" w:hAnsi="Times New Roman"/>
                  <w:sz w:val="12"/>
                  <w:szCs w:val="12"/>
                  <w:color w:val="0000FF"/>
                  <w:w w:val="99"/>
                </w:rPr>
                <w:t>Dock Corporation’s Annual Report on Form 10-K filed with the Commission on February 23, 2022). (1)</w:t>
              </w:r>
            </w:hyperlink>
          </w:p>
        </w:tc>
        <w:tc>
          <w:tcPr>
            <w:tcW w:w="4780" w:type="dxa"/>
            <w:vAlign w:val="bottom"/>
            <w:gridSpan w:val="5"/>
          </w:tcPr>
          <w:p>
            <w:pPr>
              <w:spacing w:after="0"/>
              <w:rPr>
                <w:sz w:val="10"/>
                <w:szCs w:val="10"/>
                <w:color w:val="auto"/>
              </w:rPr>
            </w:pPr>
          </w:p>
        </w:tc>
      </w:tr>
      <w:tr>
        <w:trPr>
          <w:trHeight w:val="205"/>
        </w:trPr>
        <w:tc>
          <w:tcPr>
            <w:tcW w:w="28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96"/>
              </w:rPr>
            </w:pPr>
            <w:hyperlink r:id="rId452">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20</w:t>
              </w:r>
            </w:hyperlink>
          </w:p>
        </w:tc>
        <w:tc>
          <w:tcPr>
            <w:tcW w:w="120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rPr>
                <w:rFonts w:ascii="Times New Roman" w:cs="Times New Roman" w:eastAsia="Times New Roman" w:hAnsi="Times New Roman"/>
                <w:sz w:val="12"/>
                <w:szCs w:val="12"/>
                <w:color w:val="0000FF"/>
                <w:w w:val="99"/>
              </w:rPr>
            </w:pPr>
            <w:hyperlink r:id="rId452">
              <w:r>
                <w:rPr>
                  <w:rFonts w:ascii="Times New Roman" w:cs="Times New Roman" w:eastAsia="Times New Roman" w:hAnsi="Times New Roman"/>
                  <w:sz w:val="12"/>
                  <w:szCs w:val="12"/>
                  <w:color w:val="0000FF"/>
                  <w:w w:val="99"/>
                </w:rPr>
                <w:t>Consulting Agreement, dated December 1, 2022, between Great Lakes Dredge &amp; Dock Company, LLC and David E. Simonelli. (Incorporated by reference to Great Lakes Dredge &amp; Dock Corporation’s</w:t>
              </w:r>
            </w:hyperlink>
          </w:p>
        </w:tc>
        <w:tc>
          <w:tcPr>
            <w:tcW w:w="100" w:type="dxa"/>
            <w:vAlign w:val="bottom"/>
            <w:gridSpan w:val="3"/>
          </w:tcPr>
          <w:p>
            <w:pPr>
              <w:spacing w:after="0"/>
              <w:rPr>
                <w:sz w:val="17"/>
                <w:szCs w:val="17"/>
                <w:color w:val="auto"/>
              </w:rPr>
            </w:pPr>
          </w:p>
        </w:tc>
      </w:tr>
      <w:tr>
        <w:trPr>
          <w:trHeight w:val="124"/>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700" w:type="dxa"/>
            <w:vAlign w:val="bottom"/>
            <w:tcBorders>
              <w:bottom w:val="single" w:sz="8" w:color="0000FF"/>
            </w:tcBorders>
          </w:tcPr>
          <w:p>
            <w:pPr>
              <w:spacing w:after="0" w:line="124" w:lineRule="exact"/>
              <w:rPr>
                <w:rFonts w:ascii="Times New Roman" w:cs="Times New Roman" w:eastAsia="Times New Roman" w:hAnsi="Times New Roman"/>
                <w:sz w:val="12"/>
                <w:szCs w:val="12"/>
                <w:color w:val="0000FF"/>
                <w:w w:val="99"/>
              </w:rPr>
            </w:pPr>
            <w:hyperlink r:id="rId452">
              <w:r>
                <w:rPr>
                  <w:rFonts w:ascii="Times New Roman" w:cs="Times New Roman" w:eastAsia="Times New Roman" w:hAnsi="Times New Roman"/>
                  <w:sz w:val="12"/>
                  <w:szCs w:val="12"/>
                  <w:color w:val="0000FF"/>
                  <w:w w:val="99"/>
                </w:rPr>
                <w:t>Quarterly Report on Form 10-Q filed with the Commission on May 2, 2023).</w:t>
              </w:r>
            </w:hyperlink>
          </w:p>
        </w:tc>
        <w:tc>
          <w:tcPr>
            <w:tcW w:w="20" w:type="dxa"/>
            <w:vAlign w:val="bottom"/>
            <w:tcBorders>
              <w:bottom w:val="single" w:sz="8" w:color="0000EE"/>
            </w:tcBorders>
          </w:tcPr>
          <w:p>
            <w:pPr>
              <w:spacing w:after="0"/>
              <w:rPr>
                <w:sz w:val="10"/>
                <w:szCs w:val="10"/>
                <w:color w:val="auto"/>
              </w:rPr>
            </w:pPr>
          </w:p>
        </w:tc>
        <w:tc>
          <w:tcPr>
            <w:tcW w:w="6100" w:type="dxa"/>
            <w:vAlign w:val="bottom"/>
            <w:gridSpan w:val="7"/>
          </w:tcPr>
          <w:p>
            <w:pPr>
              <w:spacing w:after="0"/>
              <w:rPr>
                <w:sz w:val="10"/>
                <w:szCs w:val="10"/>
                <w:color w:val="auto"/>
              </w:rPr>
            </w:pPr>
          </w:p>
        </w:tc>
      </w:tr>
      <w:tr>
        <w:trPr>
          <w:trHeight w:val="205"/>
        </w:trPr>
        <w:tc>
          <w:tcPr>
            <w:tcW w:w="1480" w:type="dxa"/>
            <w:vAlign w:val="bottom"/>
            <w:gridSpan w:val="2"/>
          </w:tcPr>
          <w:p>
            <w:pPr>
              <w:jc w:val="right"/>
              <w:ind w:right="1200"/>
              <w:spacing w:after="0"/>
              <w:rPr>
                <w:rFonts w:ascii="Times New Roman" w:cs="Times New Roman" w:eastAsia="Times New Roman" w:hAnsi="Times New Roman"/>
                <w:sz w:val="12"/>
                <w:szCs w:val="12"/>
                <w:color w:val="0000FF"/>
                <w:w w:val="96"/>
              </w:rPr>
            </w:pPr>
            <w:hyperlink r:id="rId452">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21</w:t>
              </w:r>
            </w:hyperlink>
          </w:p>
        </w:tc>
        <w:tc>
          <w:tcPr>
            <w:tcW w:w="9820" w:type="dxa"/>
            <w:vAlign w:val="bottom"/>
            <w:gridSpan w:val="9"/>
          </w:tcPr>
          <w:p>
            <w:pPr>
              <w:spacing w:after="0"/>
              <w:rPr>
                <w:rFonts w:ascii="Times New Roman" w:cs="Times New Roman" w:eastAsia="Times New Roman" w:hAnsi="Times New Roman"/>
                <w:sz w:val="12"/>
                <w:szCs w:val="12"/>
                <w:color w:val="0000FF"/>
              </w:rPr>
            </w:pPr>
            <w:hyperlink r:id="rId453">
              <w:r>
                <w:rPr>
                  <w:rFonts w:ascii="Times New Roman" w:cs="Times New Roman" w:eastAsia="Times New Roman" w:hAnsi="Times New Roman"/>
                  <w:sz w:val="12"/>
                  <w:szCs w:val="12"/>
                  <w:color w:val="0000FF"/>
                </w:rPr>
                <w:t>Second Lien Credit Agreement, dated April 24, 2024. (Incorporated by reference to Great Lakes Dredge &amp; Dock Corporation’s Current Report on Form 8-K filed with the Commission on April 25, 2024).</w:t>
              </w:r>
            </w:hyperlink>
          </w:p>
        </w:tc>
      </w:tr>
      <w:tr>
        <w:trPr>
          <w:trHeight w:val="295"/>
        </w:trPr>
        <w:tc>
          <w:tcPr>
            <w:tcW w:w="28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4700" w:type="dxa"/>
            <w:vAlign w:val="bottom"/>
            <w:tcBorders>
              <w:top w:val="single" w:sz="8" w:color="0000FF"/>
            </w:tcBorders>
            <w:gridSpan w:val="3"/>
          </w:tcPr>
          <w:p>
            <w:pPr>
              <w:ind w:left="4100"/>
              <w:spacing w:after="0"/>
              <w:rPr>
                <w:sz w:val="20"/>
                <w:szCs w:val="20"/>
                <w:color w:val="auto"/>
              </w:rPr>
            </w:pPr>
            <w:r>
              <w:rPr>
                <w:rFonts w:ascii="Times New Roman" w:cs="Times New Roman" w:eastAsia="Times New Roman" w:hAnsi="Times New Roman"/>
                <w:sz w:val="12"/>
                <w:szCs w:val="12"/>
                <w:color w:val="auto"/>
              </w:rPr>
              <w:t>81</w:t>
            </w:r>
          </w:p>
        </w:tc>
        <w:tc>
          <w:tcPr>
            <w:tcW w:w="340" w:type="dxa"/>
            <w:vAlign w:val="bottom"/>
            <w:tcBorders>
              <w:top w:val="single" w:sz="8" w:color="0000FF"/>
            </w:tcBorders>
          </w:tcPr>
          <w:p>
            <w:pPr>
              <w:spacing w:after="0"/>
              <w:rPr>
                <w:sz w:val="24"/>
                <w:szCs w:val="24"/>
                <w:color w:val="auto"/>
              </w:rPr>
            </w:pPr>
          </w:p>
        </w:tc>
        <w:tc>
          <w:tcPr>
            <w:tcW w:w="4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4"/>
        </w:trPr>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type w:val="continuous"/>
        </w:sectPr>
      </w:pPr>
    </w:p>
    <w:bookmarkStart w:id="83" w:name="page84"/>
    <w:bookmarkEnd w:id="83"/>
    <w:p>
      <w:pPr>
        <w:ind w:left="460"/>
        <w:spacing w:after="0"/>
        <w:tabs>
          <w:tab w:leader="none" w:pos="5780" w:val="left"/>
        </w:tabs>
        <w:rPr>
          <w:sz w:val="20"/>
          <w:szCs w:val="20"/>
          <w:color w:val="auto"/>
        </w:rPr>
      </w:pPr>
      <w:r>
        <w:rPr>
          <w:rFonts w:ascii="Times New Roman" w:cs="Times New Roman" w:eastAsia="Times New Roman" w:hAnsi="Times New Roman"/>
          <w:sz w:val="12"/>
          <w:szCs w:val="12"/>
          <w:b w:val="1"/>
          <w:bCs w:val="1"/>
          <w:color w:val="auto"/>
        </w:rPr>
        <w:t>Number</w:t>
      </w:r>
      <w:r>
        <w:rPr>
          <w:sz w:val="20"/>
          <w:szCs w:val="20"/>
          <w:color w:val="auto"/>
        </w:rPr>
        <w:tab/>
      </w:r>
      <w:r>
        <w:rPr>
          <w:rFonts w:ascii="Times New Roman" w:cs="Times New Roman" w:eastAsia="Times New Roman" w:hAnsi="Times New Roman"/>
          <w:sz w:val="12"/>
          <w:szCs w:val="12"/>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Borders>
              <w:bottom w:val="single" w:sz="8" w:color="0000FF"/>
            </w:tcBorders>
            <w:gridSpan w:val="4"/>
          </w:tcPr>
          <w:p>
            <w:pPr>
              <w:spacing w:after="0"/>
              <w:rPr>
                <w:rFonts w:ascii="Times New Roman" w:cs="Times New Roman" w:eastAsia="Times New Roman" w:hAnsi="Times New Roman"/>
                <w:sz w:val="12"/>
                <w:szCs w:val="12"/>
                <w:color w:val="0000FF"/>
                <w:w w:val="96"/>
              </w:rPr>
            </w:pPr>
            <w:hyperlink r:id="rId457">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22</w:t>
              </w:r>
            </w:hyperlink>
          </w:p>
        </w:tc>
        <w:tc>
          <w:tcPr>
            <w:tcW w:w="1200" w:type="dxa"/>
            <w:vAlign w:val="bottom"/>
          </w:tcPr>
          <w:p>
            <w:pPr>
              <w:spacing w:after="0"/>
              <w:rPr>
                <w:sz w:val="12"/>
                <w:szCs w:val="12"/>
                <w:color w:val="auto"/>
              </w:rPr>
            </w:pPr>
          </w:p>
        </w:tc>
        <w:tc>
          <w:tcPr>
            <w:tcW w:w="9640" w:type="dxa"/>
            <w:vAlign w:val="bottom"/>
            <w:tcBorders>
              <w:bottom w:val="single" w:sz="8" w:color="0000FF"/>
            </w:tcBorders>
            <w:gridSpan w:val="8"/>
          </w:tcPr>
          <w:p>
            <w:pPr>
              <w:spacing w:after="0"/>
              <w:rPr>
                <w:rFonts w:ascii="Times New Roman" w:cs="Times New Roman" w:eastAsia="Times New Roman" w:hAnsi="Times New Roman"/>
                <w:sz w:val="12"/>
                <w:szCs w:val="12"/>
                <w:color w:val="0000FF"/>
              </w:rPr>
            </w:pPr>
            <w:hyperlink r:id="rId457">
              <w:r>
                <w:rPr>
                  <w:rFonts w:ascii="Times New Roman" w:cs="Times New Roman" w:eastAsia="Times New Roman" w:hAnsi="Times New Roman"/>
                  <w:sz w:val="12"/>
                  <w:szCs w:val="12"/>
                  <w:color w:val="0000FF"/>
                </w:rPr>
                <w:t>Amendment No. 1 to Second Amended and Restated Revolving Credit and Security Agreement, dated April 24, 2024. (Incorporated by reference to Great Lakes Dredge &amp; Dock Corporation’s Current</w:t>
              </w:r>
            </w:hyperlink>
          </w:p>
        </w:tc>
        <w:tc>
          <w:tcPr>
            <w:tcW w:w="160" w:type="dxa"/>
            <w:vAlign w:val="bottom"/>
          </w:tcPr>
          <w:p>
            <w:pPr>
              <w:spacing w:after="0"/>
              <w:rPr>
                <w:sz w:val="12"/>
                <w:szCs w:val="12"/>
                <w:color w:val="auto"/>
              </w:rPr>
            </w:pPr>
          </w:p>
        </w:tc>
      </w:tr>
      <w:tr>
        <w:trPr>
          <w:trHeight w:val="124"/>
        </w:trPr>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40" w:type="dxa"/>
            <w:vAlign w:val="bottom"/>
            <w:tcBorders>
              <w:bottom w:val="single" w:sz="8" w:color="0000FF"/>
            </w:tcBorders>
            <w:gridSpan w:val="5"/>
          </w:tcPr>
          <w:p>
            <w:pPr>
              <w:spacing w:after="0" w:line="124" w:lineRule="exact"/>
              <w:rPr>
                <w:rFonts w:ascii="Times New Roman" w:cs="Times New Roman" w:eastAsia="Times New Roman" w:hAnsi="Times New Roman"/>
                <w:sz w:val="12"/>
                <w:szCs w:val="12"/>
                <w:color w:val="0000FF"/>
                <w:w w:val="99"/>
              </w:rPr>
            </w:pPr>
            <w:hyperlink r:id="rId457">
              <w:r>
                <w:rPr>
                  <w:rFonts w:ascii="Times New Roman" w:cs="Times New Roman" w:eastAsia="Times New Roman" w:hAnsi="Times New Roman"/>
                  <w:sz w:val="12"/>
                  <w:szCs w:val="12"/>
                  <w:color w:val="0000FF"/>
                  <w:w w:val="99"/>
                </w:rPr>
                <w:t>Report on Form 8-K filed with the Commission on April 25, 2024).</w:t>
              </w:r>
            </w:hyperlink>
          </w:p>
        </w:tc>
        <w:tc>
          <w:tcPr>
            <w:tcW w:w="6560" w:type="dxa"/>
            <w:vAlign w:val="bottom"/>
            <w:gridSpan w:val="4"/>
          </w:tcPr>
          <w:p>
            <w:pPr>
              <w:spacing w:after="0"/>
              <w:rPr>
                <w:sz w:val="10"/>
                <w:szCs w:val="10"/>
                <w:color w:val="auto"/>
              </w:rPr>
            </w:pPr>
          </w:p>
        </w:tc>
      </w:tr>
      <w:tr>
        <w:trPr>
          <w:trHeight w:val="205"/>
        </w:trPr>
        <w:tc>
          <w:tcPr>
            <w:tcW w:w="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82"/>
              </w:rPr>
              <w:t>19</w:t>
            </w:r>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Great Lakes Dredge &amp; Dock Corporation Insider Trading Policy. *</w:t>
            </w:r>
          </w:p>
        </w:tc>
        <w:tc>
          <w:tcPr>
            <w:tcW w:w="6580" w:type="dxa"/>
            <w:vAlign w:val="bottom"/>
            <w:gridSpan w:val="5"/>
          </w:tcPr>
          <w:p>
            <w:pPr>
              <w:spacing w:after="0"/>
              <w:rPr>
                <w:sz w:val="17"/>
                <w:szCs w:val="17"/>
                <w:color w:val="auto"/>
              </w:rPr>
            </w:pPr>
          </w:p>
        </w:tc>
      </w:tr>
      <w:tr>
        <w:trPr>
          <w:trHeight w:val="205"/>
        </w:trPr>
        <w:tc>
          <w:tcPr>
            <w:tcW w:w="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82"/>
              </w:rPr>
              <w:t>21</w:t>
            </w:r>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Subsidiaries of Great Lakes Dredge &amp; Dock Corporation. *</w:t>
            </w:r>
          </w:p>
        </w:tc>
        <w:tc>
          <w:tcPr>
            <w:tcW w:w="6940" w:type="dxa"/>
            <w:vAlign w:val="bottom"/>
            <w:gridSpan w:val="7"/>
          </w:tcPr>
          <w:p>
            <w:pPr>
              <w:spacing w:after="0"/>
              <w:rPr>
                <w:sz w:val="17"/>
                <w:szCs w:val="17"/>
                <w:color w:val="auto"/>
              </w:rPr>
            </w:pPr>
          </w:p>
        </w:tc>
      </w:tr>
      <w:tr>
        <w:trPr>
          <w:trHeight w:val="205"/>
        </w:trPr>
        <w:tc>
          <w:tcPr>
            <w:tcW w:w="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85"/>
              </w:rPr>
              <w:t>23.</w:t>
            </w:r>
            <w:r>
              <w:rPr>
                <w:rFonts w:ascii="Times New Roman" w:cs="Times New Roman" w:eastAsia="Times New Roman" w:hAnsi="Times New Roman"/>
                <w:sz w:val="12"/>
                <w:szCs w:val="12"/>
                <w:u w:val="single" w:color="auto"/>
                <w:color w:val="0000FF"/>
                <w:w w:val="85"/>
              </w:rPr>
              <w:t>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Consent of Deloitte &amp; Touche LLP. *</w:t>
            </w:r>
          </w:p>
        </w:tc>
        <w:tc>
          <w:tcPr>
            <w:tcW w:w="7980" w:type="dxa"/>
            <w:vAlign w:val="bottom"/>
            <w:gridSpan w:val="8"/>
          </w:tcPr>
          <w:p>
            <w:pPr>
              <w:spacing w:after="0"/>
              <w:rPr>
                <w:sz w:val="17"/>
                <w:szCs w:val="17"/>
                <w:color w:val="auto"/>
              </w:rPr>
            </w:pPr>
          </w:p>
        </w:tc>
      </w:tr>
      <w:tr>
        <w:trPr>
          <w:trHeight w:val="205"/>
        </w:trPr>
        <w:tc>
          <w:tcPr>
            <w:tcW w:w="2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85"/>
              </w:rPr>
              <w:t>31.</w:t>
            </w:r>
            <w:r>
              <w:rPr>
                <w:rFonts w:ascii="Times New Roman" w:cs="Times New Roman" w:eastAsia="Times New Roman" w:hAnsi="Times New Roman"/>
                <w:sz w:val="12"/>
                <w:szCs w:val="12"/>
                <w:u w:val="single" w:color="auto"/>
                <w:color w:val="0000FF"/>
                <w:w w:val="85"/>
              </w:rPr>
              <w:t>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2"/>
                <w:szCs w:val="12"/>
                <w:color w:val="0000FF"/>
              </w:rPr>
              <w:t>Certification Pursuant to Rules 13a-14 and 15d-14 under the Securities Exchange Act of 1934, as Adopted Pursuant to Section 302 of the Sarbanes-Oxley Act of 2002. *</w:t>
            </w:r>
          </w:p>
        </w:tc>
      </w:tr>
      <w:tr>
        <w:trPr>
          <w:trHeight w:val="20"/>
        </w:trPr>
        <w:tc>
          <w:tcPr>
            <w:tcW w:w="2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205"/>
        </w:trPr>
        <w:tc>
          <w:tcPr>
            <w:tcW w:w="2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85"/>
              </w:rPr>
              <w:t>31.</w:t>
            </w:r>
            <w:r>
              <w:rPr>
                <w:rFonts w:ascii="Times New Roman" w:cs="Times New Roman" w:eastAsia="Times New Roman" w:hAnsi="Times New Roman"/>
                <w:sz w:val="12"/>
                <w:szCs w:val="12"/>
                <w:u w:val="single" w:color="auto"/>
                <w:color w:val="0000FF"/>
                <w:w w:val="85"/>
              </w:rPr>
              <w:t>2</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2"/>
                <w:szCs w:val="12"/>
                <w:color w:val="0000FF"/>
              </w:rPr>
              <w:t>Certification Pursuant to Rules 13a-14 and 15d-14 under the Securities Exchange Act of 1934, as Adopted Pursuant to Section 302 of the Sarbanes-Oxley Act of 2002. *</w:t>
            </w:r>
          </w:p>
        </w:tc>
      </w:tr>
      <w:tr>
        <w:trPr>
          <w:trHeight w:val="205"/>
        </w:trPr>
        <w:tc>
          <w:tcPr>
            <w:tcW w:w="2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85"/>
              </w:rPr>
              <w:t>32.</w:t>
            </w:r>
            <w:r>
              <w:rPr>
                <w:rFonts w:ascii="Times New Roman" w:cs="Times New Roman" w:eastAsia="Times New Roman" w:hAnsi="Times New Roman"/>
                <w:sz w:val="12"/>
                <w:szCs w:val="12"/>
                <w:u w:val="single" w:color="auto"/>
                <w:color w:val="0000FF"/>
                <w:w w:val="85"/>
              </w:rPr>
              <w:t>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rPr>
              <w:t>Certification Pursuant to 18 U.S.C. Section 1350, as Adopted Pursuant to Section 906 of the Sarbanes-Oxley Act of 2002. *</w:t>
            </w:r>
          </w:p>
        </w:tc>
        <w:tc>
          <w:tcPr>
            <w:tcW w:w="1700" w:type="dxa"/>
            <w:vAlign w:val="bottom"/>
            <w:gridSpan w:val="2"/>
          </w:tcPr>
          <w:p>
            <w:pPr>
              <w:spacing w:after="0"/>
              <w:rPr>
                <w:sz w:val="17"/>
                <w:szCs w:val="17"/>
                <w:color w:val="auto"/>
              </w:rPr>
            </w:pPr>
          </w:p>
        </w:tc>
      </w:tr>
      <w:tr>
        <w:trPr>
          <w:trHeight w:val="20"/>
        </w:trPr>
        <w:tc>
          <w:tcPr>
            <w:tcW w:w="2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05"/>
        </w:trPr>
        <w:tc>
          <w:tcPr>
            <w:tcW w:w="2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85"/>
              </w:rPr>
              <w:t>32.</w:t>
            </w:r>
            <w:r>
              <w:rPr>
                <w:rFonts w:ascii="Times New Roman" w:cs="Times New Roman" w:eastAsia="Times New Roman" w:hAnsi="Times New Roman"/>
                <w:sz w:val="12"/>
                <w:szCs w:val="12"/>
                <w:u w:val="single" w:color="auto"/>
                <w:color w:val="0000FF"/>
                <w:w w:val="85"/>
              </w:rPr>
              <w:t>2</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2"/>
                <w:szCs w:val="12"/>
                <w:color w:val="0000FF"/>
              </w:rPr>
              <w:t>Certification Pursuant to 18 U.S.C. Section 1350, as Adopted Pursuant to Section 906 of the Sarbanes-Oxley Act of 2002. *</w:t>
            </w:r>
          </w:p>
        </w:tc>
      </w:tr>
      <w:tr>
        <w:trPr>
          <w:trHeight w:val="20"/>
        </w:trPr>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05"/>
        </w:trPr>
        <w:tc>
          <w:tcPr>
            <w:tcW w:w="140" w:type="dxa"/>
            <w:vAlign w:val="bottom"/>
            <w:gridSpan w:val="2"/>
          </w:tcPr>
          <w:p>
            <w:pPr>
              <w:spacing w:after="0"/>
              <w:rPr>
                <w:rFonts w:ascii="Times New Roman" w:cs="Times New Roman" w:eastAsia="Times New Roman" w:hAnsi="Times New Roman"/>
                <w:sz w:val="12"/>
                <w:szCs w:val="12"/>
                <w:color w:val="0000FF"/>
                <w:w w:val="99"/>
              </w:rPr>
            </w:pPr>
            <w:hyperlink r:id="rId458">
              <w:r>
                <w:rPr>
                  <w:rFonts w:ascii="Times New Roman" w:cs="Times New Roman" w:eastAsia="Times New Roman" w:hAnsi="Times New Roman"/>
                  <w:sz w:val="12"/>
                  <w:szCs w:val="12"/>
                  <w:color w:val="0000FF"/>
                  <w:w w:val="99"/>
                </w:rPr>
                <w:t>97</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0" w:type="dxa"/>
            <w:vAlign w:val="bottom"/>
            <w:gridSpan w:val="9"/>
          </w:tcPr>
          <w:p>
            <w:pPr>
              <w:spacing w:after="0"/>
              <w:rPr>
                <w:rFonts w:ascii="Times New Roman" w:cs="Times New Roman" w:eastAsia="Times New Roman" w:hAnsi="Times New Roman"/>
                <w:sz w:val="12"/>
                <w:szCs w:val="12"/>
                <w:color w:val="0000FF"/>
                <w:w w:val="99"/>
              </w:rPr>
            </w:pPr>
            <w:hyperlink r:id="rId458">
              <w:r>
                <w:rPr>
                  <w:rFonts w:ascii="Times New Roman" w:cs="Times New Roman" w:eastAsia="Times New Roman" w:hAnsi="Times New Roman"/>
                  <w:sz w:val="12"/>
                  <w:szCs w:val="12"/>
                  <w:color w:val="0000FF"/>
                  <w:w w:val="99"/>
                </w:rPr>
                <w:t>Great Lakes Dredge &amp; Dock Corporation Statement of Policy Regarding Incentive Compensation Recoupment. (Incorporated by reference to Great Lakes Dredge &amp; Dock Corporation’s Annual Report on</w:t>
              </w:r>
            </w:hyperlink>
          </w:p>
        </w:tc>
      </w:tr>
      <w:tr>
        <w:trPr>
          <w:trHeight w:val="124"/>
        </w:trPr>
        <w:tc>
          <w:tcPr>
            <w:tcW w:w="1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800" w:type="dxa"/>
            <w:vAlign w:val="bottom"/>
            <w:tcBorders>
              <w:top w:val="single" w:sz="8" w:color="0000FF"/>
            </w:tcBorders>
            <w:gridSpan w:val="9"/>
          </w:tcPr>
          <w:p>
            <w:pPr>
              <w:spacing w:after="0" w:line="124" w:lineRule="exact"/>
              <w:rPr>
                <w:rFonts w:ascii="Times New Roman" w:cs="Times New Roman" w:eastAsia="Times New Roman" w:hAnsi="Times New Roman"/>
                <w:sz w:val="12"/>
                <w:szCs w:val="12"/>
                <w:color w:val="0000FF"/>
              </w:rPr>
            </w:pPr>
            <w:hyperlink r:id="rId458">
              <w:r>
                <w:rPr>
                  <w:rFonts w:ascii="Times New Roman" w:cs="Times New Roman" w:eastAsia="Times New Roman" w:hAnsi="Times New Roman"/>
                  <w:sz w:val="12"/>
                  <w:szCs w:val="12"/>
                  <w:color w:val="0000FF"/>
                </w:rPr>
                <w:t>Form 10-K filed with the Commission on February 16, 2024)</w:t>
              </w:r>
            </w:hyperlink>
          </w:p>
        </w:tc>
      </w:tr>
      <w:tr>
        <w:trPr>
          <w:trHeight w:val="232"/>
        </w:trPr>
        <w:tc>
          <w:tcPr>
            <w:tcW w:w="14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101.INS</w:t>
            </w:r>
          </w:p>
        </w:tc>
        <w:tc>
          <w:tcPr>
            <w:tcW w:w="29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auto"/>
              </w:rPr>
              <w:t>Inline XBRL Instance Document. *</w:t>
            </w:r>
          </w:p>
        </w:tc>
        <w:tc>
          <w:tcPr>
            <w:tcW w:w="6860" w:type="dxa"/>
            <w:vAlign w:val="bottom"/>
            <w:gridSpan w:val="6"/>
          </w:tcPr>
          <w:p>
            <w:pPr>
              <w:spacing w:after="0"/>
              <w:rPr>
                <w:sz w:val="20"/>
                <w:szCs w:val="20"/>
                <w:color w:val="auto"/>
              </w:rPr>
            </w:pPr>
          </w:p>
        </w:tc>
      </w:tr>
      <w:tr>
        <w:trPr>
          <w:trHeight w:val="225"/>
        </w:trPr>
        <w:tc>
          <w:tcPr>
            <w:tcW w:w="14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101.SCH</w:t>
            </w:r>
          </w:p>
        </w:tc>
        <w:tc>
          <w:tcPr>
            <w:tcW w:w="980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Inline XBRL Taxonomy Extension Schema with embedded Linkbase documents. *</w:t>
            </w:r>
          </w:p>
        </w:tc>
      </w:tr>
      <w:tr>
        <w:trPr>
          <w:trHeight w:val="225"/>
        </w:trPr>
        <w:tc>
          <w:tcPr>
            <w:tcW w:w="2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in Inline XBRL and contained in Exhibit 101) *</w:t>
            </w:r>
          </w:p>
        </w:tc>
      </w:tr>
      <w:tr>
        <w:trPr>
          <w:trHeight w:val="225"/>
        </w:trPr>
        <w:tc>
          <w:tcPr>
            <w:tcW w:w="2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ind w:left="360"/>
        <w:spacing w:after="0"/>
        <w:rPr>
          <w:sz w:val="20"/>
          <w:szCs w:val="20"/>
          <w:color w:val="auto"/>
        </w:rPr>
      </w:pPr>
      <w:r>
        <w:rPr>
          <w:rFonts w:ascii="Times New Roman" w:cs="Times New Roman" w:eastAsia="Times New Roman" w:hAnsi="Times New Roman"/>
          <w:sz w:val="12"/>
          <w:szCs w:val="12"/>
          <w:color w:val="auto"/>
        </w:rPr>
        <w:t>Portions of this exhibit have been omitted pursuant to Rule 601(b)(10) of Regulation S-K. The omitted information is not material and is the type of information that the Company treats as private and confidential.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Filed herewith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Compensatory plan or arrangement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type w:val="continuous"/>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Great Lakes Dredge &amp; Dock Corporation</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(registrant)</w:t>
      </w:r>
    </w:p>
    <w:p>
      <w:pPr>
        <w:spacing w:after="0" w:line="139" w:lineRule="exact"/>
        <w:rPr>
          <w:sz w:val="20"/>
          <w:szCs w:val="20"/>
          <w:color w:val="auto"/>
        </w:rPr>
      </w:pPr>
    </w:p>
    <w:tbl>
      <w:tblPr>
        <w:tblLayout w:type="fixed"/>
        <w:tblInd w:w="5640" w:type="dxa"/>
        <w:tblCellMar>
          <w:top w:w="0" w:type="dxa"/>
          <w:left w:w="0" w:type="dxa"/>
          <w:bottom w:w="0" w:type="dxa"/>
          <w:right w:w="0" w:type="dxa"/>
        </w:tblCellMar>
      </w:tblPr>
      <w:tr>
        <w:trPr>
          <w:trHeight w:val="155"/>
        </w:trPr>
        <w:tc>
          <w:tcPr>
            <w:tcW w:w="1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4240" w:type="dxa"/>
            <w:vAlign w:val="bottom"/>
          </w:tcPr>
          <w:p>
            <w:pPr>
              <w:jc w:val="center"/>
              <w:ind w:right="840"/>
              <w:spacing w:after="0"/>
              <w:rPr>
                <w:sz w:val="20"/>
                <w:szCs w:val="20"/>
                <w:color w:val="auto"/>
              </w:rPr>
            </w:pPr>
            <w:r>
              <w:rPr>
                <w:rFonts w:ascii="Times New Roman" w:cs="Times New Roman" w:eastAsia="Times New Roman" w:hAnsi="Times New Roman"/>
                <w:sz w:val="12"/>
                <w:szCs w:val="12"/>
                <w:color w:val="auto"/>
              </w:rPr>
              <w:t>/s/ Scott Kornblau</w:t>
            </w:r>
          </w:p>
        </w:tc>
      </w:tr>
      <w:tr>
        <w:trPr>
          <w:trHeight w:val="122"/>
        </w:trPr>
        <w:tc>
          <w:tcPr>
            <w:tcW w:w="5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240" w:type="dxa"/>
            <w:vAlign w:val="bottom"/>
            <w:tcBorders>
              <w:top w:val="single" w:sz="8" w:color="auto"/>
            </w:tcBorders>
          </w:tcPr>
          <w:p>
            <w:pPr>
              <w:jc w:val="center"/>
              <w:ind w:right="860"/>
              <w:spacing w:after="0" w:line="122" w:lineRule="exact"/>
              <w:rPr>
                <w:sz w:val="20"/>
                <w:szCs w:val="20"/>
                <w:color w:val="auto"/>
              </w:rPr>
            </w:pPr>
            <w:r>
              <w:rPr>
                <w:rFonts w:ascii="Times New Roman" w:cs="Times New Roman" w:eastAsia="Times New Roman" w:hAnsi="Times New Roman"/>
                <w:sz w:val="12"/>
                <w:szCs w:val="12"/>
                <w:color w:val="auto"/>
                <w:w w:val="98"/>
              </w:rPr>
              <w:t>Scott Kornblau</w:t>
            </w:r>
          </w:p>
        </w:tc>
      </w:tr>
      <w:tr>
        <w:trPr>
          <w:trHeight w:val="144"/>
        </w:trPr>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4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w w:val="99"/>
              </w:rPr>
              <w:t>Senior Vice President and Chief Financial Officer</w:t>
            </w:r>
          </w:p>
        </w:tc>
      </w:tr>
      <w:tr>
        <w:trPr>
          <w:trHeight w:val="155"/>
        </w:trPr>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4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rPr>
              <w:t>(Principal Financial Officer and Duly Authorized Officer)</w:t>
            </w:r>
          </w:p>
        </w:tc>
      </w:tr>
      <w:tr>
        <w:trPr>
          <w:trHeight w:val="288"/>
        </w:trPr>
        <w:tc>
          <w:tcPr>
            <w:tcW w:w="1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Date: February 20, 2025</w:t>
            </w:r>
          </w:p>
        </w:tc>
        <w:tc>
          <w:tcPr>
            <w:tcW w:w="4240" w:type="dxa"/>
            <w:vAlign w:val="bottom"/>
          </w:tcPr>
          <w:p>
            <w:pPr>
              <w:spacing w:after="0"/>
              <w:rPr>
                <w:sz w:val="24"/>
                <w:szCs w:val="24"/>
                <w:color w:val="auto"/>
              </w:rPr>
            </w:pPr>
          </w:p>
        </w:tc>
      </w:tr>
    </w:tbl>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capabilities and on the dates indicated.</w:t>
      </w:r>
    </w:p>
    <w:p>
      <w:pPr>
        <w:sectPr>
          <w:pgSz w:w="11900" w:h="16838" w:orient="portrait"/>
          <w:cols w:equalWidth="0" w:num="1">
            <w:col w:w="11300"/>
          </w:cols>
          <w:pgMar w:left="300" w:top="701" w:right="299" w:bottom="1440" w:gutter="0" w:footer="0" w:header="0"/>
        </w:sectPr>
      </w:pP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Signature</w:t>
            </w:r>
          </w:p>
        </w:tc>
        <w:tc>
          <w:tcPr>
            <w:tcW w:w="1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Date</w:t>
            </w:r>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5"/>
        </w:trPr>
        <w:tc>
          <w:tcPr>
            <w:tcW w:w="32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/s/ Lasse J. Petterson</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Lasse J. Petterson</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77"/>
        </w:trPr>
        <w:tc>
          <w:tcPr>
            <w:tcW w:w="32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/s/ Scott Kornblau</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Scott Kornblau</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77"/>
        </w:trPr>
        <w:tc>
          <w:tcPr>
            <w:tcW w:w="32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/s/ Ryan M. Bayer</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Ryan M. Bayer</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77"/>
        </w:trPr>
        <w:tc>
          <w:tcPr>
            <w:tcW w:w="32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/s/ Lawrence R. Dickerson</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Lawrence R. Dickerson</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77"/>
        </w:trPr>
        <w:tc>
          <w:tcPr>
            <w:tcW w:w="3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w w:val="99"/>
              </w:rPr>
              <w:t>/s/ Dana Armstrong</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Dana Armstrong</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77"/>
        </w:trPr>
        <w:tc>
          <w:tcPr>
            <w:tcW w:w="32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/s/ Kathleen M. Shanahan</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Kathleen M. Shanahan</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77"/>
        </w:trPr>
        <w:tc>
          <w:tcPr>
            <w:tcW w:w="3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rPr>
              <w:t>/s/ Earl Shipp</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7"/>
              </w:rPr>
              <w:t>Earl Shipp</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77"/>
        </w:trPr>
        <w:tc>
          <w:tcPr>
            <w:tcW w:w="32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/s/ Ronald R. Steger</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Ronald R. Steger</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77"/>
        </w:trPr>
        <w:tc>
          <w:tcPr>
            <w:tcW w:w="3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rPr>
              <w:t>/s/ D. Michael Steuert</w:t>
            </w:r>
          </w:p>
        </w:tc>
        <w:tc>
          <w:tcPr>
            <w:tcW w:w="2060" w:type="dxa"/>
            <w:vAlign w:val="bottom"/>
            <w:gridSpan w:val="3"/>
          </w:tcPr>
          <w:p>
            <w:pPr>
              <w:jc w:val="center"/>
              <w:ind w:left="1120"/>
              <w:spacing w:after="0"/>
              <w:rPr>
                <w:sz w:val="20"/>
                <w:szCs w:val="20"/>
                <w:color w:val="auto"/>
              </w:rPr>
            </w:pPr>
            <w:r>
              <w:rPr>
                <w:rFonts w:ascii="Times New Roman" w:cs="Times New Roman" w:eastAsia="Times New Roman" w:hAnsi="Times New Roman"/>
                <w:sz w:val="12"/>
                <w:szCs w:val="12"/>
                <w:color w:val="auto"/>
                <w:w w:val="99"/>
              </w:rPr>
              <w:t>February 20, 2025</w:t>
            </w:r>
          </w:p>
        </w:tc>
      </w:tr>
      <w:tr>
        <w:trPr>
          <w:trHeight w:val="144"/>
        </w:trPr>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8"/>
              </w:rPr>
              <w:t>D. Michael Steuert</w:t>
            </w: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2"/>
          <w:szCs w:val="12"/>
          <w:b w:val="1"/>
          <w:bCs w:val="1"/>
          <w:u w:val="single" w:color="auto"/>
          <w:color w:val="auto"/>
        </w:rPr>
        <w:t>Title</w:t>
      </w:r>
    </w:p>
    <w:p>
      <w:pPr>
        <w:spacing w:after="0" w:line="16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p>
      <w:pPr>
        <w:spacing w:after="0" w:line="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1"/>
          <w:szCs w:val="11"/>
          <w:color w:val="auto"/>
        </w:rPr>
        <w:t>Senior Vice President and Chief Financial Officer</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1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Vice President and Chief Accounting Officer</w:t>
      </w:r>
    </w:p>
    <w:p>
      <w:pPr>
        <w:spacing w:after="0" w:line="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(Principal Accounting Officer)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Chairman of the Board and Director</w:t>
      </w:r>
    </w:p>
    <w:p>
      <w:pPr>
        <w:spacing w:after="0" w:line="3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Director</w:t>
      </w:r>
    </w:p>
    <w:p>
      <w:pPr>
        <w:spacing w:after="0" w:line="3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Director</w:t>
      </w:r>
    </w:p>
    <w:p>
      <w:pPr>
        <w:spacing w:after="0" w:line="3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Director</w:t>
      </w:r>
    </w:p>
    <w:p>
      <w:pPr>
        <w:spacing w:after="0" w:line="3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Director</w:t>
      </w:r>
    </w:p>
    <w:p>
      <w:pPr>
        <w:spacing w:after="0" w:line="3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Director</w:t>
      </w:r>
    </w:p>
    <w:p>
      <w:pPr>
        <w:spacing w:after="0" w:line="371" w:lineRule="exact"/>
        <w:rPr>
          <w:sz w:val="20"/>
          <w:szCs w:val="20"/>
          <w:color w:val="auto"/>
        </w:rPr>
      </w:pPr>
    </w:p>
    <w:p>
      <w:pPr>
        <w:sectPr>
          <w:pgSz w:w="11900" w:h="16838" w:orient="portrait"/>
          <w:cols w:equalWidth="0" w:num="2">
            <w:col w:w="6980" w:space="720"/>
            <w:col w:w="3600"/>
          </w:cols>
          <w:pgMar w:left="300" w:top="701" w:right="299" w:bottom="1440" w:gutter="0" w:footer="0" w:header="0"/>
          <w:type w:val="continuous"/>
        </w:sectPr>
      </w:pP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type w:val="continuous"/>
        </w:sectPr>
      </w:pPr>
    </w:p>
    <w:bookmarkStart w:id="85" w:name="page86"/>
    <w:bookmarkEnd w:id="85"/>
    <w:p>
      <w:pPr>
        <w:jc w:val="right"/>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REGISTRANT’S SECURITIES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143" w:lineRule="exact"/>
        <w:rPr>
          <w:sz w:val="20"/>
          <w:szCs w:val="20"/>
          <w:color w:val="auto"/>
        </w:rPr>
      </w:pPr>
    </w:p>
    <w:p>
      <w:pPr>
        <w:jc w:val="both"/>
        <w:ind w:firstLine="754"/>
        <w:spacing w:after="0" w:line="281" w:lineRule="auto"/>
        <w:rPr>
          <w:sz w:val="20"/>
          <w:szCs w:val="20"/>
          <w:color w:val="auto"/>
        </w:rPr>
      </w:pPr>
      <w:r>
        <w:rPr>
          <w:rFonts w:ascii="Times New Roman" w:cs="Times New Roman" w:eastAsia="Times New Roman" w:hAnsi="Times New Roman"/>
          <w:sz w:val="13"/>
          <w:szCs w:val="13"/>
          <w:color w:val="auto"/>
        </w:rPr>
        <w:t>Great Lakes Dredge &amp; Dock Corporation (the “Corporation,” “we,” “us” or “our”) has one class of securities registered under Section 12 of the Securities Exchange Act of 1934, as amended (the “Exchange Act”): our common stock.</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59" w:lineRule="exact"/>
        <w:rPr>
          <w:sz w:val="20"/>
          <w:szCs w:val="20"/>
          <w:color w:val="auto"/>
        </w:rPr>
      </w:pPr>
    </w:p>
    <w:p>
      <w:pPr>
        <w:jc w:val="both"/>
        <w:ind w:firstLine="754"/>
        <w:spacing w:after="0" w:line="263" w:lineRule="auto"/>
        <w:rPr>
          <w:sz w:val="20"/>
          <w:szCs w:val="20"/>
          <w:color w:val="auto"/>
        </w:rPr>
      </w:pPr>
      <w:r>
        <w:rPr>
          <w:rFonts w:ascii="Times New Roman" w:cs="Times New Roman" w:eastAsia="Times New Roman" w:hAnsi="Times New Roman"/>
          <w:sz w:val="13"/>
          <w:szCs w:val="13"/>
          <w:color w:val="auto"/>
        </w:rPr>
        <w:t>The following description relating to our capital stock is a summary of the general terms and provisions of our Second Amended and Restated Certificate of Incorporation (the “Certificate of Incorporation”) and Amended and Restated Bylaws (the “Bylaws”). This description does not purport to be complete and is qualified by reference to our Certificate of Incorporation and Bylaws, each of which is an exhibit to the Annual Report on Form 10-K to which this description is an exhibit and are incorporated herein by reference.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Capitalization</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We are authorized to issue 170,000,000 shares of common stock, par value $0.0001 per share, and 1,000,000 shares of preferred stock, par value $0.0001 per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59" w:lineRule="exact"/>
        <w:rPr>
          <w:sz w:val="20"/>
          <w:szCs w:val="20"/>
          <w:color w:val="auto"/>
        </w:rPr>
      </w:pPr>
    </w:p>
    <w:p>
      <w:pPr>
        <w:jc w:val="both"/>
        <w:ind w:firstLine="754"/>
        <w:spacing w:after="0" w:line="250" w:lineRule="auto"/>
        <w:rPr>
          <w:sz w:val="20"/>
          <w:szCs w:val="20"/>
          <w:color w:val="auto"/>
        </w:rPr>
      </w:pPr>
      <w:r>
        <w:rPr>
          <w:rFonts w:ascii="Times New Roman" w:cs="Times New Roman" w:eastAsia="Times New Roman" w:hAnsi="Times New Roman"/>
          <w:sz w:val="13"/>
          <w:szCs w:val="13"/>
          <w:color w:val="auto"/>
        </w:rPr>
        <w:t>Subject to the rights of any holders of preferred stock, holders of our common stock are entitled to receive equally, on a per share basis, dividends and other distributions in cash, securities or other property of the Corporation as may be declared by our Board of Directors (the “Board”) from time to time out of assets or funds of the Corporation legally available therefor. Except as otherwise provided by law or our Certificate of Incorporation, holders of our common stock are entitled to one vote for each share of common stock they own. All actions to be taken by our stockholders other than matters relating to the election of directors must be approved by the affirmative vote of the majority of the voting power of shares present in person or represented by proxy at a meeting and entitled to vote. Our directors are elected by a plurality of the votes of the shares present in person or represented by proxy at a meeting and entitled to vote in the election of directors; provided that, whenever the holders of any class or series of our capital stock are entitled to elect one or more directors, such directors will be elected by a plurality of the votes of such class or series present in person or represented by proxy at a meeting and entitled to vote in the election of such directors. In the event of any liquidation, dissolution or winding up of the Corporation, holders of our common stock are entitled to share ratably in any distribution of our assets after the satisfaction of all debts and other liabilities (including payments with respect to any outstanding shares of preferred stock). Holders of our common stock have no cumulative voting rights, conversion rights, sinking fund provisions or preemptive rights.</w:t>
      </w:r>
    </w:p>
    <w:p>
      <w:pPr>
        <w:spacing w:after="0" w:line="275" w:lineRule="exact"/>
        <w:rPr>
          <w:sz w:val="20"/>
          <w:szCs w:val="20"/>
          <w:color w:val="auto"/>
        </w:rPr>
      </w:pPr>
    </w:p>
    <w:p>
      <w:pPr>
        <w:jc w:val="both"/>
        <w:ind w:firstLine="984"/>
        <w:spacing w:after="0" w:line="254" w:lineRule="auto"/>
        <w:rPr>
          <w:sz w:val="20"/>
          <w:szCs w:val="20"/>
          <w:color w:val="auto"/>
        </w:rPr>
      </w:pPr>
      <w:r>
        <w:rPr>
          <w:rFonts w:ascii="Times New Roman" w:cs="Times New Roman" w:eastAsia="Times New Roman" w:hAnsi="Times New Roman"/>
          <w:sz w:val="13"/>
          <w:szCs w:val="13"/>
          <w:color w:val="auto"/>
        </w:rPr>
        <w:t>Holders of our capital stock are subject to restrictions on ownership and transfer designed to preserve our qualification as a citizen of the United States (“U.S. Citizen”) within the meaning of the Maritime Laws (as defined in our Certificate of Incorporation) for purposes of owning or operating vessels in the U.S. Coastwise trade. To ensure that we continue to meet the requirements for qualification as a U.S. Citizen, our Certificate of Incorporation provides that non-U.S. Citizens should beneficially own no more than the lesser of (i) 22.5% of the issued and outstanding shares of our capital stock and (ii) 90% of the maximum percentage of the issued and outstanding shares of our capital stock permitted to be beneficially owned by non-U.S. Citizens under the Maritime Laws (the “Permitted Percentage”). Any purported transfer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413385</wp:posOffset>
            </wp:positionV>
            <wp:extent cx="7203440"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7" w:right="299" w:bottom="1440" w:gutter="0" w:footer="0" w:header="0"/>
        </w:sectPr>
      </w:pPr>
    </w:p>
    <w:bookmarkStart w:id="86" w:name="page87"/>
    <w:bookmarkEnd w:id="86"/>
    <w:p>
      <w:pPr>
        <w:jc w:val="both"/>
        <w:spacing w:after="0" w:line="263" w:lineRule="auto"/>
        <w:rPr>
          <w:sz w:val="20"/>
          <w:szCs w:val="20"/>
          <w:color w:val="auto"/>
        </w:rPr>
      </w:pPr>
      <w:r>
        <w:rPr>
          <w:rFonts w:ascii="Times New Roman" w:cs="Times New Roman" w:eastAsia="Times New Roman" w:hAnsi="Times New Roman"/>
          <w:sz w:val="13"/>
          <w:szCs w:val="13"/>
          <w:color w:val="auto"/>
        </w:rPr>
        <w:t>of beneficial ownership of the shares of our capital stock, the effect of which would be to cause one or more non-U.S. Citizens in the aggregate to beneficially own shares in excess of the Permitted Percentage (the “Excess Shares”), shall be void and ineffective. If, notwithstanding the foregoing restrictions on transfer, any non-U.S. Citizen acquires Excess Shares, then the Corporation, subject to any applicable law, by action of the Board, in its sole discretion, shall have the power to redeem such Excess Shares; provided that the Corporation shall not have any obligation to redeem any Excess Shares.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Our common stock is listed on The Nasdaq Stock Market under the symbol “GLDD.”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Preferred Stock</w:t>
      </w:r>
    </w:p>
    <w:p>
      <w:pPr>
        <w:spacing w:after="0" w:line="161" w:lineRule="exact"/>
        <w:rPr>
          <w:sz w:val="20"/>
          <w:szCs w:val="20"/>
          <w:color w:val="auto"/>
        </w:rPr>
      </w:pPr>
    </w:p>
    <w:p>
      <w:pPr>
        <w:jc w:val="both"/>
        <w:ind w:firstLine="754"/>
        <w:spacing w:after="0" w:line="253" w:lineRule="auto"/>
        <w:rPr>
          <w:sz w:val="20"/>
          <w:szCs w:val="20"/>
          <w:color w:val="auto"/>
        </w:rPr>
      </w:pPr>
      <w:r>
        <w:rPr>
          <w:rFonts w:ascii="Times New Roman" w:cs="Times New Roman" w:eastAsia="Times New Roman" w:hAnsi="Times New Roman"/>
          <w:sz w:val="13"/>
          <w:szCs w:val="13"/>
          <w:color w:val="auto"/>
        </w:rPr>
        <w:t>Under our Certificate of Incorporation, our Board has the authority, without further action by our stockholders, to issue up to 1,000,000 shares of preferred stock in one or more series and to fix the voting powers, designations, preferences, and relative participating, optional, or other special rights and qualifications, limitations, and restrictions of each series, including dividend rights, dividend rates, conversion rights, voting rights, terms of redemption, liquidation preferences, and the number of shares constituting any series. Because the Board of Directors has the power to establish the preferences, powers, and rights of the shares of any series of preferred stock, it may afford holders of any preferred stock preferences, powers, and rights, including voting and dividend rights, senior to the rights of holders of our common stock, which could adversely affect the holders of the common stock and could delay, discourage, or prevent a takeover of us even if a change of control of the Corporation would be beneficial to the interests of our stockholders.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Anti-Takeover Effects of Certain Provisions</w:t>
      </w:r>
    </w:p>
    <w:p>
      <w:pPr>
        <w:spacing w:after="0" w:line="159" w:lineRule="exact"/>
        <w:rPr>
          <w:sz w:val="20"/>
          <w:szCs w:val="20"/>
          <w:color w:val="auto"/>
        </w:rPr>
      </w:pPr>
    </w:p>
    <w:p>
      <w:pPr>
        <w:jc w:val="both"/>
        <w:ind w:firstLine="754"/>
        <w:spacing w:after="0" w:line="257" w:lineRule="auto"/>
        <w:rPr>
          <w:sz w:val="20"/>
          <w:szCs w:val="20"/>
          <w:color w:val="auto"/>
        </w:rPr>
      </w:pPr>
      <w:r>
        <w:rPr>
          <w:rFonts w:ascii="Times New Roman" w:cs="Times New Roman" w:eastAsia="Times New Roman" w:hAnsi="Times New Roman"/>
          <w:sz w:val="13"/>
          <w:szCs w:val="13"/>
          <w:color w:val="auto"/>
        </w:rPr>
        <w:t>Certain provisions of the Delaware General Corporation Law (“DGCL”), our Certificate of Incorporation and Bylaws summarized in the paragraphs above and in the following paragraphs may have an anti-takeover effect and could make the following transactions difficult: acquisition by means of a tender offer; acquisition by means of a proxy contest or otherwise; or removal of incumbent officers and directors. It is possible that these provisions could make it more difficult to accomplish or could deter transactions that stockholders may otherwise consider to be in their best interest or in the best interests of the Corporation, including transactions that might result in a premium over the market price for shares of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Undesignated Preferred Stock</w:t>
      </w:r>
    </w:p>
    <w:p>
      <w:pPr>
        <w:spacing w:after="0" w:line="159" w:lineRule="exact"/>
        <w:rPr>
          <w:sz w:val="20"/>
          <w:szCs w:val="20"/>
          <w:color w:val="auto"/>
        </w:rPr>
      </w:pPr>
    </w:p>
    <w:p>
      <w:pPr>
        <w:jc w:val="both"/>
        <w:ind w:firstLine="754"/>
        <w:spacing w:after="0" w:line="263" w:lineRule="auto"/>
        <w:rPr>
          <w:sz w:val="20"/>
          <w:szCs w:val="20"/>
          <w:color w:val="auto"/>
        </w:rPr>
      </w:pPr>
      <w:r>
        <w:rPr>
          <w:rFonts w:ascii="Times New Roman" w:cs="Times New Roman" w:eastAsia="Times New Roman" w:hAnsi="Times New Roman"/>
          <w:sz w:val="13"/>
          <w:szCs w:val="13"/>
          <w:color w:val="auto"/>
        </w:rPr>
        <w:t>The authority that our Board possesses to issue preferred stock could potentially be used to discourage attempts by third parties to obtain control of the Corporation through a merger, tender offer, proxy contest or otherwise by making such attempts more difficult or more costly. Our Board may be able to issue preferred stock with voting rights or conversion rights that, if exercised, could adversely affect the voting power of the holders of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Classified Board of Directors</w:t>
      </w:r>
    </w:p>
    <w:p>
      <w:pPr>
        <w:spacing w:after="0" w:line="159" w:lineRule="exact"/>
        <w:rPr>
          <w:sz w:val="20"/>
          <w:szCs w:val="20"/>
          <w:color w:val="auto"/>
        </w:rPr>
      </w:pPr>
    </w:p>
    <w:p>
      <w:pPr>
        <w:jc w:val="both"/>
        <w:ind w:firstLine="264"/>
        <w:spacing w:after="0" w:line="257" w:lineRule="auto"/>
        <w:rPr>
          <w:sz w:val="20"/>
          <w:szCs w:val="20"/>
          <w:color w:val="auto"/>
        </w:rPr>
      </w:pPr>
      <w:r>
        <w:rPr>
          <w:rFonts w:ascii="Times New Roman" w:cs="Times New Roman" w:eastAsia="Times New Roman" w:hAnsi="Times New Roman"/>
          <w:sz w:val="13"/>
          <w:szCs w:val="13"/>
          <w:color w:val="auto"/>
        </w:rPr>
        <w:t>Pursuant to our Certificate of Incorporation, until the election of directors at the 2027 annual meeting of stockholders, our Board is divided into three classes, with the number of directors in each class as nearly equal as possible. The three classes of the Board are known as Class I, Class II and Class III. The directors in each class serve for staggered three-year terms. The term of the current Class I directors shall, consistent with having been elected to a three-year term at the 2022 annual meeting of stockholders, terminate on the date of the 2025 annual meeting of stockholders; the term of the current Class II directors shall, consistent with having been elected to a three-year term at the 2023 annual meeting, terminate on the date of the 2026 annual meeting of stockholders; and the term of the current Class III directors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469900</wp:posOffset>
            </wp:positionV>
            <wp:extent cx="7203440"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3" w:right="299" w:bottom="1440" w:gutter="0" w:footer="0" w:header="0"/>
        </w:sectPr>
      </w:pPr>
    </w:p>
    <w:bookmarkStart w:id="87" w:name="page88"/>
    <w:bookmarkEnd w:id="87"/>
    <w:p>
      <w:pPr>
        <w:jc w:val="both"/>
        <w:spacing w:after="0" w:line="263" w:lineRule="auto"/>
        <w:rPr>
          <w:sz w:val="20"/>
          <w:szCs w:val="20"/>
          <w:color w:val="auto"/>
        </w:rPr>
      </w:pPr>
      <w:r>
        <w:rPr>
          <w:rFonts w:ascii="Times New Roman" w:cs="Times New Roman" w:eastAsia="Times New Roman" w:hAnsi="Times New Roman"/>
          <w:sz w:val="13"/>
          <w:szCs w:val="13"/>
          <w:color w:val="auto"/>
        </w:rPr>
        <w:t>consistent with having been elected to a three-year term at the 2024 annual meeting, terminate on the date of the 2027 annual meeting of stockholders. Commencing with the election of directors at the 2025 annual meeting of stockholders, successors to the class of directors whose term expires at such annual meeting shall be elected for a one-year term. Commencing with the election of directors at the 2027 annual meeting of stockholders, the classification of the Board will terminate.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Removal of Directors; Vacancies</w:t>
      </w:r>
    </w:p>
    <w:p>
      <w:pPr>
        <w:spacing w:after="0" w:line="159" w:lineRule="exact"/>
        <w:rPr>
          <w:sz w:val="20"/>
          <w:szCs w:val="20"/>
          <w:color w:val="auto"/>
        </w:rPr>
      </w:pPr>
    </w:p>
    <w:p>
      <w:pPr>
        <w:jc w:val="both"/>
        <w:ind w:firstLine="754"/>
        <w:spacing w:after="0" w:line="257" w:lineRule="auto"/>
        <w:rPr>
          <w:sz w:val="20"/>
          <w:szCs w:val="20"/>
          <w:color w:val="auto"/>
        </w:rPr>
      </w:pPr>
      <w:r>
        <w:rPr>
          <w:rFonts w:ascii="Times New Roman" w:cs="Times New Roman" w:eastAsia="Times New Roman" w:hAnsi="Times New Roman"/>
          <w:sz w:val="13"/>
          <w:szCs w:val="13"/>
          <w:color w:val="auto"/>
        </w:rPr>
        <w:t>Pursuant to our Certificate of Incorporation, any director serving in a class of directors elected for a term expiring at the third annual meeting following the election of such class may be removed from office only for cause, and all other directors may be removed from office with or without cause. Any director, or all of the directors, may be removed from office at any time at a meeting called for that purpose by the affirmative vote of the holders of at least 66 2/3% of the voting power of all outstanding shares of stock entitled to vote thereon, voting together as a single class. Such removal rights are subject to the rights of the holders of any series of Preferred Stock then outstanding.</w:t>
      </w:r>
    </w:p>
    <w:p>
      <w:pPr>
        <w:spacing w:after="0" w:line="125" w:lineRule="exact"/>
        <w:rPr>
          <w:sz w:val="20"/>
          <w:szCs w:val="20"/>
          <w:color w:val="auto"/>
        </w:rPr>
      </w:pPr>
    </w:p>
    <w:p>
      <w:pPr>
        <w:jc w:val="both"/>
        <w:ind w:firstLine="754"/>
        <w:spacing w:after="0" w:line="255" w:lineRule="auto"/>
        <w:rPr>
          <w:sz w:val="20"/>
          <w:szCs w:val="20"/>
          <w:color w:val="auto"/>
        </w:rPr>
      </w:pPr>
      <w:r>
        <w:rPr>
          <w:rFonts w:ascii="Times New Roman" w:cs="Times New Roman" w:eastAsia="Times New Roman" w:hAnsi="Times New Roman"/>
          <w:sz w:val="13"/>
          <w:szCs w:val="13"/>
          <w:color w:val="auto"/>
        </w:rPr>
        <w:t>Vacancies and newly created directorships resulting from any increase in the authorized number of directors and vacancies created from the death, disqualification, resignation or removal of any director will be filled by directors possessing a majority of the voting power of all directors. In the event the death, disqualification, resignation or removal of a director causes the proportion of Non-U.S. Citizen directors to exceed the proportion permitted under Section 2 of Article Six of our Certificate of Incorporation, then the Non-U.S. Citizen director with the shortest tenure of service as a director shall be automatically disqualified from serving as a director, his or her term as a director shall immediately expire, he or she shall automatically cease to be a director and the size of the Board shall be reduced by one directorship.</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Special Meetings of Stockholders</w:t>
      </w:r>
    </w:p>
    <w:p>
      <w:pPr>
        <w:spacing w:after="0" w:line="159" w:lineRule="exact"/>
        <w:rPr>
          <w:sz w:val="20"/>
          <w:szCs w:val="20"/>
          <w:color w:val="auto"/>
        </w:rPr>
      </w:pPr>
    </w:p>
    <w:p>
      <w:pPr>
        <w:jc w:val="both"/>
        <w:ind w:firstLine="754"/>
        <w:spacing w:after="0" w:line="281" w:lineRule="auto"/>
        <w:rPr>
          <w:sz w:val="20"/>
          <w:szCs w:val="20"/>
          <w:color w:val="auto"/>
        </w:rPr>
      </w:pPr>
      <w:r>
        <w:rPr>
          <w:rFonts w:ascii="Times New Roman" w:cs="Times New Roman" w:eastAsia="Times New Roman" w:hAnsi="Times New Roman"/>
          <w:sz w:val="13"/>
          <w:szCs w:val="13"/>
          <w:color w:val="auto"/>
        </w:rPr>
        <w:t>Our Certificate of Incorporation and Bylaws provide that a special meeting of stockholders may be called only by our Board pursuant to a resolution adopted by a majority of the Board. Stockholders are not permitted to call a special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 Stockholder Action by Written Consent</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Our Certificate of Incorporation provides that stockholder action may be taken only at an annual meeting or special meeting of stockholders and may not be taken by written consent in lieu of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meeting.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Advance Notice Requirements</w:t>
      </w:r>
    </w:p>
    <w:p>
      <w:pPr>
        <w:spacing w:after="0" w:line="159" w:lineRule="exact"/>
        <w:rPr>
          <w:sz w:val="20"/>
          <w:szCs w:val="20"/>
          <w:color w:val="auto"/>
        </w:rPr>
      </w:pPr>
    </w:p>
    <w:p>
      <w:pPr>
        <w:jc w:val="both"/>
        <w:ind w:firstLine="754"/>
        <w:spacing w:after="0" w:line="251" w:lineRule="auto"/>
        <w:rPr>
          <w:sz w:val="20"/>
          <w:szCs w:val="20"/>
          <w:color w:val="auto"/>
        </w:rPr>
      </w:pPr>
      <w:r>
        <w:rPr>
          <w:rFonts w:ascii="Times New Roman" w:cs="Times New Roman" w:eastAsia="Times New Roman" w:hAnsi="Times New Roman"/>
          <w:sz w:val="13"/>
          <w:szCs w:val="13"/>
          <w:color w:val="auto"/>
        </w:rPr>
        <w:t>Under our Bylaws, to be properly brought before an annual meeting of stockholders, any stockholder proposal or nomination for election to the Board must be delivered to the Secretary of the Corporation not less than 90 days nor more than 120 days prior to the first anniversary of the date on which the Corporation first mailed its proxy materials for the preceding year’s annual meeting; provided, however, that if the date of the annual meeting is changed by more than 60 days from the anniversary date of the previous year’s meeting, notice by the stockholder must be delivered not earlier than 120 days prior to such annual meeting and not later than the close of business on the later of (i) the 90th day prior to such annual meeting or (ii) the 10th day following the day on which public announcement of the date of such annual meeting is first made. Such notice must contain information specified in our Bylaws as to the director nominee or proposal of other business, information about the stockholder making the nomination or proposal and the beneficial owner, if any, on behalf of whom the nomination or proposal is made. If our Board has determined that directors shall be elected at a special meeting of stockholders, any stockholder nomination for election to our Board at such special meeting must be delivered to the Secretary of the Corporation not earlier than the close of business on the 120th day prior to the date of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473075</wp:posOffset>
            </wp:positionV>
            <wp:extent cx="7203440"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88" w:name="page89"/>
    <w:bookmarkEnd w:id="88"/>
    <w:p>
      <w:pPr>
        <w:jc w:val="both"/>
        <w:spacing w:after="0" w:line="281" w:lineRule="auto"/>
        <w:rPr>
          <w:sz w:val="20"/>
          <w:szCs w:val="20"/>
          <w:color w:val="auto"/>
        </w:rPr>
      </w:pPr>
      <w:r>
        <w:rPr>
          <w:rFonts w:ascii="Times New Roman" w:cs="Times New Roman" w:eastAsia="Times New Roman" w:hAnsi="Times New Roman"/>
          <w:sz w:val="13"/>
          <w:szCs w:val="13"/>
          <w:color w:val="auto"/>
        </w:rPr>
        <w:t>and not later than the close of business on the later of (i) the 90th day prior to such special meeting or (ii) the 10th day following the day on which public announcement is first made of the date of such special meeting and of the nominees proposed by the Board to be elected at such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Section 203 of the Delaware General Corporation Law</w:t>
      </w:r>
    </w:p>
    <w:p>
      <w:pPr>
        <w:spacing w:after="0" w:line="159" w:lineRule="exact"/>
        <w:rPr>
          <w:sz w:val="20"/>
          <w:szCs w:val="20"/>
          <w:color w:val="auto"/>
        </w:rPr>
      </w:pPr>
    </w:p>
    <w:p>
      <w:pPr>
        <w:jc w:val="both"/>
        <w:ind w:firstLine="754"/>
        <w:spacing w:after="0" w:line="254" w:lineRule="auto"/>
        <w:rPr>
          <w:sz w:val="20"/>
          <w:szCs w:val="20"/>
          <w:color w:val="auto"/>
        </w:rPr>
      </w:pPr>
      <w:r>
        <w:rPr>
          <w:rFonts w:ascii="Times New Roman" w:cs="Times New Roman" w:eastAsia="Times New Roman" w:hAnsi="Times New Roman"/>
          <w:sz w:val="13"/>
          <w:szCs w:val="13"/>
          <w:color w:val="auto"/>
        </w:rPr>
        <w:t>We are governed by the provisions of Section 203 of the DGCL. Section 203, with specified exceptions, prohibits a Delaware corporations from engaging, under certain circumstances, in a “business combination” with an “interested stockholder” for a period of three years following the date of the transaction in which the person became an interested stockholder. A business combination includes, among other things, mergers, asset sales or other transactions resulting in a financial benefit to the interested stockholder. An interested stockholder is any person, together with any affiliates and associates, who owns 15% or more of the outstanding voting stock of the corporation or is an affiliate or associate of the corporation who, within three years prior to the determination of interested stockholder status, did own 15% or more of the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471805</wp:posOffset>
            </wp:positionV>
            <wp:extent cx="7203440"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4"/>
          <w:szCs w:val="14"/>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114935</wp:posOffset>
            </wp:positionV>
            <wp:extent cx="302895" cy="3028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5">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spacing w:after="0" w:line="188"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4"/>
          <w:szCs w:val="14"/>
          <w:color w:val="auto"/>
        </w:rPr>
        <w:t>G</w:t>
      </w:r>
      <w:r>
        <w:rPr>
          <w:rFonts w:ascii="Times New Roman" w:cs="Times New Roman" w:eastAsia="Times New Roman" w:hAnsi="Times New Roman"/>
          <w:sz w:val="9"/>
          <w:szCs w:val="9"/>
          <w:color w:val="auto"/>
        </w:rPr>
        <w:t>reat</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9"/>
          <w:szCs w:val="9"/>
          <w:color w:val="auto"/>
        </w:rPr>
        <w:t>akes</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9"/>
          <w:szCs w:val="9"/>
          <w:color w:val="auto"/>
        </w:rPr>
        <w:t>redge</w:t>
      </w:r>
      <w:r>
        <w:rPr>
          <w:rFonts w:ascii="Times New Roman" w:cs="Times New Roman" w:eastAsia="Times New Roman" w:hAnsi="Times New Roman"/>
          <w:sz w:val="14"/>
          <w:szCs w:val="14"/>
          <w:color w:val="auto"/>
        </w:rPr>
        <w:t xml:space="preserve"> &amp; D</w:t>
      </w:r>
      <w:r>
        <w:rPr>
          <w:rFonts w:ascii="Times New Roman" w:cs="Times New Roman" w:eastAsia="Times New Roman" w:hAnsi="Times New Roman"/>
          <w:sz w:val="9"/>
          <w:szCs w:val="9"/>
          <w:color w:val="auto"/>
        </w:rPr>
        <w:t>ock</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9"/>
          <w:szCs w:val="9"/>
          <w:color w:val="auto"/>
        </w:rPr>
        <w:t>orporation</w:t>
      </w:r>
    </w:p>
    <w:p>
      <w:pPr>
        <w:spacing w:after="0" w:line="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5"/>
          <w:szCs w:val="15"/>
          <w:color w:val="auto"/>
        </w:rPr>
        <w:t>olicy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5"/>
          <w:szCs w:val="15"/>
          <w:color w:val="auto"/>
        </w:rPr>
        <w:t>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85725</wp:posOffset>
            </wp:positionV>
            <wp:extent cx="6483350" cy="2139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6">
                      <a:extLst>
                        <a:ext uri="{28A0092B-C50C-407E-A947-70E740481C1C}"/>
                      </a:extLst>
                    </a:blip>
                    <a:srcRect/>
                    <a:stretch>
                      <a:fillRect/>
                    </a:stretch>
                  </pic:blipFill>
                  <pic:spPr bwMode="auto">
                    <a:xfrm>
                      <a:off x="0" y="0"/>
                      <a:ext cx="6483350" cy="213995"/>
                    </a:xfrm>
                    <a:prstGeom prst="rect">
                      <a:avLst/>
                    </a:prstGeom>
                    <a:noFill/>
                  </pic:spPr>
                </pic:pic>
              </a:graphicData>
            </a:graphic>
          </wp:anchor>
        </w:drawing>
      </w:r>
    </w:p>
    <w:p>
      <w:pPr>
        <w:spacing w:after="0" w:line="1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b w:val="1"/>
          <w:bCs w:val="1"/>
          <w:color w:val="auto"/>
        </w:rPr>
        <w:t>Securities Trading and Disclosure of Confidential Information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9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40" w:type="dxa"/>
            <w:vAlign w:val="bottom"/>
            <w:tcBorders>
              <w:right w:val="single" w:sz="8" w:color="auto"/>
            </w:tcBorders>
            <w:gridSpan w:val="2"/>
          </w:tcPr>
          <w:p>
            <w:pPr>
              <w:jc w:val="center"/>
              <w:ind w:right="1606"/>
              <w:spacing w:after="0"/>
              <w:rPr>
                <w:sz w:val="20"/>
                <w:szCs w:val="20"/>
                <w:color w:val="auto"/>
              </w:rPr>
            </w:pPr>
            <w:r>
              <w:rPr>
                <w:rFonts w:ascii="Times New Roman" w:cs="Times New Roman" w:eastAsia="Times New Roman" w:hAnsi="Times New Roman"/>
                <w:sz w:val="7"/>
                <w:szCs w:val="7"/>
                <w:color w:val="auto"/>
              </w:rPr>
              <w:t>Applicable Company Segment:</w:t>
            </w:r>
          </w:p>
        </w:tc>
        <w:tc>
          <w:tcPr>
            <w:tcW w:w="680" w:type="dxa"/>
            <w:vAlign w:val="bottom"/>
          </w:tcPr>
          <w:p>
            <w:pPr>
              <w:spacing w:after="0"/>
              <w:rPr>
                <w:sz w:val="6"/>
                <w:szCs w:val="6"/>
                <w:color w:val="auto"/>
              </w:rPr>
            </w:pPr>
          </w:p>
        </w:tc>
        <w:tc>
          <w:tcPr>
            <w:tcW w:w="10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7"/>
                <w:szCs w:val="7"/>
                <w:color w:val="auto"/>
              </w:rPr>
              <w:t>Revision Frequency:</w:t>
            </w:r>
          </w:p>
        </w:tc>
        <w:tc>
          <w:tcPr>
            <w:tcW w:w="740" w:type="dxa"/>
            <w:vAlign w:val="bottom"/>
          </w:tcPr>
          <w:p>
            <w:pPr>
              <w:spacing w:after="0"/>
              <w:rPr>
                <w:sz w:val="6"/>
                <w:szCs w:val="6"/>
                <w:color w:val="auto"/>
              </w:rPr>
            </w:pPr>
          </w:p>
        </w:tc>
        <w:tc>
          <w:tcPr>
            <w:tcW w:w="1580" w:type="dxa"/>
            <w:vAlign w:val="bottom"/>
            <w:tcBorders>
              <w:right w:val="single" w:sz="8" w:color="auto"/>
            </w:tcBorders>
          </w:tcPr>
          <w:p>
            <w:pPr>
              <w:jc w:val="center"/>
              <w:ind w:right="706"/>
              <w:spacing w:after="0"/>
              <w:rPr>
                <w:sz w:val="20"/>
                <w:szCs w:val="20"/>
                <w:color w:val="auto"/>
              </w:rPr>
            </w:pPr>
            <w:r>
              <w:rPr>
                <w:rFonts w:ascii="Times New Roman" w:cs="Times New Roman" w:eastAsia="Times New Roman" w:hAnsi="Times New Roman"/>
                <w:sz w:val="7"/>
                <w:szCs w:val="7"/>
                <w:color w:val="auto"/>
              </w:rPr>
              <w:t>Revision Date:</w:t>
            </w:r>
          </w:p>
        </w:tc>
        <w:tc>
          <w:tcPr>
            <w:tcW w:w="320" w:type="dxa"/>
            <w:vAlign w:val="bottom"/>
          </w:tcPr>
          <w:p>
            <w:pPr>
              <w:spacing w:after="0"/>
              <w:rPr>
                <w:sz w:val="6"/>
                <w:szCs w:val="6"/>
                <w:color w:val="auto"/>
              </w:rPr>
            </w:pPr>
          </w:p>
        </w:tc>
        <w:tc>
          <w:tcPr>
            <w:tcW w:w="1340" w:type="dxa"/>
            <w:vAlign w:val="bottom"/>
            <w:tcBorders>
              <w:right w:val="single" w:sz="8" w:color="auto"/>
            </w:tcBorders>
          </w:tcPr>
          <w:p>
            <w:pPr>
              <w:jc w:val="center"/>
              <w:ind w:right="286"/>
              <w:spacing w:after="0"/>
              <w:rPr>
                <w:sz w:val="20"/>
                <w:szCs w:val="20"/>
                <w:color w:val="auto"/>
              </w:rPr>
            </w:pPr>
            <w:r>
              <w:rPr>
                <w:rFonts w:ascii="Times New Roman" w:cs="Times New Roman" w:eastAsia="Times New Roman" w:hAnsi="Times New Roman"/>
                <w:sz w:val="7"/>
                <w:szCs w:val="7"/>
                <w:color w:val="auto"/>
              </w:rPr>
              <w:t>Page:</w:t>
            </w:r>
          </w:p>
        </w:tc>
      </w:tr>
      <w:tr>
        <w:trPr>
          <w:trHeight w:val="198"/>
        </w:trPr>
        <w:tc>
          <w:tcPr>
            <w:tcW w:w="920" w:type="dxa"/>
            <w:vAlign w:val="bottom"/>
            <w:tcBorders>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200" w:type="dxa"/>
            <w:vAlign w:val="bottom"/>
            <w:tcBorders>
              <w:bottom w:val="single" w:sz="8" w:color="auto"/>
              <w:right w:val="single" w:sz="8" w:color="auto"/>
            </w:tcBorders>
            <w:gridSpan w:val="3"/>
          </w:tcPr>
          <w:p>
            <w:pPr>
              <w:jc w:val="center"/>
              <w:ind w:right="1246"/>
              <w:spacing w:after="0"/>
              <w:rPr>
                <w:sz w:val="20"/>
                <w:szCs w:val="20"/>
                <w:color w:val="auto"/>
              </w:rPr>
            </w:pPr>
            <w:r>
              <w:rPr>
                <w:rFonts w:ascii="Times New Roman" w:cs="Times New Roman" w:eastAsia="Times New Roman" w:hAnsi="Times New Roman"/>
                <w:sz w:val="14"/>
                <w:szCs w:val="14"/>
                <w:color w:val="auto"/>
              </w:rPr>
              <w:t>Corporate Policy (all divisions)</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color w:val="auto"/>
              </w:rPr>
              <w:t>Annually</w:t>
            </w:r>
          </w:p>
        </w:tc>
        <w:tc>
          <w:tcPr>
            <w:tcW w:w="740" w:type="dxa"/>
            <w:vAlign w:val="bottom"/>
            <w:tcBorders>
              <w:bottom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center"/>
              <w:ind w:right="706"/>
              <w:spacing w:after="0"/>
              <w:rPr>
                <w:sz w:val="20"/>
                <w:szCs w:val="20"/>
                <w:color w:val="auto"/>
              </w:rPr>
            </w:pPr>
            <w:r>
              <w:rPr>
                <w:rFonts w:ascii="Times New Roman" w:cs="Times New Roman" w:eastAsia="Times New Roman" w:hAnsi="Times New Roman"/>
                <w:sz w:val="14"/>
                <w:szCs w:val="14"/>
                <w:color w:val="auto"/>
              </w:rPr>
              <w:t>May 9, 2024</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center"/>
              <w:ind w:right="286"/>
              <w:spacing w:after="0"/>
              <w:rPr>
                <w:sz w:val="20"/>
                <w:szCs w:val="20"/>
                <w:color w:val="auto"/>
              </w:rPr>
            </w:pPr>
            <w:r>
              <w:rPr>
                <w:rFonts w:ascii="Times New Roman" w:cs="Times New Roman" w:eastAsia="Times New Roman" w:hAnsi="Times New Roman"/>
                <w:sz w:val="14"/>
                <w:szCs w:val="14"/>
                <w:color w:val="auto"/>
              </w:rPr>
              <w:t>Page 1 of 12</w:t>
            </w:r>
          </w:p>
        </w:tc>
      </w:tr>
      <w:tr>
        <w:trPr>
          <w:trHeight w:val="70"/>
        </w:trPr>
        <w:tc>
          <w:tcPr>
            <w:tcW w:w="9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3080" w:type="dxa"/>
            <w:vAlign w:val="bottom"/>
            <w:gridSpan w:val="2"/>
          </w:tcPr>
          <w:p>
            <w:pPr>
              <w:jc w:val="center"/>
              <w:ind w:left="926"/>
              <w:spacing w:after="0" w:line="71" w:lineRule="exact"/>
              <w:rPr>
                <w:sz w:val="20"/>
                <w:szCs w:val="20"/>
                <w:color w:val="auto"/>
              </w:rPr>
            </w:pPr>
            <w:r>
              <w:rPr>
                <w:rFonts w:ascii="Times New Roman" w:cs="Times New Roman" w:eastAsia="Times New Roman" w:hAnsi="Times New Roman"/>
                <w:sz w:val="7"/>
                <w:szCs w:val="7"/>
                <w:color w:val="auto"/>
              </w:rPr>
              <w:t>Policy Owner:</w:t>
            </w:r>
          </w:p>
        </w:tc>
        <w:tc>
          <w:tcPr>
            <w:tcW w:w="1000" w:type="dxa"/>
            <w:vAlign w:val="bottom"/>
            <w:tcBorders>
              <w:right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900" w:type="dxa"/>
            <w:vAlign w:val="bottom"/>
            <w:gridSpan w:val="2"/>
          </w:tcPr>
          <w:p>
            <w:pPr>
              <w:jc w:val="center"/>
              <w:ind w:left="506"/>
              <w:spacing w:after="0" w:line="71" w:lineRule="exact"/>
              <w:rPr>
                <w:sz w:val="20"/>
                <w:szCs w:val="20"/>
                <w:color w:val="auto"/>
              </w:rPr>
            </w:pPr>
            <w:r>
              <w:rPr>
                <w:rFonts w:ascii="Times New Roman" w:cs="Times New Roman" w:eastAsia="Times New Roman" w:hAnsi="Times New Roman"/>
                <w:sz w:val="7"/>
                <w:szCs w:val="7"/>
                <w:color w:val="auto"/>
              </w:rPr>
              <w:t>Approved By:</w:t>
            </w:r>
          </w:p>
        </w:tc>
        <w:tc>
          <w:tcPr>
            <w:tcW w:w="1340" w:type="dxa"/>
            <w:vAlign w:val="bottom"/>
            <w:tcBorders>
              <w:right w:val="single" w:sz="8" w:color="auto"/>
            </w:tcBorders>
          </w:tcPr>
          <w:p>
            <w:pPr>
              <w:spacing w:after="0"/>
              <w:rPr>
                <w:sz w:val="6"/>
                <w:szCs w:val="6"/>
                <w:color w:val="auto"/>
              </w:rPr>
            </w:pPr>
          </w:p>
        </w:tc>
      </w:tr>
      <w:tr>
        <w:trPr>
          <w:trHeight w:val="214"/>
        </w:trPr>
        <w:tc>
          <w:tcPr>
            <w:tcW w:w="920" w:type="dxa"/>
            <w:vAlign w:val="bottom"/>
            <w:tcBorders>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gridSpan w:val="2"/>
          </w:tcPr>
          <w:p>
            <w:pPr>
              <w:jc w:val="center"/>
              <w:ind w:left="926"/>
              <w:spacing w:after="0"/>
              <w:rPr>
                <w:sz w:val="20"/>
                <w:szCs w:val="20"/>
                <w:color w:val="auto"/>
              </w:rPr>
            </w:pPr>
            <w:r>
              <w:rPr>
                <w:rFonts w:ascii="Times New Roman" w:cs="Times New Roman" w:eastAsia="Times New Roman" w:hAnsi="Times New Roman"/>
                <w:sz w:val="14"/>
                <w:szCs w:val="14"/>
                <w:color w:val="auto"/>
              </w:rPr>
              <w:t>Chief Compliance Officer</w:t>
            </w: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left="526"/>
              <w:spacing w:after="0"/>
              <w:rPr>
                <w:sz w:val="20"/>
                <w:szCs w:val="20"/>
                <w:color w:val="auto"/>
              </w:rPr>
            </w:pPr>
            <w:r>
              <w:rPr>
                <w:rFonts w:ascii="Times New Roman" w:cs="Times New Roman" w:eastAsia="Times New Roman" w:hAnsi="Times New Roman"/>
                <w:sz w:val="14"/>
                <w:szCs w:val="14"/>
                <w:color w:val="auto"/>
              </w:rPr>
              <w:t>Board of Directors</w:t>
            </w:r>
          </w:p>
        </w:tc>
        <w:tc>
          <w:tcPr>
            <w:tcW w:w="1340" w:type="dxa"/>
            <w:vAlign w:val="bottom"/>
            <w:tcBorders>
              <w:bottom w:val="single" w:sz="8" w:color="auto"/>
              <w:right w:val="single" w:sz="8" w:color="auto"/>
            </w:tcBorders>
          </w:tcPr>
          <w:p>
            <w:pPr>
              <w:spacing w:after="0"/>
              <w:rPr>
                <w:sz w:val="18"/>
                <w:szCs w:val="18"/>
                <w:color w:val="auto"/>
              </w:rPr>
            </w:pPr>
          </w:p>
        </w:tc>
      </w:tr>
      <w:tr>
        <w:trPr>
          <w:trHeight w:val="660"/>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936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To explain the Company’s policies and procedures related to trading in Company securities and the disclosure of confidential information for key employees of Great Lakes</w:t>
            </w:r>
          </w:p>
        </w:tc>
      </w:tr>
      <w:tr>
        <w:trPr>
          <w:trHeight w:val="172"/>
        </w:trPr>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Dredge &amp; Dock Corporation and subsidiaries.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06"/>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Policy:</w:t>
            </w:r>
          </w:p>
        </w:tc>
        <w:tc>
          <w:tcPr>
            <w:tcW w:w="438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See Attached Document and Addenda</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7"/>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Scope:</w:t>
            </w:r>
          </w:p>
        </w:tc>
        <w:tc>
          <w:tcPr>
            <w:tcW w:w="61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This policy applies to all Company Personnel with preclearance requirements for all “Senior Personnel”, including:</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53"/>
        </w:trPr>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w:t>
            </w:r>
          </w:p>
        </w:tc>
        <w:tc>
          <w:tcPr>
            <w:tcW w:w="38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All directors and executive officers of the Company.</w:t>
            </w: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3"/>
        </w:trPr>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w:t>
            </w:r>
          </w:p>
        </w:tc>
        <w:tc>
          <w:tcPr>
            <w:tcW w:w="562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All directors and officers of the subsidiaries of the Company whom the Company may designate.</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2"/>
        </w:trPr>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w:t>
            </w:r>
          </w:p>
        </w:tc>
        <w:tc>
          <w:tcPr>
            <w:tcW w:w="562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All non-executive officers and other key employees whom the Company may designate.</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8"/>
        </w:trPr>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6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This policy also applies to senior personnel’s family members who reside with him/her, anyone else who lives in his/her household, and family members who do not live in</w:t>
            </w:r>
          </w:p>
        </w:tc>
      </w:tr>
      <w:tr>
        <w:trPr>
          <w:trHeight w:val="153"/>
        </w:trPr>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6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his/her household but whose transactions in Company securities are directed by senior personnel or are subject to his/her influence or control (parents or children who consult</w:t>
            </w:r>
          </w:p>
        </w:tc>
      </w:tr>
      <w:tr>
        <w:trPr>
          <w:trHeight w:val="172"/>
        </w:trPr>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with senior personnel before they trade in Company securities).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06"/>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Responsibilities:</w:t>
            </w:r>
          </w:p>
        </w:tc>
        <w:tc>
          <w:tcPr>
            <w:tcW w:w="438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See Attached Document and Addenda</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5"/>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Definitions:</w:t>
            </w:r>
          </w:p>
        </w:tc>
        <w:tc>
          <w:tcPr>
            <w:tcW w:w="936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Blackout Period: Length of time where all transactions in Company securities are prohibited, except to the extent otherwise provided in this Policy Statement.</w:t>
            </w:r>
          </w:p>
        </w:tc>
      </w:tr>
      <w:tr>
        <w:trPr>
          <w:trHeight w:val="20"/>
        </w:trPr>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 w:lineRule="exact"/>
        <w:rPr>
          <w:sz w:val="20"/>
          <w:szCs w:val="20"/>
          <w:color w:val="auto"/>
        </w:rPr>
      </w:pPr>
    </w:p>
    <w:p>
      <w:pPr>
        <w:jc w:val="both"/>
        <w:ind w:left="2320" w:right="260" w:hanging="306"/>
        <w:spacing w:after="0" w:line="251" w:lineRule="auto"/>
        <w:tabs>
          <w:tab w:leader="none" w:pos="2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Event-Specific Blackout Period</w:t>
      </w:r>
      <w:r>
        <w:rPr>
          <w:rFonts w:ascii="Times New Roman" w:cs="Times New Roman" w:eastAsia="Times New Roman" w:hAnsi="Times New Roman"/>
          <w:sz w:val="13"/>
          <w:szCs w:val="13"/>
          <w:color w:val="auto"/>
        </w:rPr>
        <w:t>: Results when an event occurs that is material to the Company and is known by certain parties, so long as the event remains material and non- public. Such blackouts will not be announced unless a person whose trades are subject to pre-clearance requests permission to trade in the Company’s securities during an event- specific blackout, the Pre-Clearance Officer will inform the requester of the existence of a blackout period, without being required to disclose the reason.</w:t>
      </w:r>
    </w:p>
    <w:p>
      <w:pPr>
        <w:ind w:left="2320" w:right="240" w:hanging="306"/>
        <w:spacing w:after="0" w:line="258" w:lineRule="auto"/>
        <w:tabs>
          <w:tab w:leader="none" w:pos="2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Quarterly Blackout Period</w:t>
      </w:r>
      <w:r>
        <w:rPr>
          <w:rFonts w:ascii="Times New Roman" w:cs="Times New Roman" w:eastAsia="Times New Roman" w:hAnsi="Times New Roman"/>
          <w:sz w:val="13"/>
          <w:szCs w:val="13"/>
          <w:color w:val="auto"/>
        </w:rPr>
        <w:t>: The period beginning on the fifteenth day of the last month of the end of each quarter and ending at the start of trading on the Nasdaq Stock Market on the second full trading day following the Company’s earnings press release for any quarter or year end.</w:t>
      </w:r>
    </w:p>
    <w:p>
      <w:pPr>
        <w:spacing w:after="0" w:line="1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Great Lakes Dredge &amp; Dock Corporation, a Delaware corporation</w:t>
      </w:r>
    </w:p>
    <w:p>
      <w:pPr>
        <w:spacing w:after="0" w:line="1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410210</wp:posOffset>
            </wp:positionV>
            <wp:extent cx="7203440" cy="36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3" w:right="299" w:bottom="1440" w:gutter="0" w:footer="0" w:header="0"/>
        </w:sectPr>
      </w:pPr>
    </w:p>
    <w:bookmarkStart w:id="90" w:name="page91"/>
    <w:bookmarkEnd w:id="90"/>
    <w:p>
      <w:pPr>
        <w:jc w:val="center"/>
        <w:ind w:left="12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1076960</wp:posOffset>
            </wp:positionH>
            <wp:positionV relativeFrom="page">
              <wp:posOffset>454660</wp:posOffset>
            </wp:positionV>
            <wp:extent cx="302895" cy="3028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8">
                      <a:clrChange>
                        <a:clrFrom>
                          <a:srgbClr val="FFFFFF"/>
                        </a:clrFrom>
                        <a:clrTo>
                          <a:srgbClr val="FFFFFF">
                            <a:alpha val="0"/>
                          </a:srgbClr>
                        </a:clrTo>
                      </a:clrChange>
                      <a:extLst>
                        <a:ext uri="{28A0092B-C50C-407E-A947-70E740481C1C}"/>
                      </a:extLst>
                    </a:blip>
                    <a:srcRect/>
                    <a:stretch>
                      <a:fillRect/>
                    </a:stretch>
                  </pic:blipFill>
                  <pic:spPr bwMode="auto">
                    <a:xfrm>
                      <a:off x="0" y="0"/>
                      <a:ext cx="302895" cy="302895"/>
                    </a:xfrm>
                    <a:prstGeom prst="rect">
                      <a:avLst/>
                    </a:prstGeom>
                    <a:noFill/>
                  </pic:spPr>
                </pic:pic>
              </a:graphicData>
            </a:graphic>
          </wp:anchor>
        </w:drawing>
        <w:t>G</w:t>
      </w:r>
      <w:r>
        <w:rPr>
          <w:rFonts w:ascii="Times New Roman" w:cs="Times New Roman" w:eastAsia="Times New Roman" w:hAnsi="Times New Roman"/>
          <w:sz w:val="9"/>
          <w:szCs w:val="9"/>
          <w:color w:val="auto"/>
        </w:rPr>
        <w:t>reat</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9"/>
          <w:szCs w:val="9"/>
          <w:color w:val="auto"/>
        </w:rPr>
        <w:t>akes</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9"/>
          <w:szCs w:val="9"/>
          <w:color w:val="auto"/>
        </w:rPr>
        <w:t>redge</w:t>
      </w:r>
      <w:r>
        <w:rPr>
          <w:rFonts w:ascii="Times New Roman" w:cs="Times New Roman" w:eastAsia="Times New Roman" w:hAnsi="Times New Roman"/>
          <w:sz w:val="14"/>
          <w:szCs w:val="14"/>
          <w:color w:val="auto"/>
        </w:rPr>
        <w:t xml:space="preserve"> &amp; D</w:t>
      </w:r>
      <w:r>
        <w:rPr>
          <w:rFonts w:ascii="Times New Roman" w:cs="Times New Roman" w:eastAsia="Times New Roman" w:hAnsi="Times New Roman"/>
          <w:sz w:val="9"/>
          <w:szCs w:val="9"/>
          <w:color w:val="auto"/>
        </w:rPr>
        <w:t>ock</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9"/>
          <w:szCs w:val="9"/>
          <w:color w:val="auto"/>
        </w:rPr>
        <w:t>orporation</w:t>
      </w:r>
    </w:p>
    <w:p>
      <w:pPr>
        <w:spacing w:after="0" w:line="25"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5"/>
          <w:szCs w:val="15"/>
          <w:color w:val="auto"/>
        </w:rPr>
        <w:t>olicy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5"/>
          <w:szCs w:val="15"/>
          <w:color w:val="auto"/>
        </w:rPr>
        <w:t>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85725</wp:posOffset>
            </wp:positionV>
            <wp:extent cx="6483350" cy="2139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9">
                      <a:extLst>
                        <a:ext uri="{28A0092B-C50C-407E-A947-70E740481C1C}"/>
                      </a:extLst>
                    </a:blip>
                    <a:srcRect/>
                    <a:stretch>
                      <a:fillRect/>
                    </a:stretch>
                  </pic:blipFill>
                  <pic:spPr bwMode="auto">
                    <a:xfrm>
                      <a:off x="0" y="0"/>
                      <a:ext cx="6483350" cy="213995"/>
                    </a:xfrm>
                    <a:prstGeom prst="rect">
                      <a:avLst/>
                    </a:prstGeom>
                    <a:noFill/>
                  </pic:spPr>
                </pic:pic>
              </a:graphicData>
            </a:graphic>
          </wp:anchor>
        </w:drawing>
      </w:r>
    </w:p>
    <w:p>
      <w:pPr>
        <w:spacing w:after="0" w:line="1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b w:val="1"/>
          <w:bCs w:val="1"/>
          <w:color w:val="auto"/>
        </w:rPr>
        <w:t>Securities Trading and Disclosure of Confidential Information</w:t>
      </w:r>
    </w:p>
    <w:p>
      <w:pPr>
        <w:spacing w:after="0" w:line="58" w:lineRule="exact"/>
        <w:rPr>
          <w:sz w:val="20"/>
          <w:szCs w:val="20"/>
          <w:color w:val="auto"/>
        </w:rPr>
      </w:pPr>
    </w:p>
    <w:tbl>
      <w:tblPr>
        <w:tblLayout w:type="fixed"/>
        <w:tblInd w:w="910" w:type="dxa"/>
        <w:tblCellMar>
          <w:top w:w="0" w:type="dxa"/>
          <w:left w:w="0" w:type="dxa"/>
          <w:bottom w:w="0" w:type="dxa"/>
          <w:right w:w="0" w:type="dxa"/>
        </w:tblCellMar>
      </w:tblPr>
      <w:tr>
        <w:trPr>
          <w:trHeight w:val="80"/>
        </w:trPr>
        <w:tc>
          <w:tcPr>
            <w:tcW w:w="1300" w:type="dxa"/>
            <w:vAlign w:val="bottom"/>
            <w:tcBorders>
              <w:left w:val="single" w:sz="8" w:color="auto"/>
            </w:tcBorders>
          </w:tcPr>
          <w:p>
            <w:pPr>
              <w:spacing w:after="0"/>
              <w:rPr>
                <w:sz w:val="6"/>
                <w:szCs w:val="6"/>
                <w:color w:val="auto"/>
              </w:rPr>
            </w:pPr>
          </w:p>
        </w:tc>
        <w:tc>
          <w:tcPr>
            <w:tcW w:w="3200" w:type="dxa"/>
            <w:vAlign w:val="bottom"/>
            <w:tcBorders>
              <w:right w:val="single" w:sz="8" w:color="auto"/>
            </w:tcBorders>
            <w:gridSpan w:val="2"/>
          </w:tcPr>
          <w:p>
            <w:pPr>
              <w:jc w:val="center"/>
              <w:ind w:right="1246"/>
              <w:spacing w:after="0"/>
              <w:rPr>
                <w:sz w:val="20"/>
                <w:szCs w:val="20"/>
                <w:color w:val="auto"/>
              </w:rPr>
            </w:pPr>
            <w:r>
              <w:rPr>
                <w:rFonts w:ascii="Times New Roman" w:cs="Times New Roman" w:eastAsia="Times New Roman" w:hAnsi="Times New Roman"/>
                <w:sz w:val="7"/>
                <w:szCs w:val="7"/>
                <w:color w:val="auto"/>
              </w:rPr>
              <w:t>Applicable Company Segment:</w:t>
            </w:r>
          </w:p>
        </w:tc>
        <w:tc>
          <w:tcPr>
            <w:tcW w:w="680" w:type="dxa"/>
            <w:vAlign w:val="bottom"/>
          </w:tcPr>
          <w:p>
            <w:pPr>
              <w:spacing w:after="0"/>
              <w:rPr>
                <w:sz w:val="6"/>
                <w:szCs w:val="6"/>
                <w:color w:val="auto"/>
              </w:rPr>
            </w:pPr>
          </w:p>
        </w:tc>
        <w:tc>
          <w:tcPr>
            <w:tcW w:w="100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7"/>
                <w:szCs w:val="7"/>
                <w:color w:val="auto"/>
              </w:rPr>
              <w:t>Revision Frequency:</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7"/>
                <w:szCs w:val="7"/>
                <w:color w:val="auto"/>
              </w:rPr>
              <w:t>Revision Date:</w:t>
            </w:r>
          </w:p>
        </w:tc>
        <w:tc>
          <w:tcPr>
            <w:tcW w:w="320" w:type="dxa"/>
            <w:vAlign w:val="bottom"/>
          </w:tcPr>
          <w:p>
            <w:pPr>
              <w:spacing w:after="0"/>
              <w:rPr>
                <w:sz w:val="6"/>
                <w:szCs w:val="6"/>
                <w:color w:val="auto"/>
              </w:rPr>
            </w:pPr>
          </w:p>
        </w:tc>
        <w:tc>
          <w:tcPr>
            <w:tcW w:w="1340" w:type="dxa"/>
            <w:vAlign w:val="bottom"/>
            <w:tcBorders>
              <w:right w:val="single" w:sz="8" w:color="auto"/>
            </w:tcBorders>
          </w:tcPr>
          <w:p>
            <w:pPr>
              <w:jc w:val="center"/>
              <w:ind w:right="286"/>
              <w:spacing w:after="0"/>
              <w:rPr>
                <w:sz w:val="20"/>
                <w:szCs w:val="20"/>
                <w:color w:val="auto"/>
              </w:rPr>
            </w:pPr>
            <w:r>
              <w:rPr>
                <w:rFonts w:ascii="Times New Roman" w:cs="Times New Roman" w:eastAsia="Times New Roman" w:hAnsi="Times New Roman"/>
                <w:sz w:val="7"/>
                <w:szCs w:val="7"/>
                <w:color w:val="auto"/>
              </w:rPr>
              <w:t>Page:</w:t>
            </w:r>
          </w:p>
        </w:tc>
      </w:tr>
      <w:tr>
        <w:trPr>
          <w:trHeight w:val="198"/>
        </w:trPr>
        <w:tc>
          <w:tcPr>
            <w:tcW w:w="1300" w:type="dxa"/>
            <w:vAlign w:val="bottom"/>
            <w:tcBorders>
              <w:left w:val="single" w:sz="8" w:color="auto"/>
              <w:bottom w:val="single" w:sz="8" w:color="auto"/>
            </w:tcBorders>
          </w:tcPr>
          <w:p>
            <w:pPr>
              <w:spacing w:after="0"/>
              <w:rPr>
                <w:sz w:val="17"/>
                <w:szCs w:val="17"/>
                <w:color w:val="auto"/>
              </w:rPr>
            </w:pPr>
          </w:p>
        </w:tc>
        <w:tc>
          <w:tcPr>
            <w:tcW w:w="3200" w:type="dxa"/>
            <w:vAlign w:val="bottom"/>
            <w:tcBorders>
              <w:bottom w:val="single" w:sz="8" w:color="auto"/>
              <w:right w:val="single" w:sz="8" w:color="auto"/>
            </w:tcBorders>
            <w:gridSpan w:val="2"/>
          </w:tcPr>
          <w:p>
            <w:pPr>
              <w:jc w:val="center"/>
              <w:ind w:right="1246"/>
              <w:spacing w:after="0"/>
              <w:rPr>
                <w:sz w:val="20"/>
                <w:szCs w:val="20"/>
                <w:color w:val="auto"/>
              </w:rPr>
            </w:pPr>
            <w:r>
              <w:rPr>
                <w:rFonts w:ascii="Times New Roman" w:cs="Times New Roman" w:eastAsia="Times New Roman" w:hAnsi="Times New Roman"/>
                <w:sz w:val="14"/>
                <w:szCs w:val="14"/>
                <w:color w:val="auto"/>
              </w:rPr>
              <w:t>Corporate Policy (all divisions)</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color w:val="auto"/>
              </w:rPr>
              <w:t>Annually</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9, 2024</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center"/>
              <w:ind w:right="286"/>
              <w:spacing w:after="0"/>
              <w:rPr>
                <w:sz w:val="20"/>
                <w:szCs w:val="20"/>
                <w:color w:val="auto"/>
              </w:rPr>
            </w:pPr>
            <w:r>
              <w:rPr>
                <w:rFonts w:ascii="Times New Roman" w:cs="Times New Roman" w:eastAsia="Times New Roman" w:hAnsi="Times New Roman"/>
                <w:sz w:val="14"/>
                <w:szCs w:val="14"/>
                <w:color w:val="auto"/>
              </w:rPr>
              <w:t>Page 2 of 12</w:t>
            </w:r>
          </w:p>
        </w:tc>
      </w:tr>
      <w:tr>
        <w:trPr>
          <w:trHeight w:val="70"/>
        </w:trPr>
        <w:tc>
          <w:tcPr>
            <w:tcW w:w="1300" w:type="dxa"/>
            <w:vAlign w:val="bottom"/>
            <w:tcBorders>
              <w:left w:val="single" w:sz="8" w:color="auto"/>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3080" w:type="dxa"/>
            <w:vAlign w:val="bottom"/>
            <w:gridSpan w:val="2"/>
          </w:tcPr>
          <w:p>
            <w:pPr>
              <w:jc w:val="center"/>
              <w:ind w:left="926"/>
              <w:spacing w:after="0" w:line="71" w:lineRule="exact"/>
              <w:rPr>
                <w:sz w:val="20"/>
                <w:szCs w:val="20"/>
                <w:color w:val="auto"/>
              </w:rPr>
            </w:pPr>
            <w:r>
              <w:rPr>
                <w:rFonts w:ascii="Times New Roman" w:cs="Times New Roman" w:eastAsia="Times New Roman" w:hAnsi="Times New Roman"/>
                <w:sz w:val="7"/>
                <w:szCs w:val="7"/>
                <w:color w:val="auto"/>
              </w:rPr>
              <w:t>Policy Owner:</w:t>
            </w:r>
          </w:p>
        </w:tc>
        <w:tc>
          <w:tcPr>
            <w:tcW w:w="1000" w:type="dxa"/>
            <w:vAlign w:val="bottom"/>
            <w:tcBorders>
              <w:right w:val="single" w:sz="8" w:color="auto"/>
            </w:tcBorders>
          </w:tcPr>
          <w:p>
            <w:pPr>
              <w:spacing w:after="0"/>
              <w:rPr>
                <w:sz w:val="6"/>
                <w:szCs w:val="6"/>
                <w:color w:val="auto"/>
              </w:rPr>
            </w:pPr>
          </w:p>
        </w:tc>
        <w:tc>
          <w:tcPr>
            <w:tcW w:w="2640" w:type="dxa"/>
            <w:vAlign w:val="bottom"/>
            <w:gridSpan w:val="2"/>
          </w:tcPr>
          <w:p>
            <w:pPr>
              <w:jc w:val="center"/>
              <w:ind w:left="1246"/>
              <w:spacing w:after="0" w:line="71" w:lineRule="exact"/>
              <w:rPr>
                <w:sz w:val="20"/>
                <w:szCs w:val="20"/>
                <w:color w:val="auto"/>
              </w:rPr>
            </w:pPr>
            <w:r>
              <w:rPr>
                <w:rFonts w:ascii="Times New Roman" w:cs="Times New Roman" w:eastAsia="Times New Roman" w:hAnsi="Times New Roman"/>
                <w:sz w:val="7"/>
                <w:szCs w:val="7"/>
                <w:color w:val="auto"/>
              </w:rPr>
              <w:t>Approved By:</w:t>
            </w:r>
          </w:p>
        </w:tc>
        <w:tc>
          <w:tcPr>
            <w:tcW w:w="1340" w:type="dxa"/>
            <w:vAlign w:val="bottom"/>
            <w:tcBorders>
              <w:right w:val="single" w:sz="8" w:color="auto"/>
            </w:tcBorders>
          </w:tcPr>
          <w:p>
            <w:pPr>
              <w:spacing w:after="0"/>
              <w:rPr>
                <w:sz w:val="6"/>
                <w:szCs w:val="6"/>
                <w:color w:val="auto"/>
              </w:rPr>
            </w:pPr>
          </w:p>
        </w:tc>
      </w:tr>
      <w:tr>
        <w:trPr>
          <w:trHeight w:val="214"/>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gridSpan w:val="2"/>
          </w:tcPr>
          <w:p>
            <w:pPr>
              <w:jc w:val="center"/>
              <w:ind w:left="926"/>
              <w:spacing w:after="0"/>
              <w:rPr>
                <w:sz w:val="20"/>
                <w:szCs w:val="20"/>
                <w:color w:val="auto"/>
              </w:rPr>
            </w:pPr>
            <w:r>
              <w:rPr>
                <w:rFonts w:ascii="Times New Roman" w:cs="Times New Roman" w:eastAsia="Times New Roman" w:hAnsi="Times New Roman"/>
                <w:sz w:val="14"/>
                <w:szCs w:val="14"/>
                <w:color w:val="auto"/>
              </w:rPr>
              <w:t>Chief Compliance Officer</w:t>
            </w:r>
          </w:p>
        </w:tc>
        <w:tc>
          <w:tcPr>
            <w:tcW w:w="100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tcBorders>
            <w:gridSpan w:val="2"/>
          </w:tcPr>
          <w:p>
            <w:pPr>
              <w:jc w:val="center"/>
              <w:ind w:left="1266"/>
              <w:spacing w:after="0"/>
              <w:rPr>
                <w:sz w:val="20"/>
                <w:szCs w:val="20"/>
                <w:color w:val="auto"/>
              </w:rPr>
            </w:pPr>
            <w:r>
              <w:rPr>
                <w:rFonts w:ascii="Times New Roman" w:cs="Times New Roman" w:eastAsia="Times New Roman" w:hAnsi="Times New Roman"/>
                <w:sz w:val="14"/>
                <w:szCs w:val="14"/>
                <w:color w:val="auto"/>
              </w:rPr>
              <w:t>Board of Directors</w:t>
            </w:r>
          </w:p>
        </w:tc>
        <w:tc>
          <w:tcPr>
            <w:tcW w:w="13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Material Information</w:t>
      </w:r>
      <w:r>
        <w:rPr>
          <w:rFonts w:ascii="Times New Roman" w:cs="Times New Roman" w:eastAsia="Times New Roman" w:hAnsi="Times New Roman"/>
          <w:sz w:val="13"/>
          <w:szCs w:val="13"/>
          <w:color w:val="auto"/>
        </w:rPr>
        <w:t>: Information that could reasonably affect a reasonable person’s investment decision whether to buy, sell or hold the stock.</w:t>
      </w:r>
    </w:p>
    <w:p>
      <w:pPr>
        <w:spacing w:after="0" w:line="146" w:lineRule="exact"/>
        <w:rPr>
          <w:sz w:val="20"/>
          <w:szCs w:val="20"/>
          <w:color w:val="auto"/>
        </w:rPr>
      </w:pPr>
    </w:p>
    <w:p>
      <w:pPr>
        <w:ind w:left="1700" w:right="260"/>
        <w:spacing w:after="0" w:line="284" w:lineRule="auto"/>
        <w:rPr>
          <w:sz w:val="20"/>
          <w:szCs w:val="20"/>
          <w:color w:val="auto"/>
        </w:rPr>
      </w:pPr>
      <w:r>
        <w:rPr>
          <w:rFonts w:ascii="Times New Roman" w:cs="Times New Roman" w:eastAsia="Times New Roman" w:hAnsi="Times New Roman"/>
          <w:sz w:val="13"/>
          <w:szCs w:val="13"/>
          <w:u w:val="single" w:color="auto"/>
          <w:color w:val="auto"/>
        </w:rPr>
        <w:t>Non-public Information:</w:t>
      </w:r>
      <w:r>
        <w:rPr>
          <w:rFonts w:ascii="Times New Roman" w:cs="Times New Roman" w:eastAsia="Times New Roman" w:hAnsi="Times New Roman"/>
          <w:sz w:val="13"/>
          <w:szCs w:val="13"/>
          <w:color w:val="auto"/>
        </w:rPr>
        <w:t xml:space="preserve"> Information that has not been disclosed to the public in a manner designed to reach investors generally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xml:space="preserve"> SEC filings, press releases or publicly accessible conference calls) and, even after such a disclosure has been made, until a reasonable time has passed after it has been disclosed.</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Officer</w:t>
      </w:r>
      <w:r>
        <w:rPr>
          <w:rFonts w:ascii="Times New Roman" w:cs="Times New Roman" w:eastAsia="Times New Roman" w:hAnsi="Times New Roman"/>
          <w:sz w:val="13"/>
          <w:szCs w:val="13"/>
          <w:color w:val="auto"/>
        </w:rPr>
        <w:t>: The principal officers of the Company and may include officers of subsidiaries.</w:t>
      </w:r>
    </w:p>
    <w:p>
      <w:pPr>
        <w:spacing w:after="0" w:line="1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Pre-Clearance Officer</w:t>
      </w:r>
      <w:r>
        <w:rPr>
          <w:rFonts w:ascii="Times New Roman" w:cs="Times New Roman" w:eastAsia="Times New Roman" w:hAnsi="Times New Roman"/>
          <w:sz w:val="13"/>
          <w:szCs w:val="13"/>
          <w:color w:val="auto"/>
        </w:rPr>
        <w:t>: The Chief Compliance Officer or the Chief Financial Officer</w:t>
      </w:r>
    </w:p>
    <w:p>
      <w:pPr>
        <w:spacing w:after="0" w:line="1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Securities and Exchange Commission</w:t>
      </w:r>
    </w:p>
    <w:p>
      <w:pPr>
        <w:spacing w:after="0" w:line="1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Short sales of Company securities</w:t>
      </w:r>
      <w:r>
        <w:rPr>
          <w:rFonts w:ascii="Times New Roman" w:cs="Times New Roman" w:eastAsia="Times New Roman" w:hAnsi="Times New Roman"/>
          <w:sz w:val="13"/>
          <w:szCs w:val="13"/>
          <w:color w:val="auto"/>
        </w:rPr>
        <w:t>: The sale of a security that the seller does not own.</w:t>
      </w:r>
    </w:p>
    <w:p>
      <w:pPr>
        <w:spacing w:after="0" w:line="15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3"/>
          <w:szCs w:val="13"/>
          <w:b w:val="1"/>
          <w:bCs w:val="1"/>
          <w:color w:val="auto"/>
        </w:rPr>
        <w:t>Procedure:</w:t>
      </w:r>
      <w:r>
        <w:rPr>
          <w:sz w:val="20"/>
          <w:szCs w:val="20"/>
          <w:color w:val="auto"/>
        </w:rPr>
        <w:tab/>
      </w:r>
      <w:r>
        <w:rPr>
          <w:rFonts w:ascii="Times New Roman" w:cs="Times New Roman" w:eastAsia="Times New Roman" w:hAnsi="Times New Roman"/>
          <w:sz w:val="13"/>
          <w:szCs w:val="13"/>
          <w:i w:val="1"/>
          <w:iCs w:val="1"/>
          <w:color w:val="auto"/>
        </w:rPr>
        <w:t>See Attached Document and Addenda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411480</wp:posOffset>
            </wp:positionV>
            <wp:extent cx="7203440" cy="368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0"/>
          </w:cols>
          <w:pgMar w:left="300" w:top="742" w:right="539" w:bottom="1440" w:gutter="0" w:footer="0" w:header="0"/>
        </w:sectPr>
      </w:pPr>
    </w:p>
    <w:bookmarkStart w:id="91" w:name="page92"/>
    <w:bookmarkEnd w:id="91"/>
    <w:p>
      <w:pPr>
        <w:spacing w:after="0" w:line="3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5517515</wp:posOffset>
            </wp:positionH>
            <wp:positionV relativeFrom="page">
              <wp:posOffset>523240</wp:posOffset>
            </wp:positionV>
            <wp:extent cx="548640" cy="5543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548640" cy="554355"/>
                    </a:xfrm>
                    <a:prstGeom prst="rect">
                      <a:avLst/>
                    </a:prstGeom>
                    <a:noFill/>
                  </pic:spPr>
                </pic:pic>
              </a:graphicData>
            </a:graphic>
          </wp:anchor>
        </w:drawing>
      </w:r>
    </w:p>
    <w:p>
      <w:pPr>
        <w:ind w:left="3060"/>
        <w:spacing w:after="0"/>
        <w:rPr>
          <w:sz w:val="20"/>
          <w:szCs w:val="20"/>
          <w:color w:val="auto"/>
        </w:rPr>
      </w:pPr>
      <w:r>
        <w:rPr>
          <w:rFonts w:ascii="Times New Roman" w:cs="Times New Roman" w:eastAsia="Times New Roman" w:hAnsi="Times New Roman"/>
          <w:sz w:val="14"/>
          <w:szCs w:val="14"/>
          <w:b w:val="1"/>
          <w:bCs w:val="1"/>
          <w:color w:val="auto"/>
        </w:rPr>
        <w:t>GREAT LAKES DREDGE &amp; DOCK CORPORATION</w:t>
      </w:r>
    </w:p>
    <w:p>
      <w:pPr>
        <w:spacing w:after="0" w:line="14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b w:val="1"/>
          <w:bCs w:val="1"/>
          <w:color w:val="auto"/>
        </w:rPr>
        <w:t>STATEMENT OF POLICY TO DIRECTORS, OFFICERS</w:t>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AND KEY EMPLOYEES CONCERNING</w:t>
      </w:r>
    </w:p>
    <w:p>
      <w:pPr>
        <w:spacing w:after="0" w:line="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SECURITIES TRADING AND DISCLOSURE OF</w:t>
      </w:r>
    </w:p>
    <w:p>
      <w:pPr>
        <w:spacing w:after="0" w:line="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CONFIDENTIAL INFORMATION</w:t>
      </w:r>
    </w:p>
    <w:p>
      <w:pPr>
        <w:spacing w:after="0" w:line="127" w:lineRule="exact"/>
        <w:rPr>
          <w:sz w:val="20"/>
          <w:szCs w:val="20"/>
          <w:color w:val="auto"/>
        </w:rPr>
      </w:pPr>
    </w:p>
    <w:p>
      <w:pPr>
        <w:jc w:val="both"/>
        <w:ind w:firstLine="754"/>
        <w:spacing w:after="0" w:line="252" w:lineRule="auto"/>
        <w:rPr>
          <w:sz w:val="20"/>
          <w:szCs w:val="20"/>
          <w:color w:val="auto"/>
        </w:rPr>
      </w:pPr>
      <w:r>
        <w:rPr>
          <w:rFonts w:ascii="Times New Roman" w:cs="Times New Roman" w:eastAsia="Times New Roman" w:hAnsi="Times New Roman"/>
          <w:sz w:val="14"/>
          <w:szCs w:val="14"/>
          <w:color w:val="auto"/>
        </w:rPr>
        <w:t>This Policy Statement has been adopted by the Board of Directors of Great Lakes Dredge &amp; Dock Corporation,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adopting this Policy Statement, the Board is mindful that the Company has responsibilities to several constituencies and has various objectives and that the manner in which the Company’s senior personnel trade in the Company’s securities can affect those responsibilities and objectives. Consequently, while all Company personnel are required to comply with applicable law, this Policy Statement is broader than mere compliance with applicable securities laws and may prohibit conduct that is permitted by applicable law. Compliance with this Policy Statement is required of all “senior personnel” of the Company. The term “</w:t>
      </w:r>
      <w:r>
        <w:rPr>
          <w:rFonts w:ascii="Times New Roman" w:cs="Times New Roman" w:eastAsia="Times New Roman" w:hAnsi="Times New Roman"/>
          <w:sz w:val="14"/>
          <w:szCs w:val="14"/>
          <w:b w:val="1"/>
          <w:bCs w:val="1"/>
          <w:color w:val="auto"/>
        </w:rPr>
        <w:t>senior personnel</w:t>
      </w:r>
      <w:r>
        <w:rPr>
          <w:rFonts w:ascii="Times New Roman" w:cs="Times New Roman" w:eastAsia="Times New Roman" w:hAnsi="Times New Roman"/>
          <w:sz w:val="14"/>
          <w:szCs w:val="14"/>
          <w:color w:val="auto"/>
        </w:rPr>
        <w:t>” means:</w:t>
      </w:r>
    </w:p>
    <w:p>
      <w:pPr>
        <w:spacing w:after="0" w:line="111" w:lineRule="exact"/>
        <w:rPr>
          <w:sz w:val="20"/>
          <w:szCs w:val="20"/>
          <w:color w:val="auto"/>
        </w:rPr>
      </w:pPr>
    </w:p>
    <w:p>
      <w:pPr>
        <w:ind w:left="1100" w:hanging="355"/>
        <w:spacing w:after="0"/>
        <w:tabs>
          <w:tab w:leader="none" w:pos="1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directors and executive officers of the Company;</w:t>
      </w:r>
    </w:p>
    <w:p>
      <w:pPr>
        <w:spacing w:after="0" w:line="145" w:lineRule="exact"/>
        <w:rPr>
          <w:rFonts w:ascii="Times New Roman" w:cs="Times New Roman" w:eastAsia="Times New Roman" w:hAnsi="Times New Roman"/>
          <w:sz w:val="14"/>
          <w:szCs w:val="14"/>
          <w:color w:val="auto"/>
        </w:rPr>
      </w:pPr>
    </w:p>
    <w:p>
      <w:pPr>
        <w:ind w:left="1100" w:hanging="355"/>
        <w:spacing w:after="0"/>
        <w:tabs>
          <w:tab w:leader="none" w:pos="1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directors and officers of the subsidiaries of the Company whom the Company may designate;</w:t>
      </w:r>
    </w:p>
    <w:p>
      <w:pPr>
        <w:spacing w:after="0" w:line="145" w:lineRule="exact"/>
        <w:rPr>
          <w:rFonts w:ascii="Times New Roman" w:cs="Times New Roman" w:eastAsia="Times New Roman" w:hAnsi="Times New Roman"/>
          <w:sz w:val="14"/>
          <w:szCs w:val="14"/>
          <w:color w:val="auto"/>
        </w:rPr>
      </w:pPr>
    </w:p>
    <w:p>
      <w:pPr>
        <w:ind w:left="1100" w:hanging="355"/>
        <w:spacing w:after="0"/>
        <w:tabs>
          <w:tab w:leader="none" w:pos="1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non-executive officers and other key employees whom the Company may designate; and</w:t>
      </w:r>
    </w:p>
    <w:p>
      <w:pPr>
        <w:spacing w:after="0" w:line="145" w:lineRule="exact"/>
        <w:rPr>
          <w:sz w:val="20"/>
          <w:szCs w:val="20"/>
          <w:color w:val="auto"/>
        </w:rPr>
      </w:pPr>
    </w:p>
    <w:p>
      <w:pPr>
        <w:jc w:val="both"/>
        <w:ind w:firstLine="754"/>
        <w:spacing w:after="0" w:line="255" w:lineRule="auto"/>
        <w:rPr>
          <w:sz w:val="20"/>
          <w:szCs w:val="20"/>
          <w:color w:val="auto"/>
        </w:rPr>
      </w:pPr>
      <w:r>
        <w:rPr>
          <w:rFonts w:ascii="Times New Roman" w:cs="Times New Roman" w:eastAsia="Times New Roman" w:hAnsi="Times New Roman"/>
          <w:sz w:val="14"/>
          <w:szCs w:val="14"/>
          <w:color w:val="auto"/>
        </w:rPr>
        <w:t>This Policy Statement also applies to senior personnel’s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Senior personnel are responsible for the transactions of these other persons and therefore should make them aware of the need to confer with you before they trade in the Company’s securities.</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Prohibition Against Trading and Tipping While Aware of Material, Non-Public Information</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jc w:val="both"/>
        <w:ind w:firstLine="754"/>
        <w:spacing w:after="0" w:line="255" w:lineRule="auto"/>
        <w:rPr>
          <w:sz w:val="20"/>
          <w:szCs w:val="20"/>
          <w:color w:val="auto"/>
        </w:rPr>
      </w:pPr>
      <w:r>
        <w:rPr>
          <w:rFonts w:ascii="Times New Roman" w:cs="Times New Roman" w:eastAsia="Times New Roman" w:hAnsi="Times New Roman"/>
          <w:sz w:val="14"/>
          <w:szCs w:val="14"/>
          <w:color w:val="auto"/>
        </w:rPr>
        <w:t xml:space="preserve">It is a violation of Company policy for any person to engage in any transaction, which shall include any purchase, sale, gift or other transfer in the Company’s securities if he or she is aware of material, non-public information concerning the Company. It also violates Company policy for any senior personnel in possession of material, non-public information to recommend that another person buy or sell the Company’s securities. Information is </w:t>
      </w:r>
      <w:r>
        <w:rPr>
          <w:rFonts w:ascii="Times New Roman" w:cs="Times New Roman" w:eastAsia="Times New Roman" w:hAnsi="Times New Roman"/>
          <w:sz w:val="14"/>
          <w:szCs w:val="14"/>
          <w:u w:val="single" w:color="auto"/>
          <w:color w:val="auto"/>
        </w:rPr>
        <w:t>material</w:t>
      </w:r>
      <w:r>
        <w:rPr>
          <w:rFonts w:ascii="Times New Roman" w:cs="Times New Roman" w:eastAsia="Times New Roman" w:hAnsi="Times New Roman"/>
          <w:sz w:val="14"/>
          <w:szCs w:val="14"/>
          <w:color w:val="auto"/>
        </w:rPr>
        <w:t xml:space="preserve"> if it could reasonably affect a reasonable person’s investment decision whether to buy, sell or hold the stock. Although it is not possible to list all types of information that might be deemed material under particular</w:t>
      </w:r>
    </w:p>
    <w:p>
      <w:pPr>
        <w:spacing w:after="0" w:line="1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318770</wp:posOffset>
            </wp:positionV>
            <wp:extent cx="7203440"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1440" w:right="639" w:bottom="1440" w:gutter="0" w:footer="0" w:header="0"/>
        </w:sectPr>
      </w:pPr>
    </w:p>
    <w:bookmarkStart w:id="92" w:name="page93"/>
    <w:bookmarkEnd w:id="92"/>
    <w:p>
      <w:pPr>
        <w:jc w:val="both"/>
        <w:spacing w:after="0" w:line="248" w:lineRule="auto"/>
        <w:rPr>
          <w:sz w:val="20"/>
          <w:szCs w:val="20"/>
          <w:color w:val="auto"/>
        </w:rPr>
      </w:pPr>
      <w:r>
        <w:rPr>
          <w:rFonts w:ascii="Times New Roman" w:cs="Times New Roman" w:eastAsia="Times New Roman" w:hAnsi="Times New Roman"/>
          <w:sz w:val="14"/>
          <w:szCs w:val="14"/>
          <w:color w:val="auto"/>
        </w:rPr>
        <w:t>circumstances, information concerning the following subjects is often found material: (i) internal forecasts or budgets; (ii) significant acquisitions or dispositions (including mergers, tender offers and asset purchase or sale transactions); (iii) changes in debt ratings; (iv) significant write-downs of assets or additions to reserves for bad debts or contingent liabilities; (v) liquidity problems; (vi) stock splits and repurchases; (vii) extraordinary management developments; (viii) significant financing transactions; (ix) major price or marketing changes; (xii) labor negotiations; (xiii) significant litigation or investigations by governmental bodies; (xiv) unusual gains or losses in major operations; (xv) award or loss of a significant contract; (xvi) a major cybersecurity incident; and (xvii) significant changes in the Company’s prospects. Information about a company generally is not material if its public dissemination would not have any impact on the price of the Company’s publicly traded securities. It should be noted that either positive or adverse information may be material.</w:t>
      </w:r>
    </w:p>
    <w:p>
      <w:pPr>
        <w:spacing w:after="0" w:line="114" w:lineRule="exact"/>
        <w:rPr>
          <w:sz w:val="20"/>
          <w:szCs w:val="20"/>
          <w:color w:val="auto"/>
        </w:rPr>
      </w:pPr>
    </w:p>
    <w:p>
      <w:pPr>
        <w:jc w:val="both"/>
        <w:ind w:firstLine="754"/>
        <w:spacing w:after="0" w:line="282" w:lineRule="auto"/>
        <w:rPr>
          <w:sz w:val="20"/>
          <w:szCs w:val="20"/>
          <w:color w:val="auto"/>
        </w:rPr>
      </w:pPr>
      <w:r>
        <w:rPr>
          <w:rFonts w:ascii="Times New Roman" w:cs="Times New Roman" w:eastAsia="Times New Roman" w:hAnsi="Times New Roman"/>
          <w:sz w:val="14"/>
          <w:szCs w:val="14"/>
          <w:color w:val="auto"/>
        </w:rPr>
        <w:t>It should also be noted that materiality may depend on the type of securities involved in the analysis. Materiality can frequently be uncertain and, since your actions will be judged with hindsight, caution should be exercised. If you have any questions in this area, you should contact the Chief Compliance Officer.</w:t>
      </w:r>
    </w:p>
    <w:p>
      <w:pPr>
        <w:spacing w:after="0" w:line="88" w:lineRule="exact"/>
        <w:rPr>
          <w:sz w:val="20"/>
          <w:szCs w:val="20"/>
          <w:color w:val="auto"/>
        </w:rPr>
      </w:pPr>
    </w:p>
    <w:p>
      <w:pPr>
        <w:jc w:val="both"/>
        <w:ind w:firstLine="754"/>
        <w:spacing w:after="0" w:line="250" w:lineRule="auto"/>
        <w:rPr>
          <w:sz w:val="20"/>
          <w:szCs w:val="20"/>
          <w:color w:val="auto"/>
        </w:rPr>
      </w:pPr>
      <w:r>
        <w:rPr>
          <w:rFonts w:ascii="Times New Roman" w:cs="Times New Roman" w:eastAsia="Times New Roman" w:hAnsi="Times New Roman"/>
          <w:sz w:val="14"/>
          <w:szCs w:val="14"/>
          <w:color w:val="auto"/>
        </w:rPr>
        <w:t xml:space="preserve">Information is </w:t>
      </w:r>
      <w:r>
        <w:rPr>
          <w:rFonts w:ascii="Times New Roman" w:cs="Times New Roman" w:eastAsia="Times New Roman" w:hAnsi="Times New Roman"/>
          <w:sz w:val="14"/>
          <w:szCs w:val="14"/>
          <w:u w:val="single" w:color="auto"/>
          <w:color w:val="auto"/>
        </w:rPr>
        <w:t>non-public</w:t>
      </w:r>
      <w:r>
        <w:rPr>
          <w:rFonts w:ascii="Times New Roman" w:cs="Times New Roman" w:eastAsia="Times New Roman" w:hAnsi="Times New Roman"/>
          <w:sz w:val="14"/>
          <w:szCs w:val="14"/>
          <w:color w:val="auto"/>
        </w:rPr>
        <w:t xml:space="preserve"> if it has not been disclosed to the public in a manner designed to reach investors generally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SEC filings, press releases or publicly accessible conference calls) and, even after such a disclosure has been made, until a reasonable time has passed after it has been disclosed by means likely to result in widespread public awareness. It also violates Company policy for any senior personnel to use any non-public information about the Company for personal benefit, including by trading in the securities in another company such as a competitor, customer or supplier of the Company. These prohibitions against trading while in possession of material, non-public information (or using such information for personal benefit) also apply to material, non-public information about any other company that has been obtained in the course of a person’s work for the Company.</w:t>
      </w:r>
    </w:p>
    <w:p>
      <w:pPr>
        <w:spacing w:after="0" w:line="112" w:lineRule="exact"/>
        <w:rPr>
          <w:sz w:val="20"/>
          <w:szCs w:val="20"/>
          <w:color w:val="auto"/>
        </w:rPr>
      </w:pPr>
    </w:p>
    <w:p>
      <w:pPr>
        <w:jc w:val="both"/>
        <w:ind w:firstLine="754"/>
        <w:spacing w:after="0" w:line="261" w:lineRule="auto"/>
        <w:rPr>
          <w:sz w:val="20"/>
          <w:szCs w:val="20"/>
          <w:color w:val="auto"/>
        </w:rPr>
      </w:pPr>
      <w:r>
        <w:rPr>
          <w:rFonts w:ascii="Times New Roman" w:cs="Times New Roman" w:eastAsia="Times New Roman" w:hAnsi="Times New Roman"/>
          <w:sz w:val="14"/>
          <w:szCs w:val="14"/>
          <w:color w:val="auto"/>
        </w:rPr>
        <w:t>This policy continues to apply to your transactions in Company securities even after you have terminated employment or other services to the Company or a subsidiary. If you are aware of material, non-public information when your employment or service relationship terminates, you may not trade in Company securities until that information becomes public or is no longer material.</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Restrictions on Selective Disclosure of Material, Non-Public Information</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jc w:val="both"/>
        <w:ind w:firstLine="754"/>
        <w:spacing w:after="0" w:line="247" w:lineRule="auto"/>
        <w:rPr>
          <w:sz w:val="20"/>
          <w:szCs w:val="20"/>
          <w:color w:val="auto"/>
        </w:rPr>
      </w:pPr>
      <w:r>
        <w:rPr>
          <w:rFonts w:ascii="Times New Roman" w:cs="Times New Roman" w:eastAsia="Times New Roman" w:hAnsi="Times New Roman"/>
          <w:sz w:val="14"/>
          <w:szCs w:val="14"/>
          <w:color w:val="auto"/>
        </w:rPr>
        <w:t>It is a violation of Company policy to disclose in any manner any material, non-public information to any person except as follows: (i) disclosure to a person who has signed an appropriate agreement to hold such information in confidence; (ii) disclosure to other senior personnel of the Company; (iii) disclosure to Company personnel who need the information to carry out their services to the Company; (iv) disclosure to the Company’s lawyers, accountants or advisors if the information disclosed is related to a matter on which they are involved; or (v) as approved by the Chief Executive Officer, Chief Financial Officer or Chief Legal Officer of the Company. All communications with investors, investor representatives, securities analysts and securities professionals shall be made solely by the Company’s Chief Executive Officer, Chief Financial Officer, Director of Investor Relations or a person specifically designated by any of these individuals. All requests for information about the Company from stockholders, the financial press, investment analysts and others in the media or financial communities, whether or not involving confidential or non-public information, should be directed to Investor Relations at 630-574-3772.</w:t>
      </w:r>
    </w:p>
    <w:p>
      <w:pPr>
        <w:spacing w:after="0" w:line="13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318770</wp:posOffset>
            </wp:positionV>
            <wp:extent cx="7203440"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949" w:right="639" w:bottom="1440" w:gutter="0" w:footer="0" w:header="0"/>
        </w:sectPr>
      </w:pPr>
    </w:p>
    <w:bookmarkStart w:id="93" w:name="page94"/>
    <w:bookmarkEnd w:id="93"/>
    <w:p>
      <w:pPr>
        <w:jc w:val="both"/>
        <w:spacing w:after="0" w:line="251" w:lineRule="auto"/>
        <w:rPr>
          <w:sz w:val="20"/>
          <w:szCs w:val="20"/>
          <w:color w:val="auto"/>
        </w:rPr>
      </w:pPr>
      <w:r>
        <w:rPr>
          <w:rFonts w:ascii="Times New Roman" w:cs="Times New Roman" w:eastAsia="Times New Roman" w:hAnsi="Times New Roman"/>
          <w:sz w:val="14"/>
          <w:szCs w:val="14"/>
          <w:color w:val="auto"/>
        </w:rPr>
        <w:t>If any senior personnel should inadvertently selectively disclose any material, non-public information to any person not covered by the exceptions above, Company policy requires that such inadvertent disclosure be reported as soon as possible to the Chief Financial Officer and the Chief Legal Officer of the Company. Such inadvertent disclosure may arise because of a mistaken belief about the materiality or non-public nature of the disclosed information, the identity of the recipient of such disclosure, the applicability of a confidentiality agreement or numerous other reasons. Applicable law (Regulation FD, in particular) may require the Company publicly to disclose promptly the information that had been inadvertently disclosed.</w:t>
      </w:r>
    </w:p>
    <w:p>
      <w:pPr>
        <w:spacing w:after="0" w:line="1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Blackout Periods and Pre-Clearance Procedures</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jc w:val="both"/>
        <w:ind w:firstLine="754"/>
        <w:spacing w:after="0" w:line="247" w:lineRule="auto"/>
        <w:rPr>
          <w:sz w:val="20"/>
          <w:szCs w:val="20"/>
          <w:color w:val="auto"/>
        </w:rPr>
      </w:pPr>
      <w:r>
        <w:rPr>
          <w:rFonts w:ascii="Times New Roman" w:cs="Times New Roman" w:eastAsia="Times New Roman" w:hAnsi="Times New Roman"/>
          <w:sz w:val="14"/>
          <w:szCs w:val="14"/>
          <w:color w:val="auto"/>
        </w:rPr>
        <w:t>It is not permissible for any senior personnel to engage in any transaction, which shall include any purchase, sale, gift, or other transfer in the Company’s securities without first obtaining pre-clearance of the transaction from the Chief Compliance Officer or the Chief Financial Officer. The officer providing such pre-clearance is referred to herein as the “</w:t>
      </w:r>
      <w:r>
        <w:rPr>
          <w:rFonts w:ascii="Times New Roman" w:cs="Times New Roman" w:eastAsia="Times New Roman" w:hAnsi="Times New Roman"/>
          <w:sz w:val="14"/>
          <w:szCs w:val="14"/>
          <w:b w:val="1"/>
          <w:bCs w:val="1"/>
          <w:color w:val="auto"/>
        </w:rPr>
        <w:t>Pre- Clearance Officer</w:t>
      </w:r>
      <w:r>
        <w:rPr>
          <w:rFonts w:ascii="Times New Roman" w:cs="Times New Roman" w:eastAsia="Times New Roman" w:hAnsi="Times New Roman"/>
          <w:sz w:val="14"/>
          <w:szCs w:val="14"/>
          <w:color w:val="auto"/>
        </w:rPr>
        <w:t>.” A request for pre-clearance should be submitted to the Pre-Clearance Officer at least two days in advance of the proposed transaction. Normally, the Pre-Clearance Officer will clear, to the extent consistent with Company policy, any transaction that complies with this Policy Statement and applicable securities law and occurs outside of a period where all such transactions are expressly prohibited (a “</w:t>
      </w:r>
      <w:r>
        <w:rPr>
          <w:rFonts w:ascii="Times New Roman" w:cs="Times New Roman" w:eastAsia="Times New Roman" w:hAnsi="Times New Roman"/>
          <w:sz w:val="14"/>
          <w:szCs w:val="14"/>
          <w:b w:val="1"/>
          <w:bCs w:val="1"/>
          <w:color w:val="auto"/>
        </w:rPr>
        <w:t>Blackout Period</w:t>
      </w:r>
      <w:r>
        <w:rPr>
          <w:rFonts w:ascii="Times New Roman" w:cs="Times New Roman" w:eastAsia="Times New Roman" w:hAnsi="Times New Roman"/>
          <w:sz w:val="14"/>
          <w:szCs w:val="14"/>
          <w:color w:val="auto"/>
        </w:rPr>
        <w:t>”). However, the Pre-Clearance Officer is under no obligation to approve, and may determine not to permit, any transaction submitted for pre- clearance, even if the transaction falls outside of a “Blackout Period.” If pre- clearance is denied, such denial must be kept confidential by the person requesting pre-clearance. Unless otherwise provided, pre-clearance of a transaction is valid for three business days. If the transaction is not executed within that time, the person requesting pre-clearance must request pre-clearance again.</w:t>
      </w:r>
    </w:p>
    <w:p>
      <w:pPr>
        <w:spacing w:after="0" w:line="113" w:lineRule="exact"/>
        <w:rPr>
          <w:sz w:val="20"/>
          <w:szCs w:val="20"/>
          <w:color w:val="auto"/>
        </w:rPr>
      </w:pPr>
    </w:p>
    <w:p>
      <w:pPr>
        <w:jc w:val="both"/>
        <w:ind w:firstLine="754"/>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Quarterly Blackout Period. </w:t>
      </w:r>
      <w:r>
        <w:rPr>
          <w:rFonts w:ascii="Times New Roman" w:cs="Times New Roman" w:eastAsia="Times New Roman" w:hAnsi="Times New Roman"/>
          <w:sz w:val="14"/>
          <w:szCs w:val="14"/>
          <w:color w:val="auto"/>
        </w:rPr>
        <w:t>The most common form of “Blackout Period” shall mean the period beginning at the start of the fifteenth day of the last month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end of each quarter and ending at the start of trading on the Nasdaq Stock Market on the second full trading day following the Company’s earnings press release for any quarter or year end. The release of quarterly or annual financial results invariably has the potential to have a material effect on the market for the Company’s securities. As such, the quarterly Blackout Period is imposed to avoid even the appearance of insider trading. No transaction in Company securities may be conducted during a Quarterly Blackout Period other than pursuant to a properly adopted Rule 10b5-1 trading plan.</w:t>
      </w:r>
    </w:p>
    <w:p>
      <w:pPr>
        <w:spacing w:after="0" w:line="109" w:lineRule="exact"/>
        <w:rPr>
          <w:sz w:val="20"/>
          <w:szCs w:val="20"/>
          <w:color w:val="auto"/>
        </w:rPr>
      </w:pPr>
    </w:p>
    <w:p>
      <w:pPr>
        <w:jc w:val="both"/>
        <w:ind w:firstLine="754"/>
        <w:spacing w:after="0" w:line="248" w:lineRule="auto"/>
        <w:rPr>
          <w:sz w:val="20"/>
          <w:szCs w:val="20"/>
          <w:color w:val="auto"/>
        </w:rPr>
      </w:pPr>
      <w:r>
        <w:rPr>
          <w:rFonts w:ascii="Times New Roman" w:cs="Times New Roman" w:eastAsia="Times New Roman" w:hAnsi="Times New Roman"/>
          <w:sz w:val="14"/>
          <w:szCs w:val="14"/>
          <w:b w:val="1"/>
          <w:bCs w:val="1"/>
          <w:color w:val="auto"/>
        </w:rPr>
        <w:t>Event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Specific Blackout Period. </w:t>
      </w:r>
      <w:r>
        <w:rPr>
          <w:rFonts w:ascii="Times New Roman" w:cs="Times New Roman" w:eastAsia="Times New Roman" w:hAnsi="Times New Roman"/>
          <w:sz w:val="14"/>
          <w:szCs w:val="14"/>
          <w:color w:val="auto"/>
        </w:rPr>
        <w:t>From time to time, an event may occur that is material to the Company and is known by certain parties. So long as the event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remains material and non- public, directors, officers, and such other persons as are designated by the Pre-Clearance Officer may not trade in the Company’s securities other than pursuant to a properly adopted Rule 10b5-1 trading plan. The existence of an event-specific blackout will not be announced. If, however, a person whose trades are subject to pre-clearance requests permission to trade in the Company’s securities during an event-specific blackout, the Pre-Clearance Officer will inform the requester of the existence of a blackout period, without being required to disclose the reason for the blackout. Any person made aware of the existence of an event-specific blackout should not disclose the existence of the blackout to any other person. The failure of the Pre-Clearance Officer to designate a person as being subject to an event-specific blackout will not relieve that person of the obligation not to trade while aware of material non-public information. A person in possession of material,</w:t>
      </w:r>
    </w:p>
    <w:p>
      <w:pPr>
        <w:spacing w:after="0" w:line="13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318770</wp:posOffset>
            </wp:positionV>
            <wp:extent cx="7203440"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949" w:right="6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non-public information about the Company may not engage in any transaction involving the Company’s securities either outside or inside the Blackout Period.</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u w:val="single" w:color="auto"/>
          <w:color w:val="auto"/>
        </w:rPr>
        <w:t>Prearranged Trading Plans</w:t>
      </w:r>
      <w:r>
        <w:rPr>
          <w:rFonts w:ascii="Times New Roman" w:cs="Times New Roman" w:eastAsia="Times New Roman" w:hAnsi="Times New Roman"/>
          <w:sz w:val="14"/>
          <w:szCs w:val="14"/>
          <w:b w:val="1"/>
          <w:bCs w:val="1"/>
          <w:color w:val="auto"/>
        </w:rPr>
        <w:t>.</w:t>
      </w:r>
    </w:p>
    <w:p>
      <w:pPr>
        <w:spacing w:after="0" w:line="145" w:lineRule="exact"/>
        <w:rPr>
          <w:sz w:val="20"/>
          <w:szCs w:val="20"/>
          <w:color w:val="auto"/>
        </w:rPr>
      </w:pPr>
    </w:p>
    <w:p>
      <w:pPr>
        <w:jc w:val="both"/>
        <w:ind w:firstLine="754"/>
        <w:spacing w:after="0" w:line="252" w:lineRule="auto"/>
        <w:rPr>
          <w:sz w:val="20"/>
          <w:szCs w:val="20"/>
          <w:color w:val="auto"/>
        </w:rPr>
      </w:pPr>
      <w:r>
        <w:rPr>
          <w:rFonts w:ascii="Times New Roman" w:cs="Times New Roman" w:eastAsia="Times New Roman" w:hAnsi="Times New Roman"/>
          <w:sz w:val="14"/>
          <w:szCs w:val="14"/>
          <w:color w:val="auto"/>
        </w:rPr>
        <w:t>Rule 10b5-1(c) under the Securities Exchange Act of 1934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provides an affirmative defense to a claim of insider trading by providing that a person will not be viewed as having traded on the basis of material, non-public information if that person can demonstrate that the transaction was effected pursuant to a properly qualified, adopted and submitted written plan (or contract or instruction) that was established before the person became aware of that information as set forth in the following paragraph. Prearranged trading plans permit an insider to trade during Company Blackout Periods or at a time when the insider is otherwise in possession of material, non-public information.</w:t>
      </w:r>
    </w:p>
    <w:p>
      <w:pPr>
        <w:spacing w:after="0" w:line="111" w:lineRule="exact"/>
        <w:rPr>
          <w:sz w:val="20"/>
          <w:szCs w:val="20"/>
          <w:color w:val="auto"/>
        </w:rPr>
      </w:pPr>
    </w:p>
    <w:p>
      <w:pPr>
        <w:jc w:val="both"/>
        <w:ind w:firstLine="754"/>
        <w:spacing w:after="0" w:line="247" w:lineRule="auto"/>
        <w:rPr>
          <w:sz w:val="20"/>
          <w:szCs w:val="20"/>
          <w:color w:val="auto"/>
        </w:rPr>
      </w:pPr>
      <w:r>
        <w:rPr>
          <w:rFonts w:ascii="Times New Roman" w:cs="Times New Roman" w:eastAsia="Times New Roman" w:hAnsi="Times New Roman"/>
          <w:sz w:val="14"/>
          <w:szCs w:val="14"/>
          <w:color w:val="auto"/>
        </w:rPr>
        <w:t>As a matter of Company policy, senior personnel may not implement a prearranged trading plan under Rule 10b5-1 without prior clearance. Before entering into a trading plan, senior personnel must contact the Pre-Clearance Officer to inquire if a Blackout Period is in effect and to obtain pre-clearance of the contemplated plan. Additionally, senior personnel may make trades pursuant to a plan only if such plan meets the requirements set forth on Addendum 2. Senior personnel may only enter into a trading plan when they are not in possession of material, non- public information. In addition, senior personnel may not enter into a trading plan during a Blackout Period or an employee benefit plan blackout period. Once a trading plan is pre-cleared, and adopted, the person adopting the plan must not exercise any influence over the amount of securities to be traded, the price at which they are to be traded or the date of the trade. Trades made pursuant to Rule 10b5-1 plans by executive officers and directors must still be reported to the Pre- Clearance Officer. Additionally, the person adopting the plan must report any modification or termination of a Rule 10b5-1 plan to the Pre-Clearance Officer within one business day of such modification or termination.</w:t>
      </w:r>
    </w:p>
    <w:p>
      <w:pPr>
        <w:spacing w:after="0" w:line="1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Stock Option Exercises and Equity Award Vesting</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jc w:val="both"/>
        <w:ind w:firstLine="754"/>
        <w:spacing w:after="0" w:line="255" w:lineRule="auto"/>
        <w:rPr>
          <w:sz w:val="20"/>
          <w:szCs w:val="20"/>
          <w:color w:val="auto"/>
        </w:rPr>
      </w:pPr>
      <w:r>
        <w:rPr>
          <w:rFonts w:ascii="Times New Roman" w:cs="Times New Roman" w:eastAsia="Times New Roman" w:hAnsi="Times New Roman"/>
          <w:sz w:val="14"/>
          <w:szCs w:val="14"/>
          <w:color w:val="auto"/>
        </w:rPr>
        <w:t>This Policy Statement does not apply to the exercise of employee stock options awarded under the Company’s long-term incentive plans where no Company stock is sold in the market to fund the exercise price of an option. However, this Policy Statement does apply to (i) any sale of shares subject to an employee stock option as part of a cashless exercise of an option (whether net proceeds are received in cash or shares) and (ii) any other sale or exchange of shares to generate the consideration needed to fund the exercise price of an option.</w:t>
      </w:r>
    </w:p>
    <w:p>
      <w:pPr>
        <w:spacing w:after="0" w:line="108" w:lineRule="exact"/>
        <w:rPr>
          <w:sz w:val="20"/>
          <w:szCs w:val="20"/>
          <w:color w:val="auto"/>
        </w:rPr>
      </w:pPr>
    </w:p>
    <w:p>
      <w:pPr>
        <w:jc w:val="both"/>
        <w:ind w:firstLine="754"/>
        <w:spacing w:after="0" w:line="282" w:lineRule="auto"/>
        <w:rPr>
          <w:sz w:val="20"/>
          <w:szCs w:val="20"/>
          <w:color w:val="auto"/>
        </w:rPr>
      </w:pPr>
      <w:r>
        <w:rPr>
          <w:rFonts w:ascii="Times New Roman" w:cs="Times New Roman" w:eastAsia="Times New Roman" w:hAnsi="Times New Roman"/>
          <w:sz w:val="14"/>
          <w:szCs w:val="14"/>
          <w:color w:val="auto"/>
        </w:rPr>
        <w:t>In addition, this Policy Statement does not apply to the vesting of equity awards that occurs during a blackout period, or the exercise of a tax withholding right pursuant to which any senior personnel elect to have the Company withhold shares of stock to satisfy tax withholding requirements upon the vesting of any equity award.</w:t>
      </w:r>
    </w:p>
    <w:p>
      <w:pPr>
        <w:spacing w:after="0" w:line="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Hedging Transactions; Short Sales</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jc w:val="both"/>
        <w:ind w:firstLine="754"/>
        <w:spacing w:after="0" w:line="261" w:lineRule="auto"/>
        <w:rPr>
          <w:sz w:val="20"/>
          <w:szCs w:val="20"/>
          <w:color w:val="auto"/>
        </w:rPr>
      </w:pPr>
      <w:r>
        <w:rPr>
          <w:rFonts w:ascii="Times New Roman" w:cs="Times New Roman" w:eastAsia="Times New Roman" w:hAnsi="Times New Roman"/>
          <w:sz w:val="14"/>
          <w:szCs w:val="14"/>
          <w:color w:val="auto"/>
        </w:rPr>
        <w:t>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w:t>
      </w:r>
    </w:p>
    <w:p>
      <w:pPr>
        <w:spacing w:after="0" w:line="1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318770</wp:posOffset>
            </wp:positionV>
            <wp:extent cx="7203440"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949" w:right="639" w:bottom="1440" w:gutter="0" w:footer="0" w:header="0"/>
        </w:sectPr>
      </w:pPr>
    </w:p>
    <w:bookmarkStart w:id="95" w:name="page96"/>
    <w:bookmarkEnd w:id="95"/>
    <w:p>
      <w:pPr>
        <w:jc w:val="both"/>
        <w:spacing w:after="0" w:line="282" w:lineRule="auto"/>
        <w:rPr>
          <w:sz w:val="20"/>
          <w:szCs w:val="20"/>
          <w:color w:val="auto"/>
        </w:rPr>
      </w:pPr>
      <w:r>
        <w:rPr>
          <w:rFonts w:ascii="Times New Roman" w:cs="Times New Roman" w:eastAsia="Times New Roman" w:hAnsi="Times New Roman"/>
          <w:sz w:val="14"/>
          <w:szCs w:val="14"/>
          <w:color w:val="auto"/>
        </w:rPr>
        <w:t>otherwise, but without the full risks and rewards of ownership. When that occurs, the director, officer or employee may no longer have the same objectives as the Company’s other shareholders. Therefore, the Company prohibits senior personnel as well as all Company employees from engaging in such transactions.</w:t>
      </w:r>
    </w:p>
    <w:p>
      <w:pPr>
        <w:spacing w:after="0" w:line="88" w:lineRule="exact"/>
        <w:rPr>
          <w:sz w:val="20"/>
          <w:szCs w:val="20"/>
          <w:color w:val="auto"/>
        </w:rPr>
      </w:pPr>
    </w:p>
    <w:p>
      <w:pPr>
        <w:jc w:val="both"/>
        <w:ind w:firstLine="754"/>
        <w:spacing w:after="0" w:line="256" w:lineRule="auto"/>
        <w:rPr>
          <w:sz w:val="20"/>
          <w:szCs w:val="20"/>
          <w:color w:val="auto"/>
        </w:rPr>
      </w:pPr>
      <w:r>
        <w:rPr>
          <w:rFonts w:ascii="Times New Roman" w:cs="Times New Roman" w:eastAsia="Times New Roman" w:hAnsi="Times New Roman"/>
          <w:sz w:val="14"/>
          <w:szCs w:val="14"/>
          <w:color w:val="auto"/>
        </w:rPr>
        <w:t>Short sales of Company securities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also prohibited. In addition, Section 16(c) of the Exchange Act prohibits officers and directors from engaging in short sales.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Margin Accounts and Pledging</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jc w:val="both"/>
        <w:ind w:firstLine="754"/>
        <w:spacing w:after="0" w:line="261" w:lineRule="auto"/>
        <w:rPr>
          <w:sz w:val="20"/>
          <w:szCs w:val="20"/>
          <w:color w:val="auto"/>
        </w:rPr>
      </w:pPr>
      <w:r>
        <w:rPr>
          <w:rFonts w:ascii="Times New Roman" w:cs="Times New Roman" w:eastAsia="Times New Roman" w:hAnsi="Times New Roman"/>
          <w:sz w:val="14"/>
          <w:szCs w:val="14"/>
          <w:color w:val="auto"/>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Therefore, the Company prohibits senior personnel as well as all Company employees from engaging in such transactions.</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Implementation</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Board of Directors may adopt such reasonable procedures as it deems necessary or desirable in order to implement this Policy Statement.</w:t>
      </w:r>
    </w:p>
    <w:p>
      <w:pPr>
        <w:spacing w:after="0" w:line="1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Personal Responsibility for Compliance with this Policy Statement</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jc w:val="both"/>
        <w:ind w:firstLine="754"/>
        <w:spacing w:after="0" w:line="247" w:lineRule="auto"/>
        <w:rPr>
          <w:sz w:val="20"/>
          <w:szCs w:val="20"/>
          <w:color w:val="auto"/>
        </w:rPr>
      </w:pPr>
      <w:r>
        <w:rPr>
          <w:rFonts w:ascii="Times New Roman" w:cs="Times New Roman" w:eastAsia="Times New Roman" w:hAnsi="Times New Roman"/>
          <w:sz w:val="14"/>
          <w:szCs w:val="14"/>
          <w:color w:val="auto"/>
        </w:rPr>
        <w:t>Compliance with this Policy Statement, including having the Pre-Clearance Officer preclear a proposed transaction, is not an assurance that an insider trading violation will not be found to have occurred. This Policy Statement is only designed to reduce the risk that such violation will be found to have occurred. Senior personnel should remember that the ultimate responsibility for adhering to this Policy Statement and avoiding improper trading rests exclusively with each individual and that preclearance of trades and, if applicable, of SEC Rule 10b5-1 trading plans, by the Pre-Clearance Officer does not reduce the obligations imposed on each individual by applicable laws. Any action on the part of the Company or the Pre-Clearance Officer or any other employee pursuant to this Policy Statement (or otherwise) does not in any way constitute legal advice or insulate any senior personnel from liability under applicable securities laws. If an individual violates this Policy Statement, the Company may take legal and/or disciplinary action, including dismissal for cause, as applicable. Senior personnel must notify the Chief Compliance Officer or Chief Financial Officer if they become aware of a breach of this Policy Statement.</w:t>
      </w:r>
    </w:p>
    <w:p>
      <w:pPr>
        <w:spacing w:after="0" w:line="13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318770</wp:posOffset>
            </wp:positionV>
            <wp:extent cx="7203440" cy="368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949" w:right="639" w:bottom="1440" w:gutter="0" w:footer="0" w:header="0"/>
        </w:sectPr>
      </w:pPr>
    </w:p>
    <w:bookmarkStart w:id="96" w:name="page97"/>
    <w:bookmarkEnd w:id="96"/>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Penalties for Violations of Insider Trading Laws</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jc w:val="both"/>
        <w:ind w:firstLine="754"/>
        <w:spacing w:after="0" w:line="282" w:lineRule="auto"/>
        <w:rPr>
          <w:sz w:val="20"/>
          <w:szCs w:val="20"/>
          <w:color w:val="auto"/>
        </w:rPr>
      </w:pPr>
      <w:r>
        <w:rPr>
          <w:rFonts w:ascii="Times New Roman" w:cs="Times New Roman" w:eastAsia="Times New Roman" w:hAnsi="Times New Roman"/>
          <w:sz w:val="14"/>
          <w:szCs w:val="14"/>
          <w:color w:val="auto"/>
        </w:rPr>
        <w:t>Individuals who trade on material, nonpublic information (or tip information to others who trade) can be liable for civil and criminal penalties, in addition to legal and disciplinary action from the Company, including dismissal for cause.</w:t>
      </w:r>
    </w:p>
    <w:p>
      <w:pPr>
        <w:spacing w:after="0" w:line="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 * * *</w:t>
      </w:r>
    </w:p>
    <w:p>
      <w:pPr>
        <w:spacing w:after="0" w:line="1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i w:val="1"/>
          <w:iCs w:val="1"/>
          <w:color w:val="auto"/>
        </w:rPr>
        <w:t>If you have any doubt as to your responsibilities under these guidelines, please seek clarification and guidance from the Chief Compliance Officer before you act.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Do not try to resolve uncertainties on your own.</w:t>
      </w:r>
    </w:p>
    <w:p>
      <w:pPr>
        <w:spacing w:after="0" w:line="129" w:lineRule="exact"/>
        <w:rPr>
          <w:sz w:val="20"/>
          <w:szCs w:val="20"/>
          <w:color w:val="auto"/>
        </w:rPr>
      </w:pPr>
    </w:p>
    <w:p>
      <w:pPr>
        <w:jc w:val="both"/>
        <w:ind w:firstLine="754"/>
        <w:spacing w:after="0" w:line="261" w:lineRule="auto"/>
        <w:rPr>
          <w:sz w:val="20"/>
          <w:szCs w:val="20"/>
          <w:color w:val="auto"/>
        </w:rPr>
      </w:pPr>
      <w:r>
        <w:rPr>
          <w:rFonts w:ascii="Times New Roman" w:cs="Times New Roman" w:eastAsia="Times New Roman" w:hAnsi="Times New Roman"/>
          <w:sz w:val="14"/>
          <w:szCs w:val="14"/>
          <w:color w:val="auto"/>
        </w:rPr>
        <w:t>The Company expects strict compliance with the foregoing policies by all persons subject to this Policy Statement. Any failure to observe these guidelines may result in serious legal difficulties for you, as well as the Company. Furthermore, any failure to follow the letter and spirit of this Statement of Policy will be considered a matter of extreme seriousness and may serve as a basis for termination of employment or service.</w:t>
      </w:r>
    </w:p>
    <w:p>
      <w:pPr>
        <w:spacing w:after="0" w:line="1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318770</wp:posOffset>
            </wp:positionV>
            <wp:extent cx="7203440"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947" w:right="639" w:bottom="1440" w:gutter="0" w:footer="0" w:header="0"/>
        </w:sectPr>
      </w:pPr>
    </w:p>
    <w:bookmarkStart w:id="97" w:name="page98"/>
    <w:bookmarkEnd w:id="97"/>
    <w:p>
      <w:pPr>
        <w:ind w:left="4240"/>
        <w:spacing w:after="0"/>
        <w:rPr>
          <w:sz w:val="20"/>
          <w:szCs w:val="20"/>
          <w:color w:val="auto"/>
        </w:rPr>
      </w:pPr>
      <w:r>
        <w:rPr>
          <w:rFonts w:ascii="Times New Roman" w:cs="Times New Roman" w:eastAsia="Times New Roman" w:hAnsi="Times New Roman"/>
          <w:sz w:val="14"/>
          <w:szCs w:val="14"/>
          <w:b w:val="1"/>
          <w:bCs w:val="1"/>
          <w:color w:val="auto"/>
        </w:rPr>
        <w:t>ADDENDUM TO</w:t>
      </w:r>
    </w:p>
    <w:p>
      <w:pPr>
        <w:spacing w:after="0" w:line="14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STATEMENT OF POLICY TO SENIOR PERSONNEL CONCERNING</w:t>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SECURITIES TRADING AND DISCLOSURE OF CONFIDENTIAL</w:t>
      </w:r>
    </w:p>
    <w:p>
      <w:pPr>
        <w:spacing w:after="0" w:line="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INFORMATION (THE “POLICY”)</w:t>
      </w:r>
    </w:p>
    <w:p>
      <w:pPr>
        <w:spacing w:after="0" w:line="129" w:lineRule="exact"/>
        <w:rPr>
          <w:sz w:val="20"/>
          <w:szCs w:val="20"/>
          <w:color w:val="auto"/>
        </w:rPr>
      </w:pPr>
    </w:p>
    <w:p>
      <w:pPr>
        <w:ind w:firstLine="754"/>
        <w:spacing w:after="0" w:line="282" w:lineRule="auto"/>
        <w:rPr>
          <w:sz w:val="20"/>
          <w:szCs w:val="20"/>
          <w:color w:val="auto"/>
        </w:rPr>
      </w:pPr>
      <w:r>
        <w:rPr>
          <w:rFonts w:ascii="Times New Roman" w:cs="Times New Roman" w:eastAsia="Times New Roman" w:hAnsi="Times New Roman"/>
          <w:sz w:val="14"/>
          <w:szCs w:val="14"/>
          <w:color w:val="212B2F"/>
        </w:rPr>
        <w:t>This Addendum has been adopted by the Board of Directors of Great Lakes Dredge &amp; Dock Corporation, a Delaware corporation (the “Company”). Capitalized terms not defined in this Addendum shall have the meaning set forth in the Policy.</w:t>
      </w:r>
    </w:p>
    <w:p>
      <w:pPr>
        <w:spacing w:after="0" w:line="90" w:lineRule="exact"/>
        <w:rPr>
          <w:sz w:val="20"/>
          <w:szCs w:val="20"/>
          <w:color w:val="auto"/>
        </w:rPr>
      </w:pPr>
    </w:p>
    <w:p>
      <w:pPr>
        <w:ind w:left="1100" w:hanging="355"/>
        <w:spacing w:after="0"/>
        <w:tabs>
          <w:tab w:leader="none" w:pos="1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212B2F"/>
        </w:rPr>
        <w:t>Guidelines Regarding Strategic Transactions</w:t>
      </w:r>
      <w:r>
        <w:rPr>
          <w:rFonts w:ascii="Times New Roman" w:cs="Times New Roman" w:eastAsia="Times New Roman" w:hAnsi="Times New Roman"/>
          <w:sz w:val="14"/>
          <w:szCs w:val="14"/>
          <w:color w:val="212B2F"/>
        </w:rPr>
        <w:t>.</w:t>
      </w:r>
    </w:p>
    <w:p>
      <w:pPr>
        <w:spacing w:after="0" w:line="145" w:lineRule="exact"/>
        <w:rPr>
          <w:sz w:val="20"/>
          <w:szCs w:val="20"/>
          <w:color w:val="auto"/>
        </w:rPr>
      </w:pPr>
    </w:p>
    <w:p>
      <w:pPr>
        <w:jc w:val="both"/>
        <w:ind w:firstLine="754"/>
        <w:spacing w:after="0" w:line="255" w:lineRule="auto"/>
        <w:rPr>
          <w:sz w:val="20"/>
          <w:szCs w:val="20"/>
          <w:color w:val="auto"/>
        </w:rPr>
      </w:pPr>
      <w:r>
        <w:rPr>
          <w:rFonts w:ascii="Times New Roman" w:cs="Times New Roman" w:eastAsia="Times New Roman" w:hAnsi="Times New Roman"/>
          <w:sz w:val="14"/>
          <w:szCs w:val="14"/>
          <w:color w:val="212B2F"/>
        </w:rPr>
        <w:t>From time to time, the Company may engage in strategic transactions, including acquisitions, divestitures, partnerships or other combinations. Prior to entering into such transaction, the Company conducts due diligence and analysis regarding the strategic transactions and may engage the Board in discussion or consultation. Although such deliberations may not necessarily in every instance rise to the level of material information for securities law purposes, the Board desires to restrict trading and utilization of information regarding such potential strategic transactions as follows:</w:t>
      </w:r>
    </w:p>
    <w:p>
      <w:pPr>
        <w:spacing w:after="0" w:line="108" w:lineRule="exact"/>
        <w:rPr>
          <w:sz w:val="20"/>
          <w:szCs w:val="20"/>
          <w:color w:val="auto"/>
        </w:rPr>
      </w:pPr>
    </w:p>
    <w:p>
      <w:pPr>
        <w:ind w:left="1100" w:hanging="355"/>
        <w:spacing w:after="0"/>
        <w:tabs>
          <w:tab w:leader="none" w:pos="1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2B2F"/>
        </w:rPr>
        <w:t>Information regarding strategic transactions shall be considered confidential information of the Company.</w:t>
      </w:r>
    </w:p>
    <w:p>
      <w:pPr>
        <w:spacing w:after="0" w:line="145" w:lineRule="exact"/>
        <w:rPr>
          <w:rFonts w:ascii="Times New Roman" w:cs="Times New Roman" w:eastAsia="Times New Roman" w:hAnsi="Times New Roman"/>
          <w:sz w:val="14"/>
          <w:szCs w:val="14"/>
          <w:color w:val="auto"/>
        </w:rPr>
      </w:pPr>
    </w:p>
    <w:p>
      <w:pPr>
        <w:jc w:val="both"/>
        <w:ind w:left="1100" w:hanging="355"/>
        <w:spacing w:after="0" w:line="261" w:lineRule="auto"/>
        <w:tabs>
          <w:tab w:leader="none" w:pos="1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2B2F"/>
        </w:rPr>
        <w:t>The Chief Compliance Officer may nominate to the Board Chair and the Chief Executive Officer (“CEO”) certain strategic transactions for consideration as “Top Tier Targets.” The Board Chair and CEO shall determine which strategic transactions shall be deemed Top Tier Targets, and the identity of Top Tier Targets shall be shared with each Director.</w:t>
      </w:r>
    </w:p>
    <w:p>
      <w:pPr>
        <w:spacing w:after="0" w:line="104" w:lineRule="exact"/>
        <w:rPr>
          <w:rFonts w:ascii="Times New Roman" w:cs="Times New Roman" w:eastAsia="Times New Roman" w:hAnsi="Times New Roman"/>
          <w:sz w:val="14"/>
          <w:szCs w:val="14"/>
          <w:color w:val="auto"/>
        </w:rPr>
      </w:pPr>
    </w:p>
    <w:p>
      <w:pPr>
        <w:ind w:left="1100" w:hanging="355"/>
        <w:spacing w:after="0" w:line="282" w:lineRule="auto"/>
        <w:tabs>
          <w:tab w:leader="none" w:pos="1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2B2F"/>
        </w:rPr>
        <w:t>Senior personnel with prior ownership of the Top Tier Target, or a conflict of interest or potential conflict of interest in a Top Tier Target shall disclose such ownership, conflict or potential conflict to the Board.</w:t>
      </w:r>
    </w:p>
    <w:p>
      <w:pPr>
        <w:spacing w:after="0" w:line="89" w:lineRule="exact"/>
        <w:rPr>
          <w:rFonts w:ascii="Times New Roman" w:cs="Times New Roman" w:eastAsia="Times New Roman" w:hAnsi="Times New Roman"/>
          <w:sz w:val="14"/>
          <w:szCs w:val="14"/>
          <w:color w:val="auto"/>
        </w:rPr>
      </w:pPr>
    </w:p>
    <w:p>
      <w:pPr>
        <w:jc w:val="both"/>
        <w:ind w:left="1100" w:hanging="355"/>
        <w:spacing w:after="0" w:line="261" w:lineRule="auto"/>
        <w:tabs>
          <w:tab w:leader="none" w:pos="1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2B2F"/>
        </w:rPr>
        <w:t>Senior personnel who have knowledge regarding the Company’s interest in Top Tier Targets shall be prohibited from buying or selling securities of the Top Tier Target. However, Senior personnel with prior ownership of a Top Tier Target may sell his/her ownership position within five (5) business days of being notified of the placement of a company on the Top Tier Target list following approval from the Chief Compliance Officer.</w:t>
      </w:r>
    </w:p>
    <w:p>
      <w:pPr>
        <w:spacing w:after="0" w:line="104" w:lineRule="exact"/>
        <w:rPr>
          <w:rFonts w:ascii="Times New Roman" w:cs="Times New Roman" w:eastAsia="Times New Roman" w:hAnsi="Times New Roman"/>
          <w:sz w:val="14"/>
          <w:szCs w:val="14"/>
          <w:color w:val="auto"/>
        </w:rPr>
      </w:pPr>
    </w:p>
    <w:p>
      <w:pPr>
        <w:jc w:val="both"/>
        <w:ind w:left="1100" w:hanging="355"/>
        <w:spacing w:after="0" w:line="261" w:lineRule="auto"/>
        <w:tabs>
          <w:tab w:leader="none" w:pos="1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2B2F"/>
        </w:rPr>
        <w:t>The Chief Compliance Officer shall review the Company’s interest level in and process and progress regarding each Top Tier Target and shall consider whether the Company’s activity rises to the level of material information for securities law purposes. In such cases, the Chief Compliance Officer shall initiate an Event Specific Blackout and follow the procedures set forth in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122555</wp:posOffset>
            </wp:positionV>
            <wp:extent cx="7203440" cy="368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803" w:right="639" w:bottom="1440" w:gutter="0" w:footer="0" w:header="0"/>
        </w:sectPr>
      </w:pPr>
    </w:p>
    <w:bookmarkStart w:id="98" w:name="page99"/>
    <w:bookmarkEnd w:id="98"/>
    <w:p>
      <w:pPr>
        <w:ind w:left="1100" w:hanging="355"/>
        <w:spacing w:after="0"/>
        <w:tabs>
          <w:tab w:leader="none" w:pos="1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Board Consideration of Prior Ownership or Conflicts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firstLine="754"/>
        <w:spacing w:after="0" w:line="255" w:lineRule="auto"/>
        <w:rPr>
          <w:sz w:val="20"/>
          <w:szCs w:val="20"/>
          <w:color w:val="auto"/>
        </w:rPr>
      </w:pPr>
      <w:r>
        <w:rPr>
          <w:rFonts w:ascii="Times New Roman" w:cs="Times New Roman" w:eastAsia="Times New Roman" w:hAnsi="Times New Roman"/>
          <w:sz w:val="14"/>
          <w:szCs w:val="14"/>
          <w:color w:val="auto"/>
        </w:rPr>
        <w:t xml:space="preserve">In the event Senior personnel has prior ownership of a company later designated as a Top Tier Target (and does not sell his/her position in accordance with Section A4 above) or otherwise discloses a conflict of interest or potential conflict of interest, the Board shall consider whether such individual shall be excluded from participation in deliberations, analysis and/or decision-making regarding the Top Tier Target. Unless otherwise determined by the Board, restrictions shall not apply to an individual with a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ownership or </w:t>
      </w:r>
      <w:r>
        <w:rPr>
          <w:rFonts w:ascii="Times New Roman" w:cs="Times New Roman" w:eastAsia="Times New Roman" w:hAnsi="Times New Roman"/>
          <w:sz w:val="14"/>
          <w:szCs w:val="14"/>
          <w:i w:val="1"/>
          <w:iCs w:val="1"/>
          <w:color w:val="auto"/>
        </w:rPr>
        <w:t>Passive Investment</w:t>
      </w:r>
      <w:r>
        <w:rPr>
          <w:rFonts w:ascii="Times New Roman" w:cs="Times New Roman" w:eastAsia="Times New Roman" w:hAnsi="Times New Roman"/>
          <w:sz w:val="14"/>
          <w:szCs w:val="14"/>
          <w:color w:val="auto"/>
        </w:rPr>
        <w:t xml:space="preserve"> in a Top Tier Target.</w:t>
      </w:r>
    </w:p>
    <w:p>
      <w:pPr>
        <w:spacing w:after="0" w:line="108" w:lineRule="exact"/>
        <w:rPr>
          <w:sz w:val="20"/>
          <w:szCs w:val="20"/>
          <w:color w:val="auto"/>
        </w:rPr>
      </w:pPr>
    </w:p>
    <w:p>
      <w:pPr>
        <w:jc w:val="both"/>
        <w:ind w:firstLine="754"/>
        <w:spacing w:after="0" w:line="261" w:lineRule="auto"/>
        <w:rPr>
          <w:sz w:val="20"/>
          <w:szCs w:val="20"/>
          <w:color w:val="auto"/>
        </w:rPr>
      </w:pPr>
      <w:r>
        <w:rPr>
          <w:rFonts w:ascii="Times New Roman" w:cs="Times New Roman" w:eastAsia="Times New Roman" w:hAnsi="Times New Roman"/>
          <w:sz w:val="14"/>
          <w:szCs w:val="14"/>
          <w:color w:val="auto"/>
        </w:rPr>
        <w:t>“Passive Investment” means a purely financial involvement in an organization for which the individual performs no managerial functions, provides no advice, and has no ability to influence the policies, products or business of the outside organization. Passive Investments include ownership of shares in a public or private company, whether held individually, in a 401K plan or as an investment in a stock mutual fund or stock market index fund.</w:t>
      </w:r>
    </w:p>
    <w:p>
      <w:pPr>
        <w:spacing w:after="0" w:line="105" w:lineRule="exact"/>
        <w:rPr>
          <w:sz w:val="20"/>
          <w:szCs w:val="20"/>
          <w:color w:val="auto"/>
        </w:rPr>
      </w:pPr>
    </w:p>
    <w:p>
      <w:pPr>
        <w:jc w:val="both"/>
        <w:ind w:firstLine="754"/>
        <w:spacing w:after="0" w:line="282" w:lineRule="auto"/>
        <w:rPr>
          <w:sz w:val="20"/>
          <w:szCs w:val="20"/>
          <w:color w:val="auto"/>
        </w:rPr>
      </w:pPr>
      <w:r>
        <w:rPr>
          <w:rFonts w:ascii="Times New Roman" w:cs="Times New Roman" w:eastAsia="Times New Roman" w:hAnsi="Times New Roman"/>
          <w:sz w:val="14"/>
          <w:szCs w:val="14"/>
          <w:color w:val="auto"/>
        </w:rPr>
        <w:t>You are expected to following the letter and spirit of the Securities Trading Policy and this Addendum is expected. Failure to observe these guidelines may result in serious consequences for both you personally as well as the Company.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149225</wp:posOffset>
            </wp:positionV>
            <wp:extent cx="7203440" cy="368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949" w:right="639" w:bottom="1440" w:gutter="0" w:footer="0" w:header="0"/>
        </w:sectPr>
      </w:pPr>
    </w:p>
    <w:bookmarkStart w:id="99" w:name="page100"/>
    <w:bookmarkEnd w:id="99"/>
    <w:p>
      <w:pPr>
        <w:ind w:left="3900"/>
        <w:spacing w:after="0"/>
        <w:rPr>
          <w:sz w:val="20"/>
          <w:szCs w:val="20"/>
          <w:color w:val="auto"/>
        </w:rPr>
      </w:pPr>
      <w:r>
        <w:rPr>
          <w:rFonts w:ascii="Times New Roman" w:cs="Times New Roman" w:eastAsia="Times New Roman" w:hAnsi="Times New Roman"/>
          <w:sz w:val="14"/>
          <w:szCs w:val="14"/>
          <w:b w:val="1"/>
          <w:bCs w:val="1"/>
          <w:color w:val="auto"/>
        </w:rPr>
        <w:t>ADDENDUM 2 TO</w:t>
      </w:r>
    </w:p>
    <w:p>
      <w:pPr>
        <w:spacing w:after="0" w:line="14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STATEMENT OF POLICY TO SENIOR PERSONNEL CONCERNING</w:t>
      </w:r>
    </w:p>
    <w:p>
      <w:pPr>
        <w:spacing w:after="0" w:line="1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SECURITIES TRADING AND DISCLOSURE OF CONFIDENTIAL</w:t>
      </w:r>
    </w:p>
    <w:p>
      <w:pPr>
        <w:spacing w:after="0" w:line="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INFORMATION (THE “POLICY”)</w:t>
      </w:r>
    </w:p>
    <w:p>
      <w:pPr>
        <w:spacing w:after="0" w:line="1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u w:val="single" w:color="auto"/>
          <w:color w:val="auto"/>
        </w:rPr>
        <w:t>Guidelines for Rule 10b5-1 Trading Plans</w:t>
      </w:r>
    </w:p>
    <w:p>
      <w:pPr>
        <w:spacing w:after="0" w:line="7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i w:val="1"/>
          <w:iCs w:val="1"/>
          <w:color w:val="auto"/>
        </w:rPr>
        <w:t>Capitalized terms not defined herein have the meanings</w:t>
      </w:r>
    </w:p>
    <w:p>
      <w:pPr>
        <w:spacing w:after="0" w:line="1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4"/>
          <w:szCs w:val="14"/>
          <w:i w:val="1"/>
          <w:iCs w:val="1"/>
          <w:color w:val="auto"/>
        </w:rPr>
        <w:t>ascribed to them in the Company’s Statement of Policy Concerning Securities Trading and</w:t>
      </w:r>
    </w:p>
    <w:p>
      <w:pPr>
        <w:spacing w:after="0" w:line="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4"/>
          <w:szCs w:val="14"/>
          <w:i w:val="1"/>
          <w:iCs w:val="1"/>
          <w:color w:val="auto"/>
        </w:rPr>
        <w:t>Disclosure of Confidential Information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To be effective, a Rule 10b5-1 trading plan must:</w:t>
      </w:r>
    </w:p>
    <w:p>
      <w:pPr>
        <w:spacing w:after="0" w:line="145" w:lineRule="exact"/>
        <w:rPr>
          <w:sz w:val="20"/>
          <w:szCs w:val="20"/>
          <w:color w:val="auto"/>
        </w:rPr>
      </w:pPr>
    </w:p>
    <w:p>
      <w:pPr>
        <w:ind w:left="820" w:hanging="355"/>
        <w:spacing w:after="0" w:line="282" w:lineRule="auto"/>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representations certifying that (a) you are not aware of material nonpublic information at the time of adoption and (b) you are entering into the plan in good faith, and not as part of a plan or scheme to shield trades that would otherwise be considered violations of the insider trading laws;</w:t>
      </w:r>
    </w:p>
    <w:p>
      <w:pPr>
        <w:spacing w:after="0" w:line="89" w:lineRule="exact"/>
        <w:rPr>
          <w:rFonts w:ascii="Times New Roman" w:cs="Times New Roman" w:eastAsia="Times New Roman" w:hAnsi="Times New Roman"/>
          <w:sz w:val="14"/>
          <w:szCs w:val="14"/>
          <w:color w:val="auto"/>
        </w:rPr>
      </w:pPr>
    </w:p>
    <w:p>
      <w:pPr>
        <w:ind w:left="820" w:hanging="355"/>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beginning and end dates for the Rule 10b5-1 trading plan;</w:t>
      </w:r>
    </w:p>
    <w:p>
      <w:pPr>
        <w:spacing w:after="0" w:line="145" w:lineRule="exact"/>
        <w:rPr>
          <w:rFonts w:ascii="Times New Roman" w:cs="Times New Roman" w:eastAsia="Times New Roman" w:hAnsi="Times New Roman"/>
          <w:sz w:val="14"/>
          <w:szCs w:val="14"/>
          <w:color w:val="auto"/>
        </w:rPr>
      </w:pPr>
    </w:p>
    <w:p>
      <w:pPr>
        <w:ind w:left="820" w:hanging="355"/>
        <w:spacing w:after="0" w:line="282" w:lineRule="auto"/>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either (a) the amount and price of the Company securities to be purchased or sold and the dates for such purchases or sales or (b) a formula that determines the amount and price of the Company securities to be purchased or sold and the dates for such purchases or sales;</w:t>
      </w:r>
    </w:p>
    <w:p>
      <w:pPr>
        <w:spacing w:after="0" w:line="89" w:lineRule="exact"/>
        <w:rPr>
          <w:rFonts w:ascii="Times New Roman" w:cs="Times New Roman" w:eastAsia="Times New Roman" w:hAnsi="Times New Roman"/>
          <w:sz w:val="14"/>
          <w:szCs w:val="14"/>
          <w:color w:val="auto"/>
        </w:rPr>
      </w:pPr>
    </w:p>
    <w:p>
      <w:pPr>
        <w:ind w:left="820" w:hanging="355"/>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established outside of any and all Blackout Periods;</w:t>
      </w:r>
    </w:p>
    <w:p>
      <w:pPr>
        <w:spacing w:after="0" w:line="145" w:lineRule="exact"/>
        <w:rPr>
          <w:rFonts w:ascii="Times New Roman" w:cs="Times New Roman" w:eastAsia="Times New Roman" w:hAnsi="Times New Roman"/>
          <w:sz w:val="14"/>
          <w:szCs w:val="14"/>
          <w:color w:val="auto"/>
        </w:rPr>
      </w:pPr>
    </w:p>
    <w:p>
      <w:pPr>
        <w:ind w:left="820" w:hanging="355"/>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put in place only at a broker acceptable to the Company’s Pre-Clearance Officer;</w:t>
      </w:r>
    </w:p>
    <w:p>
      <w:pPr>
        <w:spacing w:after="0" w:line="145" w:lineRule="exact"/>
        <w:rPr>
          <w:rFonts w:ascii="Times New Roman" w:cs="Times New Roman" w:eastAsia="Times New Roman" w:hAnsi="Times New Roman"/>
          <w:sz w:val="14"/>
          <w:szCs w:val="14"/>
          <w:color w:val="auto"/>
        </w:rPr>
      </w:pPr>
    </w:p>
    <w:p>
      <w:pPr>
        <w:ind w:left="820" w:hanging="355"/>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reviewed by the Company’s Pre-Clearance Officer before the Rule 10b5-1 trading plan is put in place;</w:t>
      </w:r>
    </w:p>
    <w:p>
      <w:pPr>
        <w:spacing w:after="0" w:line="145" w:lineRule="exact"/>
        <w:rPr>
          <w:rFonts w:ascii="Times New Roman" w:cs="Times New Roman" w:eastAsia="Times New Roman" w:hAnsi="Times New Roman"/>
          <w:sz w:val="14"/>
          <w:szCs w:val="14"/>
          <w:color w:val="auto"/>
        </w:rPr>
      </w:pPr>
    </w:p>
    <w:p>
      <w:pPr>
        <w:ind w:left="820" w:hanging="355"/>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subsequently modified only during an open trading window and with approval from the Company’s Pre-Clearance Officer;</w:t>
      </w:r>
    </w:p>
    <w:p>
      <w:pPr>
        <w:spacing w:after="0" w:line="145" w:lineRule="exact"/>
        <w:rPr>
          <w:rFonts w:ascii="Times New Roman" w:cs="Times New Roman" w:eastAsia="Times New Roman" w:hAnsi="Times New Roman"/>
          <w:sz w:val="14"/>
          <w:szCs w:val="14"/>
          <w:color w:val="auto"/>
        </w:rPr>
      </w:pPr>
    </w:p>
    <w:p>
      <w:pPr>
        <w:ind w:left="820" w:hanging="355"/>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modified, meet all requirements of a newly adopted plan, as if adopted on the date of modification;</w:t>
      </w:r>
    </w:p>
    <w:p>
      <w:pPr>
        <w:spacing w:after="0" w:line="145" w:lineRule="exact"/>
        <w:rPr>
          <w:rFonts w:ascii="Times New Roman" w:cs="Times New Roman" w:eastAsia="Times New Roman" w:hAnsi="Times New Roman"/>
          <w:sz w:val="14"/>
          <w:szCs w:val="14"/>
          <w:color w:val="auto"/>
        </w:rPr>
      </w:pPr>
    </w:p>
    <w:p>
      <w:pPr>
        <w:ind w:left="820" w:hanging="355"/>
        <w:spacing w:after="0" w:line="282" w:lineRule="auto"/>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terminated before the end of its term and a new plan is put into place, be implemented only during a non-Blackout Period unless an exception is otherwise approved in advance by the Company’s Pre-Clearance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113030</wp:posOffset>
            </wp:positionV>
            <wp:extent cx="7203440" cy="368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820"/>
          </w:cols>
          <w:pgMar w:left="1440" w:top="803" w:right="639" w:bottom="1440" w:gutter="0" w:footer="0" w:header="0"/>
        </w:sectPr>
      </w:pPr>
    </w:p>
    <w:bookmarkStart w:id="100" w:name="page101"/>
    <w:bookmarkEnd w:id="100"/>
    <w:p>
      <w:pPr>
        <w:ind w:left="1100" w:hanging="355"/>
        <w:spacing w:after="0"/>
        <w:tabs>
          <w:tab w:leader="none" w:pos="1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following “cooling-off” periods:</w:t>
      </w:r>
    </w:p>
    <w:p>
      <w:pPr>
        <w:spacing w:after="0" w:line="145" w:lineRule="exact"/>
        <w:rPr>
          <w:rFonts w:ascii="Times New Roman" w:cs="Times New Roman" w:eastAsia="Times New Roman" w:hAnsi="Times New Roman"/>
          <w:sz w:val="14"/>
          <w:szCs w:val="14"/>
          <w:color w:val="auto"/>
        </w:rPr>
      </w:pPr>
    </w:p>
    <w:p>
      <w:pPr>
        <w:jc w:val="both"/>
        <w:ind w:left="1760" w:hanging="367"/>
        <w:spacing w:after="0" w:line="261" w:lineRule="auto"/>
        <w:tabs>
          <w:tab w:leader="none" w:pos="17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Company’s directors and Section 16 officers, provide that no trade under a Rule 10b5-1 trading plan may occur until the later of (i) 90 days after the adoption of the plan or (ii) two business days after the filing of the Company’s Form 10-Q (or Form 10-K for any plan executed during the fourth fiscal quarter) for the fiscal quarter in which the plan was adopted, up to a maximum of 120 days after adoption of the plan; or</w:t>
      </w:r>
    </w:p>
    <w:p>
      <w:pPr>
        <w:spacing w:after="0" w:line="104" w:lineRule="exact"/>
        <w:rPr>
          <w:rFonts w:ascii="Times New Roman" w:cs="Times New Roman" w:eastAsia="Times New Roman" w:hAnsi="Times New Roman"/>
          <w:sz w:val="14"/>
          <w:szCs w:val="14"/>
          <w:color w:val="auto"/>
        </w:rPr>
      </w:pPr>
    </w:p>
    <w:p>
      <w:pPr>
        <w:ind w:left="1760" w:hanging="367"/>
        <w:spacing w:after="0"/>
        <w:tabs>
          <w:tab w:leader="none" w:pos="17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other insiders, provide that no trade may occur until 30 days after adoption of the Rule 10b5-1 trading plan;</w:t>
      </w:r>
    </w:p>
    <w:p>
      <w:pPr>
        <w:spacing w:after="0" w:line="145" w:lineRule="exact"/>
        <w:rPr>
          <w:rFonts w:ascii="Times New Roman" w:cs="Times New Roman" w:eastAsia="Times New Roman" w:hAnsi="Times New Roman"/>
          <w:sz w:val="14"/>
          <w:szCs w:val="14"/>
          <w:color w:val="auto"/>
        </w:rPr>
      </w:pPr>
    </w:p>
    <w:p>
      <w:pPr>
        <w:ind w:left="1100" w:hanging="355"/>
        <w:spacing w:after="0" w:line="282" w:lineRule="auto"/>
        <w:tabs>
          <w:tab w:leader="none" w:pos="1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the sole outstanding Rule 10b5-1 trading plan for such insider, unless an exception is approved in advance by the Company’s Pre-Clearance Officer, after evaluating whether any such additional plan would be permitted by Rule 10b5-1; and</w:t>
      </w:r>
    </w:p>
    <w:p>
      <w:pPr>
        <w:spacing w:after="0" w:line="89" w:lineRule="exact"/>
        <w:rPr>
          <w:rFonts w:ascii="Times New Roman" w:cs="Times New Roman" w:eastAsia="Times New Roman" w:hAnsi="Times New Roman"/>
          <w:sz w:val="14"/>
          <w:szCs w:val="14"/>
          <w:color w:val="auto"/>
        </w:rPr>
      </w:pPr>
    </w:p>
    <w:p>
      <w:pPr>
        <w:ind w:left="1100" w:hanging="355"/>
        <w:spacing w:after="0"/>
        <w:tabs>
          <w:tab w:leader="none" w:pos="1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if such Rule 10b5-1 trading plan is a single-trade plan, the sole single-trade plan within any consecutive twelve month period.</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Additionally, the Company requires that you act in good faith with respect to the Rule 10b5-1 plan for the entire duration of the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149225</wp:posOffset>
            </wp:positionV>
            <wp:extent cx="7203440"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00"/>
          </w:cols>
          <w:pgMar w:left="1160" w:top="949" w:right="6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560" w:type="dxa"/>
            <w:vAlign w:val="bottom"/>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SUBSIDIARIES OF THE REGISTRANT</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39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Jurisdiction of Incorporation</w:t>
            </w:r>
          </w:p>
        </w:tc>
      </w:tr>
      <w:tr>
        <w:trPr>
          <w:trHeight w:val="20"/>
        </w:trPr>
        <w:tc>
          <w:tcPr>
            <w:tcW w:w="2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4"/>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 Lakes Dredge &amp; Dock Company, LLC</w:t>
            </w:r>
          </w:p>
        </w:tc>
        <w:tc>
          <w:tcPr>
            <w:tcW w:w="39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w:t>
            </w:r>
          </w:p>
        </w:tc>
      </w:tr>
      <w:tr>
        <w:trPr>
          <w:trHeight w:val="22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 Lakes U.S. Fleet Management, LLC</w:t>
            </w:r>
          </w:p>
        </w:tc>
        <w:tc>
          <w:tcPr>
            <w:tcW w:w="39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w:t>
            </w:r>
          </w:p>
        </w:tc>
      </w:tr>
      <w:tr>
        <w:trPr>
          <w:trHeight w:val="22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 Lakes Environmental &amp; Infrastructure Solutions, LLC</w:t>
            </w:r>
          </w:p>
        </w:tc>
        <w:tc>
          <w:tcPr>
            <w:tcW w:w="39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w:t>
            </w:r>
          </w:p>
        </w:tc>
      </w:tr>
      <w:tr>
        <w:trPr>
          <w:trHeight w:val="22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 Lakes Dredge &amp; Dock do Brasil Ltda.</w:t>
            </w:r>
          </w:p>
        </w:tc>
        <w:tc>
          <w:tcPr>
            <w:tcW w:w="39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Brazil</w:t>
            </w:r>
          </w:p>
        </w:tc>
      </w:tr>
      <w:tr>
        <w:trPr>
          <w:trHeight w:val="22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 Lakes Dredge &amp; Dock (Bahamas) Ltd.</w:t>
            </w:r>
          </w:p>
        </w:tc>
        <w:tc>
          <w:tcPr>
            <w:tcW w:w="39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Bahamas</w:t>
            </w:r>
          </w:p>
        </w:tc>
      </w:tr>
      <w:tr>
        <w:trPr>
          <w:trHeight w:val="22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 Lakes Dredge &amp; Dock (UK) Limited</w:t>
            </w:r>
          </w:p>
        </w:tc>
        <w:tc>
          <w:tcPr>
            <w:tcW w:w="39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United Kingdom</w:t>
            </w:r>
          </w:p>
        </w:tc>
      </w:tr>
      <w:tr>
        <w:trPr>
          <w:trHeight w:val="22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NASDI Holdings, LLC</w:t>
            </w:r>
          </w:p>
        </w:tc>
        <w:tc>
          <w:tcPr>
            <w:tcW w:w="39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w:t>
            </w:r>
          </w:p>
        </w:tc>
      </w:tr>
      <w:tr>
        <w:trPr>
          <w:trHeight w:val="22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Terra Contracting Services, LLC</w:t>
            </w:r>
          </w:p>
        </w:tc>
        <w:tc>
          <w:tcPr>
            <w:tcW w:w="39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w:t>
            </w:r>
          </w:p>
        </w:tc>
      </w:tr>
      <w:tr>
        <w:trPr>
          <w:trHeight w:val="22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Terra Fluid Management, LLC</w:t>
            </w:r>
          </w:p>
        </w:tc>
        <w:tc>
          <w:tcPr>
            <w:tcW w:w="39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Drews Services LLC</w:t>
            </w:r>
          </w:p>
        </w:tc>
        <w:tc>
          <w:tcPr>
            <w:tcW w:w="39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South Carolina</w:t>
            </w:r>
          </w:p>
        </w:tc>
      </w:tr>
      <w:tr>
        <w:trPr>
          <w:trHeight w:val="792"/>
        </w:trPr>
        <w:tc>
          <w:tcPr>
            <w:tcW w:w="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2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consent to the incorporation by reference in Registration Statement No. 333-153207 on Form S-3 and Registration Statement Nos. 333-150067, 333-256955, 333-185350 and 333-218242 on Form S-8 of our reports dated February 20, 2025, relating to the financial statements of Great Lakes Dredge &amp; Dock Corporation and the effectiveness of Great Lakes Dredge &amp; Dock Corporation's internal control over financial reporting appearing in this Annual Report on Form 10-K for the year ended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Chicago, Illinois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676910</wp:posOffset>
            </wp:positionV>
            <wp:extent cx="7203440"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CERTIFICATIONS PURSUANT TO</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SECTION 302 OF</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CERTIFICATION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Lasse J. Petterson, certify that:</w:t>
      </w:r>
    </w:p>
    <w:p>
      <w:pPr>
        <w:spacing w:after="0" w:line="78" w:lineRule="exact"/>
        <w:rPr>
          <w:sz w:val="20"/>
          <w:szCs w:val="20"/>
          <w:color w:val="auto"/>
        </w:rPr>
      </w:pPr>
    </w:p>
    <w:p>
      <w:pPr>
        <w:ind w:left="508" w:hanging="508"/>
        <w:spacing w:after="0"/>
        <w:tabs>
          <w:tab w:leader="none" w:pos="50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Great Lakes Dredge &amp; Dock Corporation;</w:t>
      </w:r>
    </w:p>
    <w:p>
      <w:pPr>
        <w:spacing w:after="0" w:line="78" w:lineRule="exact"/>
        <w:rPr>
          <w:rFonts w:ascii="Times New Roman" w:cs="Times New Roman" w:eastAsia="Times New Roman" w:hAnsi="Times New Roman"/>
          <w:sz w:val="12"/>
          <w:szCs w:val="12"/>
          <w:color w:val="auto"/>
        </w:rPr>
      </w:pPr>
    </w:p>
    <w:p>
      <w:pPr>
        <w:ind w:left="508" w:right="160" w:hanging="508"/>
        <w:spacing w:after="0" w:line="279" w:lineRule="auto"/>
        <w:tabs>
          <w:tab w:leader="none" w:pos="50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508" w:hanging="508"/>
        <w:spacing w:after="0" w:line="279" w:lineRule="auto"/>
        <w:tabs>
          <w:tab w:leader="none" w:pos="50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508" w:right="20" w:hanging="508"/>
        <w:spacing w:after="0" w:line="279" w:lineRule="auto"/>
        <w:tabs>
          <w:tab w:leader="none" w:pos="50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028" w:right="80" w:hanging="516"/>
        <w:spacing w:after="0" w:line="279" w:lineRule="auto"/>
        <w:tabs>
          <w:tab w:leader="none" w:pos="102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028" w:right="280" w:hanging="516"/>
        <w:spacing w:after="0" w:line="279" w:lineRule="auto"/>
        <w:tabs>
          <w:tab w:leader="none" w:pos="102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028" w:right="180" w:hanging="516"/>
        <w:spacing w:after="0" w:line="279" w:lineRule="auto"/>
        <w:tabs>
          <w:tab w:leader="none" w:pos="102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028" w:right="220" w:hanging="516"/>
        <w:spacing w:after="0" w:line="279" w:lineRule="auto"/>
        <w:tabs>
          <w:tab w:leader="none" w:pos="102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508" w:right="260" w:hanging="508"/>
        <w:spacing w:after="0" w:line="279" w:lineRule="auto"/>
        <w:tabs>
          <w:tab w:leader="none" w:pos="50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028" w:right="200" w:hanging="516"/>
        <w:spacing w:after="0" w:line="279" w:lineRule="auto"/>
        <w:tabs>
          <w:tab w:leader="none" w:pos="102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028" w:hanging="516"/>
        <w:spacing w:after="0"/>
        <w:tabs>
          <w:tab w:leader="none" w:pos="102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February 20, 2025</w:t>
      </w:r>
    </w:p>
    <w:p>
      <w:pPr>
        <w:spacing w:after="0" w:line="150" w:lineRule="exact"/>
        <w:rPr>
          <w:sz w:val="20"/>
          <w:szCs w:val="20"/>
          <w:color w:val="auto"/>
        </w:rPr>
      </w:pPr>
    </w:p>
    <w:p>
      <w:pPr>
        <w:ind w:left="5668"/>
        <w:spacing w:after="0"/>
        <w:rPr>
          <w:sz w:val="20"/>
          <w:szCs w:val="20"/>
          <w:color w:val="auto"/>
        </w:rPr>
      </w:pPr>
      <w:r>
        <w:rPr>
          <w:rFonts w:ascii="Times New Roman" w:cs="Times New Roman" w:eastAsia="Times New Roman" w:hAnsi="Times New Roman"/>
          <w:sz w:val="12"/>
          <w:szCs w:val="12"/>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668"/>
        <w:spacing w:after="0"/>
        <w:rPr>
          <w:sz w:val="20"/>
          <w:szCs w:val="20"/>
          <w:color w:val="auto"/>
        </w:rPr>
      </w:pPr>
      <w:r>
        <w:rPr>
          <w:rFonts w:ascii="Times New Roman" w:cs="Times New Roman" w:eastAsia="Times New Roman" w:hAnsi="Times New Roman"/>
          <w:sz w:val="12"/>
          <w:szCs w:val="12"/>
          <w:color w:val="auto"/>
        </w:rPr>
        <w:t>Lasse J. Petterson</w:t>
      </w:r>
    </w:p>
    <w:p>
      <w:pPr>
        <w:spacing w:after="0" w:line="15" w:lineRule="exact"/>
        <w:rPr>
          <w:sz w:val="20"/>
          <w:szCs w:val="20"/>
          <w:color w:val="auto"/>
        </w:rPr>
      </w:pPr>
    </w:p>
    <w:p>
      <w:pPr>
        <w:ind w:left="5668"/>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494030</wp:posOffset>
            </wp:positionV>
            <wp:extent cx="7203440"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CERTIFICATIONS PURSUANT TO</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SECTION 302 OF</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CERTIFICATION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Scott Kornblau, certify that:</w:t>
      </w:r>
    </w:p>
    <w:p>
      <w:pPr>
        <w:spacing w:after="0" w:line="78" w:lineRule="exact"/>
        <w:rPr>
          <w:sz w:val="20"/>
          <w:szCs w:val="20"/>
          <w:color w:val="auto"/>
        </w:rPr>
      </w:pPr>
    </w:p>
    <w:p>
      <w:pPr>
        <w:ind w:left="508" w:hanging="508"/>
        <w:spacing w:after="0"/>
        <w:tabs>
          <w:tab w:leader="none" w:pos="5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Great Lakes Dredge &amp; Dock Corporation;</w:t>
      </w:r>
    </w:p>
    <w:p>
      <w:pPr>
        <w:spacing w:after="0" w:line="78" w:lineRule="exact"/>
        <w:rPr>
          <w:rFonts w:ascii="Times New Roman" w:cs="Times New Roman" w:eastAsia="Times New Roman" w:hAnsi="Times New Roman"/>
          <w:sz w:val="12"/>
          <w:szCs w:val="12"/>
          <w:color w:val="auto"/>
        </w:rPr>
      </w:pPr>
    </w:p>
    <w:p>
      <w:pPr>
        <w:ind w:left="508" w:right="160" w:hanging="508"/>
        <w:spacing w:after="0" w:line="279" w:lineRule="auto"/>
        <w:tabs>
          <w:tab w:leader="none" w:pos="5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508" w:hanging="508"/>
        <w:spacing w:after="0" w:line="279" w:lineRule="auto"/>
        <w:tabs>
          <w:tab w:leader="none" w:pos="5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508" w:right="20" w:hanging="508"/>
        <w:spacing w:after="0" w:line="279" w:lineRule="auto"/>
        <w:tabs>
          <w:tab w:leader="none" w:pos="5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028" w:right="80" w:hanging="516"/>
        <w:spacing w:after="0" w:line="279" w:lineRule="auto"/>
        <w:tabs>
          <w:tab w:leader="none" w:pos="10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028" w:right="280" w:hanging="516"/>
        <w:spacing w:after="0" w:line="279" w:lineRule="auto"/>
        <w:tabs>
          <w:tab w:leader="none" w:pos="10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028" w:right="180" w:hanging="516"/>
        <w:spacing w:after="0" w:line="279" w:lineRule="auto"/>
        <w:tabs>
          <w:tab w:leader="none" w:pos="10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028" w:right="220" w:hanging="516"/>
        <w:spacing w:after="0" w:line="279" w:lineRule="auto"/>
        <w:tabs>
          <w:tab w:leader="none" w:pos="10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508" w:right="260" w:hanging="508"/>
        <w:spacing w:after="0" w:line="279" w:lineRule="auto"/>
        <w:tabs>
          <w:tab w:leader="none" w:pos="5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028" w:right="200" w:hanging="516"/>
        <w:spacing w:after="0" w:line="279" w:lineRule="auto"/>
        <w:tabs>
          <w:tab w:leader="none" w:pos="10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028" w:hanging="516"/>
        <w:spacing w:after="0"/>
        <w:tabs>
          <w:tab w:leader="none" w:pos="10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February 20, 2025</w:t>
      </w:r>
    </w:p>
    <w:p>
      <w:pPr>
        <w:spacing w:after="0" w:line="17" w:lineRule="exact"/>
        <w:rPr>
          <w:sz w:val="20"/>
          <w:szCs w:val="20"/>
          <w:color w:val="auto"/>
        </w:rPr>
      </w:pPr>
    </w:p>
    <w:p>
      <w:pPr>
        <w:ind w:left="5708"/>
        <w:spacing w:after="0"/>
        <w:rPr>
          <w:sz w:val="20"/>
          <w:szCs w:val="20"/>
          <w:color w:val="auto"/>
        </w:rPr>
      </w:pPr>
      <w:r>
        <w:rPr>
          <w:rFonts w:ascii="Times New Roman" w:cs="Times New Roman" w:eastAsia="Times New Roman" w:hAnsi="Times New Roman"/>
          <w:sz w:val="12"/>
          <w:szCs w:val="12"/>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3810</wp:posOffset>
            </wp:positionV>
            <wp:extent cx="358902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708"/>
        <w:spacing w:after="0"/>
        <w:rPr>
          <w:sz w:val="20"/>
          <w:szCs w:val="20"/>
          <w:color w:val="auto"/>
        </w:rPr>
      </w:pPr>
      <w:r>
        <w:rPr>
          <w:rFonts w:ascii="Times New Roman" w:cs="Times New Roman" w:eastAsia="Times New Roman" w:hAnsi="Times New Roman"/>
          <w:sz w:val="12"/>
          <w:szCs w:val="12"/>
          <w:color w:val="auto"/>
        </w:rPr>
        <w:t>Scott Kornblau</w:t>
      </w:r>
    </w:p>
    <w:p>
      <w:pPr>
        <w:spacing w:after="0" w:line="15" w:lineRule="exact"/>
        <w:rPr>
          <w:sz w:val="20"/>
          <w:szCs w:val="20"/>
          <w:color w:val="auto"/>
        </w:rPr>
      </w:pPr>
    </w:p>
    <w:p>
      <w:pPr>
        <w:ind w:left="5708"/>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494030</wp:posOffset>
            </wp:positionV>
            <wp:extent cx="7203440"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Great Lakes Dredge &amp; Dock Corporation (the “Company”) on Form 10-K for the year ended December 31, 2024,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39" w:lineRule="exact"/>
        <w:rPr>
          <w:sz w:val="20"/>
          <w:szCs w:val="20"/>
          <w:color w:val="auto"/>
        </w:rPr>
      </w:pPr>
    </w:p>
    <w:p>
      <w:pPr>
        <w:ind w:left="1020" w:hanging="516"/>
        <w:spacing w:after="0"/>
        <w:tabs>
          <w:tab w:leader="none" w:pos="10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Section 15(d) of the Securities Exchange Act of 1934, as amended;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LASSE J. PETTERSON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286893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20, 2025</w:t>
      </w:r>
    </w:p>
    <w:p>
      <w:pPr>
        <w:spacing w:after="0" w:line="16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492760</wp:posOffset>
            </wp:positionV>
            <wp:extent cx="7203440"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Great Lakes Dredge &amp; Dock Corporation (the “Company”) on Form 10-K for the year ended December 31, 2024,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spacing w:after="0" w:line="39" w:lineRule="exact"/>
        <w:rPr>
          <w:sz w:val="20"/>
          <w:szCs w:val="20"/>
          <w:color w:val="auto"/>
        </w:rPr>
      </w:pPr>
    </w:p>
    <w:p>
      <w:pPr>
        <w:ind w:left="1020" w:hanging="516"/>
        <w:spacing w:after="0"/>
        <w:tabs>
          <w:tab w:leader="none" w:pos="10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Section 15(d) of the Securities Exchange Act of 1934, as amended;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44043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Scott Kornblau</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20, 2025</w:t>
      </w:r>
    </w:p>
    <w:p>
      <w:pPr>
        <w:spacing w:after="0" w:line="15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481330</wp:posOffset>
            </wp:positionV>
            <wp:extent cx="7203440"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2"/>
    </w:lvl>
  </w:abstractNum>
  <w:abstractNum w:abstractNumId="16">
    <w:nsid w:val="B03E0C6"/>
    <w:multiLevelType w:val="hybridMultilevel"/>
    <w:lvl w:ilvl="0">
      <w:lvlJc w:val="left"/>
      <w:lvlText w:val="%1)"/>
      <w:numFmt w:val="lowerLetter"/>
      <w:start w:val="3"/>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lvl w:ilvl="1">
      <w:lvlJc w:val="left"/>
      <w:lvlText w:val="o"/>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lowerRoman"/>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upperLetter"/>
      <w:start w:val="1"/>
    </w:lvl>
  </w:abstractNum>
  <w:abstractNum w:abstractNumId="26">
    <w:nsid w:val="7C3DBD3D"/>
    <w:multiLevelType w:val="hybridMultilevel"/>
    <w:lvl w:ilvl="0">
      <w:lvlJc w:val="left"/>
      <w:lvlText w:val="%1."/>
      <w:numFmt w:val="upperLetter"/>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upperLetter"/>
      <w:start w:val="2"/>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0"/>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3" Type="http://schemas.openxmlformats.org/officeDocument/2006/relationships/image" Target="media/image381.png"/><Relationship Id="rId405"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6" Type="http://schemas.openxmlformats.org/officeDocument/2006/relationships/image" Target="media/image391.png"/><Relationship Id="rId418" Type="http://schemas.openxmlformats.org/officeDocument/2006/relationships/image" Target="media/image392.png"/><Relationship Id="rId420" Type="http://schemas.openxmlformats.org/officeDocument/2006/relationships/image" Target="media/image393.png"/><Relationship Id="rId422" Type="http://schemas.openxmlformats.org/officeDocument/2006/relationships/image" Target="media/image394.png"/><Relationship Id="rId424" Type="http://schemas.openxmlformats.org/officeDocument/2006/relationships/image" Target="media/image395.png"/><Relationship Id="rId426" Type="http://schemas.openxmlformats.org/officeDocument/2006/relationships/image" Target="media/image396.png"/><Relationship Id="rId428"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4" Type="http://schemas.openxmlformats.org/officeDocument/2006/relationships/image" Target="media/image418.png"/><Relationship Id="rId455" Type="http://schemas.openxmlformats.org/officeDocument/2006/relationships/image" Target="media/image419.png"/><Relationship Id="rId456"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462" Type="http://schemas.openxmlformats.org/officeDocument/2006/relationships/image" Target="media/image424.png"/><Relationship Id="rId463" Type="http://schemas.openxmlformats.org/officeDocument/2006/relationships/image" Target="media/image425.png"/><Relationship Id="rId464" Type="http://schemas.openxmlformats.org/officeDocument/2006/relationships/image" Target="media/image426.png"/><Relationship Id="rId465" Type="http://schemas.openxmlformats.org/officeDocument/2006/relationships/image" Target="media/image427.jpeg"/><Relationship Id="rId466" Type="http://schemas.openxmlformats.org/officeDocument/2006/relationships/image" Target="media/image428.png"/><Relationship Id="rId467" Type="http://schemas.openxmlformats.org/officeDocument/2006/relationships/image" Target="media/image429.png"/><Relationship Id="rId468" Type="http://schemas.openxmlformats.org/officeDocument/2006/relationships/image" Target="media/image430.jpeg"/><Relationship Id="rId469" Type="http://schemas.openxmlformats.org/officeDocument/2006/relationships/image" Target="media/image431.png"/><Relationship Id="rId470" Type="http://schemas.openxmlformats.org/officeDocument/2006/relationships/image" Target="media/image432.png"/><Relationship Id="rId471" Type="http://schemas.openxmlformats.org/officeDocument/2006/relationships/image" Target="media/image433.jpe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385" Type="http://schemas.openxmlformats.org/officeDocument/2006/relationships/hyperlink" Target="https://www.sec.gov/Archives/edgar/data/0000885538/000110465904000242/a03-6613_1ex2d1.htm" TargetMode="External"/><Relationship Id="rId386" Type="http://schemas.openxmlformats.org/officeDocument/2006/relationships/hyperlink" Target="https://www.sec.gov/Archives/edgar/data/0000885538/000110465906043195/a06-14169_1ex2d1.htm" TargetMode="External"/><Relationship Id="rId387" Type="http://schemas.openxmlformats.org/officeDocument/2006/relationships/hyperlink" Target="https://www.sec.gov/Archives/edgar/data/1372020/000095017024091731/gldd-ex3_1.htm" TargetMode="External"/><Relationship Id="rId388" Type="http://schemas.openxmlformats.org/officeDocument/2006/relationships/hyperlink" Target="https://www.sec.gov/Archives/edgar/data/1372020/000095017023000932/gldd-ex3_1.htm" TargetMode="External"/><Relationship Id="rId389" Type="http://schemas.openxmlformats.org/officeDocument/2006/relationships/hyperlink" Target="https://www.sec.gov/Archives/edgar/data/0001372020/000110465906084429/a06-26373_1ex3d1.htm" TargetMode="External"/><Relationship Id="rId390" Type="http://schemas.openxmlformats.org/officeDocument/2006/relationships/hyperlink" Target="https://www.sec.gov/Archives/edgar/data/0001372020/000110465907021696/a07-5615_1ex4d10.htm" TargetMode="External"/><Relationship Id="rId391" Type="http://schemas.openxmlformats.org/officeDocument/2006/relationships/hyperlink" Target="https://www.sec.gov/Archives/edgar/data/1372020/000156459021029758/gldd-ex41_42.htm" TargetMode="External"/><Relationship Id="rId392" Type="http://schemas.openxmlformats.org/officeDocument/2006/relationships/hyperlink" Target="https://www.sec.gov/Archives/edgar/data/0001372020/000156459021029758/gldd-ex41_42.htm" TargetMode="External"/><Relationship Id="rId393" Type="http://schemas.openxmlformats.org/officeDocument/2006/relationships/hyperlink" Target="https://www.sec.gov/Archives/edgar/data/0001372020/000156459017007964/gldd-ex101_6.htm" TargetMode="External"/><Relationship Id="rId394" Type="http://schemas.openxmlformats.org/officeDocument/2006/relationships/hyperlink" Target="https://www.sec.gov/Archives/edgar/data/1372020/000156459021050073/gldd-ex101_6.htm" TargetMode="External"/><Relationship Id="rId395" Type="http://schemas.openxmlformats.org/officeDocument/2006/relationships/hyperlink" Target="https://www.sec.gov/Archives/edgar/data/1372020/000156459022006231/gldd-ex1010_1113.htm" TargetMode="External"/><Relationship Id="rId396" Type="http://schemas.openxmlformats.org/officeDocument/2006/relationships/hyperlink" Target="https://www.sec.gov/Archives/edgar/data/1372020/000095017024016412/gldd-ex10_4.htm" TargetMode="External"/><Relationship Id="rId397" Type="http://schemas.openxmlformats.org/officeDocument/2006/relationships/hyperlink" Target="https://www.sec.gov/Archives/edgar/data/0001372020/000119312512013901/d284301dex101.htm" TargetMode="External"/><Relationship Id="rId398" Type="http://schemas.openxmlformats.org/officeDocument/2006/relationships/hyperlink" Target="https://www.sec.gov/Archives/edgar/data/0000885538/000110465905013624/a05-5703_1ex10d14.htm" TargetMode="External"/><Relationship Id="rId402" Type="http://schemas.openxmlformats.org/officeDocument/2006/relationships/hyperlink" Target="https://www.sec.gov/Archives/edgar/data/0001372020/000119312514094004/d689260dex1024.htm" TargetMode="External"/><Relationship Id="rId404" Type="http://schemas.openxmlformats.org/officeDocument/2006/relationships/hyperlink" Target="https://www.sec.gov/Archives/edgar/data/1372020/000156459018003940/gldd-ex1025_131.htm" TargetMode="External"/><Relationship Id="rId406" Type="http://schemas.openxmlformats.org/officeDocument/2006/relationships/hyperlink" Target="https://www.sec.gov/Archives/edgar/data/0001372020/000104746906011212/a2172300zex-10_17.htm" TargetMode="External"/><Relationship Id="rId415" Type="http://schemas.openxmlformats.org/officeDocument/2006/relationships/hyperlink" Target="https://www.sec.gov/Archives/edgar/data/0001372020/000156459017011213/gldd-ex101_6.htm" TargetMode="External"/><Relationship Id="rId417" Type="http://schemas.openxmlformats.org/officeDocument/2006/relationships/hyperlink" Target="https://www.sec.gov/Archives/edgar/data/0001372020/000156459021025527/gldd-ex101_6.htm" TargetMode="External"/><Relationship Id="rId419" Type="http://schemas.openxmlformats.org/officeDocument/2006/relationships/hyperlink" Target="https://www.sec.gov/Archives/edgar/data/1372020/000156459018010996/gldd-ex101_129.htm" TargetMode="External"/><Relationship Id="rId421" Type="http://schemas.openxmlformats.org/officeDocument/2006/relationships/hyperlink" Target="https://www.sec.gov/Archives/edgar/data/1372020/000156459018010996/gldd-ex102_131.htm" TargetMode="External"/><Relationship Id="rId423" Type="http://schemas.openxmlformats.org/officeDocument/2006/relationships/hyperlink" Target="https://www.sec.gov/Archives/edgar/data/1372020/000156459019015687/gldd-ex101_108.htm" TargetMode="External"/><Relationship Id="rId425" Type="http://schemas.openxmlformats.org/officeDocument/2006/relationships/hyperlink" Target="https://www.sec.gov/Archives/edgar/data/1372020/000156459019015687/gldd-ex102_84.htm" TargetMode="External"/><Relationship Id="rId427" Type="http://schemas.openxmlformats.org/officeDocument/2006/relationships/hyperlink" Target="https://www.sec.gov/Archives/edgar/data/0001372020/000156459021028701/gldd-ex101_33.htm" TargetMode="External"/><Relationship Id="rId429" Type="http://schemas.openxmlformats.org/officeDocument/2006/relationships/hyperlink" Target="https://www.sec.gov/Archives/edgar/data/1372020/000156459022027173/gldd-ex101_39.htm" TargetMode="External"/><Relationship Id="rId450" Type="http://schemas.openxmlformats.org/officeDocument/2006/relationships/hyperlink" Target="https://www.sec.gov/Archives/edgar/data/1372020/000156459020036109/gldd-ex101_121.htm" TargetMode="External"/><Relationship Id="rId451" Type="http://schemas.openxmlformats.org/officeDocument/2006/relationships/hyperlink" Target="https://www.sec.gov/Archives/edgar/data/1372020/000156459022006231/gldd-ex1029_1112.htm" TargetMode="External"/><Relationship Id="rId452" Type="http://schemas.openxmlformats.org/officeDocument/2006/relationships/hyperlink" Target="https://www.sec.gov/Archives/edgar/data/1372020/000095017023016655/gldd-ex10_1.htm" TargetMode="External"/><Relationship Id="rId453" Type="http://schemas.openxmlformats.org/officeDocument/2006/relationships/hyperlink" Target="https://www.sec.gov/Archives/edgar/data/1372020/000095017024047945/gldd-ex10_1.htm" TargetMode="External"/><Relationship Id="rId457" Type="http://schemas.openxmlformats.org/officeDocument/2006/relationships/hyperlink" Target="https://www.sec.gov/Archives/edgar/data/1372020/000095017024047945/gldd-ex10_2.htm" TargetMode="External"/><Relationship Id="rId458" Type="http://schemas.openxmlformats.org/officeDocument/2006/relationships/hyperlink" Target="https://www.sec.gov/Archives/edgar/data/1372020/000095017024016412/gldd-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2025-02-21T05:12:54Z</dcterms:created>
  <dcterms:modified xsi:type="dcterms:W3CDTF">2025-02-21T05:12:54Z</dcterms:modified>
</cp:coreProperties>
</file>