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38735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57150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1"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4"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1"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408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46355</wp:posOffset>
            </wp:positionV>
            <wp:extent cx="875030" cy="875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5030"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Great Lakes Dredge &amp; Dock Corporation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36830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9" w:lineRule="exact"/>
        <w:rPr>
          <w:sz w:val="24"/>
          <w:szCs w:val="24"/>
          <w:color w:val="auto"/>
        </w:rPr>
      </w:pPr>
    </w:p>
    <w:tbl>
      <w:tblPr>
        <w:tblLayout w:type="fixed"/>
        <w:tblInd w:w="1860" w:type="dxa"/>
        <w:tblCellMar>
          <w:top w:w="0" w:type="dxa"/>
          <w:left w:w="0" w:type="dxa"/>
          <w:bottom w:w="0" w:type="dxa"/>
          <w:right w:w="0" w:type="dxa"/>
        </w:tblCellMar>
      </w:tblPr>
      <w:tr>
        <w:trPr>
          <w:trHeight w:val="172"/>
        </w:trPr>
        <w:tc>
          <w:tcPr>
            <w:tcW w:w="6040" w:type="dxa"/>
            <w:vAlign w:val="bottom"/>
          </w:tcPr>
          <w:p>
            <w:pPr>
              <w:jc w:val="center"/>
              <w:ind w:right="3586"/>
              <w:spacing w:after="0"/>
              <w:rPr>
                <w:sz w:val="20"/>
                <w:szCs w:val="20"/>
                <w:color w:val="auto"/>
              </w:rPr>
            </w:pPr>
            <w:r>
              <w:rPr>
                <w:rFonts w:ascii="Arial" w:cs="Arial" w:eastAsia="Arial" w:hAnsi="Arial"/>
                <w:sz w:val="15"/>
                <w:szCs w:val="15"/>
                <w:b w:val="1"/>
                <w:bCs w:val="1"/>
                <w:color w:val="auto"/>
                <w:w w:val="94"/>
              </w:rPr>
              <w:t>Delaware</w:t>
            </w:r>
          </w:p>
        </w:tc>
        <w:tc>
          <w:tcPr>
            <w:tcW w:w="1560" w:type="dxa"/>
            <w:vAlign w:val="bottom"/>
          </w:tcPr>
          <w:p>
            <w:pPr>
              <w:jc w:val="right"/>
              <w:ind w:right="126"/>
              <w:spacing w:after="0"/>
              <w:rPr>
                <w:sz w:val="20"/>
                <w:szCs w:val="20"/>
                <w:color w:val="auto"/>
              </w:rPr>
            </w:pPr>
            <w:r>
              <w:rPr>
                <w:rFonts w:ascii="Arial" w:cs="Arial" w:eastAsia="Arial" w:hAnsi="Arial"/>
                <w:sz w:val="15"/>
                <w:szCs w:val="15"/>
                <w:b w:val="1"/>
                <w:bCs w:val="1"/>
                <w:color w:val="auto"/>
              </w:rPr>
              <w:t>20-5336063</w:t>
            </w:r>
          </w:p>
        </w:tc>
      </w:tr>
      <w:tr>
        <w:trPr>
          <w:trHeight w:val="149"/>
        </w:trPr>
        <w:tc>
          <w:tcPr>
            <w:tcW w:w="6040" w:type="dxa"/>
            <w:vAlign w:val="bottom"/>
          </w:tcPr>
          <w:p>
            <w:pPr>
              <w:jc w:val="center"/>
              <w:ind w:right="356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6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40" w:type="dxa"/>
            <w:vAlign w:val="bottom"/>
          </w:tcPr>
          <w:p>
            <w:pPr>
              <w:jc w:val="center"/>
              <w:ind w:right="3566"/>
              <w:spacing w:after="0"/>
              <w:rPr>
                <w:sz w:val="20"/>
                <w:szCs w:val="20"/>
                <w:color w:val="auto"/>
              </w:rPr>
            </w:pPr>
            <w:r>
              <w:rPr>
                <w:rFonts w:ascii="Arial" w:cs="Arial" w:eastAsia="Arial" w:hAnsi="Arial"/>
                <w:sz w:val="14"/>
                <w:szCs w:val="14"/>
                <w:b w:val="1"/>
                <w:bCs w:val="1"/>
                <w:color w:val="auto"/>
                <w:w w:val="94"/>
              </w:rPr>
              <w:t>incorporation or organization)</w:t>
            </w:r>
          </w:p>
        </w:tc>
        <w:tc>
          <w:tcPr>
            <w:tcW w:w="1560" w:type="dxa"/>
            <w:vAlign w:val="bottom"/>
          </w:tcPr>
          <w:p>
            <w:pPr>
              <w:jc w:val="center"/>
              <w:ind w:left="346"/>
              <w:spacing w:after="0"/>
              <w:rPr>
                <w:sz w:val="20"/>
                <w:szCs w:val="20"/>
                <w:color w:val="auto"/>
              </w:rPr>
            </w:pPr>
            <w:r>
              <w:rPr>
                <w:rFonts w:ascii="Arial" w:cs="Arial" w:eastAsia="Arial" w:hAnsi="Arial"/>
                <w:sz w:val="14"/>
                <w:szCs w:val="14"/>
                <w:b w:val="1"/>
                <w:bCs w:val="1"/>
                <w:color w:val="auto"/>
                <w:w w:val="96"/>
              </w:rPr>
              <w:t>Identification No.)</w:t>
            </w:r>
          </w:p>
        </w:tc>
      </w:tr>
      <w:tr>
        <w:trPr>
          <w:trHeight w:val="165"/>
        </w:trPr>
        <w:tc>
          <w:tcPr>
            <w:tcW w:w="6040" w:type="dxa"/>
            <w:vAlign w:val="bottom"/>
          </w:tcPr>
          <w:p>
            <w:pPr>
              <w:jc w:val="center"/>
              <w:ind w:right="3586"/>
              <w:spacing w:after="0" w:line="165" w:lineRule="exact"/>
              <w:rPr>
                <w:sz w:val="20"/>
                <w:szCs w:val="20"/>
                <w:color w:val="auto"/>
              </w:rPr>
            </w:pPr>
            <w:r>
              <w:rPr>
                <w:rFonts w:ascii="Arial" w:cs="Arial" w:eastAsia="Arial" w:hAnsi="Arial"/>
                <w:sz w:val="15"/>
                <w:szCs w:val="15"/>
                <w:b w:val="1"/>
                <w:bCs w:val="1"/>
                <w:color w:val="auto"/>
                <w:w w:val="96"/>
              </w:rPr>
              <w:t>2122 York Road, Oak Brook, IL</w:t>
            </w:r>
          </w:p>
        </w:tc>
        <w:tc>
          <w:tcPr>
            <w:tcW w:w="1560" w:type="dxa"/>
            <w:vAlign w:val="bottom"/>
          </w:tcPr>
          <w:p>
            <w:pPr>
              <w:jc w:val="right"/>
              <w:ind w:right="306"/>
              <w:spacing w:after="0" w:line="165" w:lineRule="exact"/>
              <w:rPr>
                <w:sz w:val="20"/>
                <w:szCs w:val="20"/>
                <w:color w:val="auto"/>
              </w:rPr>
            </w:pPr>
            <w:r>
              <w:rPr>
                <w:rFonts w:ascii="Arial" w:cs="Arial" w:eastAsia="Arial" w:hAnsi="Arial"/>
                <w:sz w:val="15"/>
                <w:szCs w:val="15"/>
                <w:b w:val="1"/>
                <w:bCs w:val="1"/>
                <w:color w:val="auto"/>
              </w:rPr>
              <w:t>60523</w:t>
            </w:r>
          </w:p>
        </w:tc>
      </w:tr>
      <w:tr>
        <w:trPr>
          <w:trHeight w:val="181"/>
        </w:trPr>
        <w:tc>
          <w:tcPr>
            <w:tcW w:w="6040" w:type="dxa"/>
            <w:vAlign w:val="bottom"/>
          </w:tcPr>
          <w:p>
            <w:pPr>
              <w:jc w:val="center"/>
              <w:ind w:right="358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60" w:type="dxa"/>
            <w:vAlign w:val="bottom"/>
          </w:tcPr>
          <w:p>
            <w:pPr>
              <w:jc w:val="center"/>
              <w:ind w:left="346"/>
              <w:spacing w:after="0"/>
              <w:rPr>
                <w:sz w:val="20"/>
                <w:szCs w:val="20"/>
                <w:color w:val="auto"/>
              </w:rPr>
            </w:pPr>
            <w:r>
              <w:rPr>
                <w:rFonts w:ascii="Arial" w:cs="Arial" w:eastAsia="Arial" w:hAnsi="Arial"/>
                <w:sz w:val="14"/>
                <w:szCs w:val="14"/>
                <w:b w:val="1"/>
                <w:bCs w:val="1"/>
                <w:color w:val="auto"/>
                <w:w w:val="95"/>
              </w:rPr>
              <w:t>(Zip Code)</w:t>
            </w:r>
          </w:p>
        </w:tc>
      </w:tr>
      <w:tr>
        <w:trPr>
          <w:trHeight w:val="157"/>
        </w:trPr>
        <w:tc>
          <w:tcPr>
            <w:tcW w:w="6040" w:type="dxa"/>
            <w:vAlign w:val="bottom"/>
          </w:tcPr>
          <w:p>
            <w:pPr>
              <w:jc w:val="center"/>
              <w:ind w:left="1606"/>
              <w:spacing w:after="0" w:line="156" w:lineRule="exact"/>
              <w:rPr>
                <w:sz w:val="20"/>
                <w:szCs w:val="20"/>
                <w:color w:val="auto"/>
              </w:rPr>
            </w:pPr>
            <w:r>
              <w:rPr>
                <w:rFonts w:ascii="Arial" w:cs="Arial" w:eastAsia="Arial" w:hAnsi="Arial"/>
                <w:sz w:val="15"/>
                <w:szCs w:val="15"/>
                <w:b w:val="1"/>
                <w:bCs w:val="1"/>
                <w:color w:val="auto"/>
                <w:w w:val="93"/>
              </w:rPr>
              <w:t>(630) 574-3000</w:t>
            </w:r>
          </w:p>
        </w:tc>
        <w:tc>
          <w:tcPr>
            <w:tcW w:w="1560" w:type="dxa"/>
            <w:vAlign w:val="bottom"/>
          </w:tcPr>
          <w:p>
            <w:pPr>
              <w:spacing w:after="0"/>
              <w:rPr>
                <w:sz w:val="13"/>
                <w:szCs w:val="13"/>
                <w:color w:val="auto"/>
              </w:rPr>
            </w:pPr>
          </w:p>
        </w:tc>
      </w:tr>
      <w:tr>
        <w:trPr>
          <w:trHeight w:val="186"/>
        </w:trPr>
        <w:tc>
          <w:tcPr>
            <w:tcW w:w="6040" w:type="dxa"/>
            <w:vAlign w:val="bottom"/>
          </w:tcPr>
          <w:p>
            <w:pPr>
              <w:jc w:val="center"/>
              <w:ind w:left="158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6"/>
                <w:szCs w:val="16"/>
                <w:color w:val="auto"/>
              </w:rPr>
            </w:pPr>
          </w:p>
        </w:tc>
      </w:tr>
      <w:tr>
        <w:trPr>
          <w:trHeight w:val="189"/>
        </w:trPr>
        <w:tc>
          <w:tcPr>
            <w:tcW w:w="6040" w:type="dxa"/>
            <w:vAlign w:val="bottom"/>
          </w:tcPr>
          <w:p>
            <w:pPr>
              <w:jc w:val="center"/>
              <w:ind w:left="160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560" w:type="dxa"/>
            <w:vAlign w:val="bottom"/>
          </w:tcPr>
          <w:p>
            <w:pPr>
              <w:spacing w:after="0"/>
              <w:rPr>
                <w:sz w:val="16"/>
                <w:szCs w:val="16"/>
                <w:color w:val="auto"/>
              </w:rPr>
            </w:pPr>
          </w:p>
        </w:tc>
      </w:tr>
    </w:tbl>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80" w:type="dxa"/>
            <w:vAlign w:val="bottom"/>
            <w:gridSpan w:val="3"/>
          </w:tcPr>
          <w:p>
            <w:pPr>
              <w:jc w:val="center"/>
              <w:ind w:left="783"/>
              <w:spacing w:after="0"/>
              <w:rPr>
                <w:sz w:val="20"/>
                <w:szCs w:val="20"/>
                <w:color w:val="auto"/>
              </w:rPr>
            </w:pPr>
            <w:r>
              <w:rPr>
                <w:rFonts w:ascii="Arial" w:cs="Arial" w:eastAsia="Arial" w:hAnsi="Arial"/>
                <w:sz w:val="15"/>
                <w:szCs w:val="15"/>
                <w:color w:val="auto"/>
                <w:w w:val="92"/>
              </w:rPr>
              <w:t>Common Stock, (Par Value $0.0001)</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GLDD</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Nasdaq Stock Market, LLC</w:t>
            </w:r>
          </w:p>
        </w:tc>
        <w:tc>
          <w:tcPr>
            <w:tcW w:w="0" w:type="dxa"/>
            <w:vAlign w:val="bottom"/>
          </w:tcPr>
          <w:p>
            <w:pPr>
              <w:spacing w:after="0"/>
              <w:rPr>
                <w:sz w:val="1"/>
                <w:szCs w:val="1"/>
                <w:color w:val="auto"/>
              </w:rPr>
            </w:pPr>
          </w:p>
        </w:tc>
      </w:tr>
      <w:tr>
        <w:trPr>
          <w:trHeight w:val="249"/>
        </w:trPr>
        <w:tc>
          <w:tcPr>
            <w:tcW w:w="14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380" w:type="dxa"/>
            <w:vAlign w:val="bottom"/>
            <w:gridSpan w:val="6"/>
          </w:tcPr>
          <w:p>
            <w:pPr>
              <w:jc w:val="center"/>
              <w:ind w:left="23"/>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5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4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vMerge w:val="restart"/>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4"/>
                <w:szCs w:val="14"/>
                <w:color w:val="auto"/>
              </w:rPr>
              <w:t>☐</w:t>
            </w:r>
          </w:p>
        </w:tc>
        <w:tc>
          <w:tcPr>
            <w:tcW w:w="2740" w:type="dxa"/>
            <w:vAlign w:val="bottom"/>
            <w:gridSpan w:val="2"/>
            <w:vMerge w:val="restart"/>
          </w:tcPr>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7860" w:type="dxa"/>
            <w:vAlign w:val="bottom"/>
            <w:gridSpan w:val="9"/>
          </w:tcPr>
          <w:p>
            <w:pPr>
              <w:ind w:left="520"/>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580" w:type="dxa"/>
            <w:vAlign w:val="bottom"/>
            <w:vMerge w:val="continue"/>
          </w:tcPr>
          <w:p>
            <w:pPr>
              <w:spacing w:after="0"/>
              <w:rPr>
                <w:sz w:val="17"/>
                <w:szCs w:val="17"/>
                <w:color w:val="auto"/>
              </w:rPr>
            </w:pPr>
          </w:p>
        </w:tc>
        <w:tc>
          <w:tcPr>
            <w:tcW w:w="2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60" w:type="dxa"/>
            <w:vAlign w:val="bottom"/>
            <w:gridSpan w:val="9"/>
          </w:tcPr>
          <w:p>
            <w:pPr>
              <w:ind w:left="520"/>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580" w:type="dxa"/>
            <w:vAlign w:val="bottom"/>
          </w:tcPr>
          <w:p>
            <w:pPr>
              <w:ind w:left="140"/>
              <w:spacing w:after="0" w:line="173" w:lineRule="exact"/>
              <w:rPr>
                <w:sz w:val="20"/>
                <w:szCs w:val="20"/>
                <w:color w:val="auto"/>
              </w:rPr>
            </w:pPr>
            <w:r>
              <w:rPr>
                <w:rFonts w:ascii="Arial" w:cs="Arial" w:eastAsia="Arial" w:hAnsi="Arial"/>
                <w:sz w:val="15"/>
                <w:szCs w:val="15"/>
                <w:color w:val="auto"/>
                <w:w w:val="95"/>
              </w:rPr>
              <w:t xml:space="preserve">Yes </w:t>
            </w:r>
            <w:r>
              <w:rPr>
                <w:rFonts w:ascii="MS PGothic" w:cs="MS PGothic" w:eastAsia="MS PGothic" w:hAnsi="MS PGothic"/>
                <w:sz w:val="14"/>
                <w:szCs w:val="14"/>
                <w:color w:val="auto"/>
                <w:w w:val="95"/>
              </w:rPr>
              <w:t>☐</w:t>
            </w:r>
          </w:p>
        </w:tc>
        <w:tc>
          <w:tcPr>
            <w:tcW w:w="2740" w:type="dxa"/>
            <w:vAlign w:val="bottom"/>
            <w:gridSpan w:val="2"/>
          </w:tcPr>
          <w:p>
            <w:pPr>
              <w:ind w:left="1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58"/>
        </w:trPr>
        <w:tc>
          <w:tcPr>
            <w:tcW w:w="11180" w:type="dxa"/>
            <w:vAlign w:val="bottom"/>
            <w:gridSpan w:val="12"/>
          </w:tcPr>
          <w:p>
            <w:pPr>
              <w:ind w:left="520"/>
              <w:spacing w:after="0" w:line="158" w:lineRule="exact"/>
              <w:rPr>
                <w:sz w:val="20"/>
                <w:szCs w:val="20"/>
                <w:color w:val="auto"/>
              </w:rPr>
            </w:pPr>
            <w:r>
              <w:rPr>
                <w:rFonts w:ascii="Arial" w:cs="Arial" w:eastAsia="Arial" w:hAnsi="Arial"/>
                <w:sz w:val="15"/>
                <w:szCs w:val="15"/>
                <w:color w:val="auto"/>
                <w:w w:val="93"/>
              </w:rPr>
              <w:t>Indicate by check mark whether the registrant: (1) has filed all reports required to be filed by Section 13 or 15(d) of the Securities Exchange Act of 1934 during the preceding</w:t>
            </w:r>
          </w:p>
        </w:tc>
        <w:tc>
          <w:tcPr>
            <w:tcW w:w="0" w:type="dxa"/>
            <w:vAlign w:val="bottom"/>
          </w:tcPr>
          <w:p>
            <w:pPr>
              <w:spacing w:after="0"/>
              <w:rPr>
                <w:sz w:val="1"/>
                <w:szCs w:val="1"/>
                <w:color w:val="auto"/>
              </w:rPr>
            </w:pPr>
          </w:p>
        </w:tc>
      </w:tr>
      <w:tr>
        <w:trPr>
          <w:trHeight w:val="216"/>
        </w:trPr>
        <w:tc>
          <w:tcPr>
            <w:tcW w:w="11180" w:type="dxa"/>
            <w:vAlign w:val="bottom"/>
            <w:gridSpan w:val="12"/>
          </w:tcPr>
          <w:p>
            <w:pPr>
              <w:spacing w:after="0" w:line="173" w:lineRule="exact"/>
              <w:rPr>
                <w:sz w:val="20"/>
                <w:szCs w:val="20"/>
                <w:color w:val="auto"/>
              </w:rPr>
            </w:pPr>
            <w:r>
              <w:rPr>
                <w:rFonts w:ascii="Arial" w:cs="Arial" w:eastAsia="Arial" w:hAnsi="Arial"/>
                <w:sz w:val="15"/>
                <w:szCs w:val="15"/>
                <w:color w:val="auto"/>
                <w:w w:val="94"/>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w w:val="94"/>
              </w:rPr>
              <w:t>☒</w:t>
            </w:r>
            <w:r>
              <w:rPr>
                <w:rFonts w:ascii="Arial" w:cs="Arial" w:eastAsia="Arial" w:hAnsi="Arial"/>
                <w:sz w:val="15"/>
                <w:szCs w:val="15"/>
                <w:color w:val="auto"/>
                <w:w w:val="94"/>
              </w:rPr>
              <w:t xml:space="preserve">  No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148"/>
        </w:trPr>
        <w:tc>
          <w:tcPr>
            <w:tcW w:w="11180" w:type="dxa"/>
            <w:vAlign w:val="bottom"/>
            <w:gridSpan w:val="12"/>
          </w:tcPr>
          <w:p>
            <w:pPr>
              <w:ind w:left="520"/>
              <w:spacing w:after="0" w:line="149" w:lineRule="exact"/>
              <w:rPr>
                <w:sz w:val="20"/>
                <w:szCs w:val="20"/>
                <w:color w:val="auto"/>
              </w:rPr>
            </w:pPr>
            <w:r>
              <w:rPr>
                <w:rFonts w:ascii="Arial" w:cs="Arial" w:eastAsia="Arial" w:hAnsi="Arial"/>
                <w:sz w:val="15"/>
                <w:szCs w:val="15"/>
                <w:color w:val="auto"/>
                <w:w w:val="95"/>
              </w:rPr>
              <w:t>Indicate by check mark whether the registrant has submitted electronically every Interactive Data File required to be submitted pursuant to Rule 405 of Regulation S-T (§</w:t>
            </w:r>
          </w:p>
        </w:tc>
        <w:tc>
          <w:tcPr>
            <w:tcW w:w="0" w:type="dxa"/>
            <w:vAlign w:val="bottom"/>
          </w:tcPr>
          <w:p>
            <w:pPr>
              <w:spacing w:after="0"/>
              <w:rPr>
                <w:sz w:val="1"/>
                <w:szCs w:val="1"/>
                <w:color w:val="auto"/>
              </w:rPr>
            </w:pPr>
          </w:p>
        </w:tc>
      </w:tr>
      <w:tr>
        <w:trPr>
          <w:trHeight w:val="226"/>
        </w:trPr>
        <w:tc>
          <w:tcPr>
            <w:tcW w:w="8440" w:type="dxa"/>
            <w:vAlign w:val="bottom"/>
            <w:gridSpan w:val="10"/>
          </w:tcPr>
          <w:p>
            <w:pPr>
              <w:spacing w:after="0"/>
              <w:rPr>
                <w:sz w:val="20"/>
                <w:szCs w:val="20"/>
                <w:color w:val="auto"/>
              </w:rPr>
            </w:pPr>
            <w:r>
              <w:rPr>
                <w:rFonts w:ascii="Arial" w:cs="Arial" w:eastAsia="Arial" w:hAnsi="Arial"/>
                <w:sz w:val="15"/>
                <w:szCs w:val="15"/>
                <w:color w:val="auto"/>
                <w:w w:val="93"/>
              </w:rPr>
              <w:t>232.405 of this chapter) during the preceding 12 months (or for such shorter period that the registrant was required to submit such files).</w:t>
            </w:r>
          </w:p>
        </w:tc>
        <w:tc>
          <w:tcPr>
            <w:tcW w:w="2740" w:type="dxa"/>
            <w:vAlign w:val="bottom"/>
            <w:gridSpan w:val="2"/>
          </w:tcPr>
          <w:p>
            <w:pPr>
              <w:ind w:left="6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0940" w:type="dxa"/>
            <w:vAlign w:val="bottom"/>
            <w:gridSpan w:val="3"/>
          </w:tcPr>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tc>
        <w:tc>
          <w:tcPr>
            <w:tcW w:w="300" w:type="dxa"/>
            <w:vAlign w:val="bottom"/>
          </w:tcPr>
          <w:p>
            <w:pPr>
              <w:spacing w:after="0"/>
              <w:rPr>
                <w:sz w:val="15"/>
                <w:szCs w:val="15"/>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7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60"/>
              <w:spacing w:after="0"/>
              <w:rPr>
                <w:sz w:val="20"/>
                <w:szCs w:val="20"/>
                <w:color w:val="auto"/>
              </w:rPr>
            </w:pPr>
            <w:r>
              <w:rPr>
                <w:rFonts w:ascii="Arial" w:cs="Arial" w:eastAsia="Arial" w:hAnsi="Arial"/>
                <w:sz w:val="15"/>
                <w:szCs w:val="15"/>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1"/>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7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60"/>
              <w:spacing w:after="0"/>
              <w:rPr>
                <w:sz w:val="20"/>
                <w:szCs w:val="20"/>
                <w:color w:val="auto"/>
              </w:rPr>
            </w:pPr>
            <w:r>
              <w:rPr>
                <w:rFonts w:ascii="Arial" w:cs="Arial" w:eastAsia="Arial" w:hAnsi="Arial"/>
                <w:sz w:val="15"/>
                <w:szCs w:val="15"/>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1"/>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7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r>
    </w:tbl>
    <w:p>
      <w:pPr>
        <w:ind w:right="260" w:firstLine="518"/>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520"/>
        <w:spacing w:after="0" w:line="173" w:lineRule="exact"/>
        <w:tabs>
          <w:tab w:leader="none" w:pos="7600" w:val="left"/>
          <w:tab w:leader="none" w:pos="82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5"/>
          <w:szCs w:val="15"/>
          <w:color w:val="auto"/>
        </w:rPr>
        <w:tab/>
        <w:t xml:space="preserve">No </w:t>
      </w:r>
      <w:r>
        <w:rPr>
          <w:rFonts w:ascii="MS PGothic" w:cs="MS PGothic" w:eastAsia="MS PGothic" w:hAnsi="MS PGothic"/>
          <w:sz w:val="14"/>
          <w:szCs w:val="14"/>
          <w:color w:val="auto"/>
        </w:rPr>
        <w:t>☒</w:t>
      </w:r>
    </w:p>
    <w:p>
      <w:pPr>
        <w:spacing w:after="0" w:line="36" w:lineRule="exact"/>
        <w:rPr>
          <w:sz w:val="24"/>
          <w:szCs w:val="24"/>
          <w:color w:val="auto"/>
        </w:rPr>
      </w:pPr>
    </w:p>
    <w:p>
      <w:pPr>
        <w:ind w:right="140" w:firstLine="518"/>
        <w:spacing w:after="0"/>
        <w:rPr>
          <w:sz w:val="20"/>
          <w:szCs w:val="20"/>
          <w:color w:val="auto"/>
        </w:rPr>
      </w:pPr>
      <w:r>
        <w:rPr>
          <w:rFonts w:ascii="Arial" w:cs="Arial" w:eastAsia="Arial" w:hAnsi="Arial"/>
          <w:sz w:val="15"/>
          <w:szCs w:val="15"/>
          <w:color w:val="auto"/>
        </w:rPr>
        <w:t>The aggregate market value of voting stock held by non-affiliates of the Registrant was $689,871,174 at June 28, 2019. The aggregate market value was computed using the closing price of the common stock as of June 28, 2019 on the Nasdaq Stock Market. (For purposes of a calculating this amount only, all directors and executive officers of the registrant have been treated as affiliates.)</w:t>
      </w:r>
    </w:p>
    <w:p>
      <w:pPr>
        <w:spacing w:after="0" w:line="9"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February 21, 2020, 64,285,602 shares of Registrant’s Common Stock, par value $.0001 per share, were outstanding.</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700" w:type="dxa"/>
            <w:vAlign w:val="bottom"/>
          </w:tcPr>
          <w:p>
            <w:pPr>
              <w:spacing w:after="0"/>
              <w:rPr>
                <w:sz w:val="17"/>
                <w:szCs w:val="17"/>
                <w:color w:val="auto"/>
              </w:rPr>
            </w:pPr>
          </w:p>
        </w:tc>
        <w:tc>
          <w:tcPr>
            <w:tcW w:w="7720" w:type="dxa"/>
            <w:vAlign w:val="bottom"/>
            <w:gridSpan w:val="3"/>
          </w:tcPr>
          <w:p>
            <w:pPr>
              <w:ind w:left="260"/>
              <w:spacing w:after="0"/>
              <w:rPr>
                <w:sz w:val="20"/>
                <w:szCs w:val="20"/>
                <w:color w:val="auto"/>
              </w:rPr>
            </w:pPr>
            <w:r>
              <w:rPr>
                <w:rFonts w:ascii="Arial" w:cs="Arial" w:eastAsia="Arial" w:hAnsi="Arial"/>
                <w:sz w:val="15"/>
                <w:szCs w:val="15"/>
                <w:b w:val="1"/>
                <w:bCs w:val="1"/>
                <w:color w:val="auto"/>
              </w:rPr>
              <w:t>DOCUMENTS INCORPORATED BY REFERENCE</w:t>
            </w:r>
          </w:p>
        </w:tc>
      </w:tr>
      <w:tr>
        <w:trPr>
          <w:trHeight w:val="174"/>
        </w:trPr>
        <w:tc>
          <w:tcPr>
            <w:tcW w:w="3700" w:type="dxa"/>
            <w:vAlign w:val="bottom"/>
            <w:tcBorders>
              <w:bottom w:val="single" w:sz="8" w:color="auto"/>
            </w:tcBorders>
          </w:tcPr>
          <w:p>
            <w:pPr>
              <w:jc w:val="center"/>
              <w:ind w:left="2326"/>
              <w:spacing w:after="0"/>
              <w:rPr>
                <w:sz w:val="20"/>
                <w:szCs w:val="20"/>
                <w:color w:val="auto"/>
              </w:rPr>
            </w:pPr>
            <w:r>
              <w:rPr>
                <w:rFonts w:ascii="Arial" w:cs="Arial" w:eastAsia="Arial" w:hAnsi="Arial"/>
                <w:sz w:val="14"/>
                <w:szCs w:val="14"/>
                <w:b w:val="1"/>
                <w:bCs w:val="1"/>
                <w:color w:val="auto"/>
                <w:w w:val="99"/>
              </w:rPr>
              <w:t>Part of 10-K</w:t>
            </w:r>
          </w:p>
        </w:tc>
        <w:tc>
          <w:tcPr>
            <w:tcW w:w="2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Documents Incorporated by Reference</w:t>
            </w:r>
          </w:p>
        </w:tc>
      </w:tr>
      <w:tr>
        <w:trPr>
          <w:trHeight w:val="142"/>
        </w:trPr>
        <w:tc>
          <w:tcPr>
            <w:tcW w:w="3700" w:type="dxa"/>
            <w:vAlign w:val="bottom"/>
          </w:tcPr>
          <w:p>
            <w:pPr>
              <w:jc w:val="center"/>
              <w:ind w:left="2306"/>
              <w:spacing w:after="0" w:line="142" w:lineRule="exact"/>
              <w:rPr>
                <w:sz w:val="20"/>
                <w:szCs w:val="20"/>
                <w:color w:val="auto"/>
              </w:rPr>
            </w:pPr>
            <w:r>
              <w:rPr>
                <w:rFonts w:ascii="Arial" w:cs="Arial" w:eastAsia="Arial" w:hAnsi="Arial"/>
                <w:sz w:val="15"/>
                <w:szCs w:val="15"/>
                <w:color w:val="auto"/>
                <w:w w:val="99"/>
              </w:rPr>
              <w:t>Part III</w:t>
            </w: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60" w:type="dxa"/>
            <w:vAlign w:val="bottom"/>
          </w:tcPr>
          <w:p>
            <w:pPr>
              <w:jc w:val="center"/>
              <w:spacing w:after="0" w:line="142" w:lineRule="exact"/>
              <w:rPr>
                <w:sz w:val="20"/>
                <w:szCs w:val="20"/>
                <w:color w:val="auto"/>
              </w:rPr>
            </w:pPr>
            <w:r>
              <w:rPr>
                <w:rFonts w:ascii="Arial" w:cs="Arial" w:eastAsia="Arial" w:hAnsi="Arial"/>
                <w:sz w:val="15"/>
                <w:szCs w:val="15"/>
                <w:color w:val="auto"/>
                <w:w w:val="92"/>
              </w:rPr>
              <w:t>Portions of the Proxy Statement to be filed with the Securities and Exchange</w:t>
            </w:r>
          </w:p>
        </w:tc>
      </w:tr>
      <w:tr>
        <w:trPr>
          <w:trHeight w:val="175"/>
        </w:trPr>
        <w:tc>
          <w:tcPr>
            <w:tcW w:w="37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Commission in connection with the 2020 Annual Meeting of Stockholders.</w:t>
            </w:r>
          </w:p>
        </w:tc>
      </w:tr>
    </w:tbl>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0" w:type="dxa"/>
            <w:vAlign w:val="bottom"/>
            <w:gridSpan w:val="15"/>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20"/>
                <w:szCs w:val="20"/>
                <w:color w:val="auto"/>
              </w:rPr>
            </w:pPr>
          </w:p>
        </w:tc>
      </w:tr>
      <w:tr>
        <w:trPr>
          <w:trHeight w:val="39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600" w:type="dxa"/>
            <w:vAlign w:val="bottom"/>
            <w:gridSpan w:val="9"/>
          </w:tcPr>
          <w:p>
            <w:pPr>
              <w:spacing w:after="0"/>
              <w:rPr>
                <w:sz w:val="24"/>
                <w:szCs w:val="24"/>
                <w:color w:val="auto"/>
              </w:rPr>
            </w:pPr>
          </w:p>
        </w:tc>
        <w:tc>
          <w:tcPr>
            <w:tcW w:w="1180" w:type="dxa"/>
            <w:vAlign w:val="bottom"/>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80" w:type="dxa"/>
            <w:vAlign w:val="bottom"/>
            <w:gridSpan w:val="26"/>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420" w:type="dxa"/>
            <w:vAlign w:val="bottom"/>
            <w:gridSpan w:val="2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Unresolved Staff Comments</w:t>
              </w:r>
            </w:hyperlink>
          </w:p>
        </w:tc>
        <w:tc>
          <w:tcPr>
            <w:tcW w:w="7280" w:type="dxa"/>
            <w:vAlign w:val="bottom"/>
            <w:gridSpan w:val="18"/>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320" w:type="dxa"/>
            <w:vAlign w:val="bottom"/>
            <w:gridSpan w:val="2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9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4560" w:type="dxa"/>
            <w:vAlign w:val="bottom"/>
            <w:gridSpan w:val="8"/>
          </w:tcPr>
          <w:p>
            <w:pPr>
              <w:spacing w:after="0"/>
              <w:rPr>
                <w:sz w:val="24"/>
                <w:szCs w:val="24"/>
                <w:color w:val="auto"/>
              </w:rPr>
            </w:pPr>
          </w:p>
        </w:tc>
        <w:tc>
          <w:tcPr>
            <w:tcW w:w="1180" w:type="dxa"/>
            <w:vAlign w:val="bottom"/>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834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the Registrant’s Common Equity, Related Stockholder Matters and Issuer Purchases of Equity Securities</w:t>
              </w:r>
            </w:hyperlink>
          </w:p>
        </w:tc>
        <w:tc>
          <w:tcPr>
            <w:tcW w:w="9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320" w:type="dxa"/>
            <w:vAlign w:val="bottom"/>
            <w:gridSpan w:val="2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9320" w:type="dxa"/>
            <w:vAlign w:val="bottom"/>
            <w:gridSpan w:val="2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Financial Statements and Supplementary Data</w:t>
              </w:r>
            </w:hyperlink>
          </w:p>
        </w:tc>
        <w:tc>
          <w:tcPr>
            <w:tcW w:w="5020" w:type="dxa"/>
            <w:vAlign w:val="bottom"/>
            <w:gridSpan w:val="10"/>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Changes in and Disagreements with Accountants on Accounting and Financial Disclosure</w:t>
              </w:r>
            </w:hyperlink>
          </w:p>
        </w:tc>
        <w:tc>
          <w:tcPr>
            <w:tcW w:w="2840" w:type="dxa"/>
            <w:vAlign w:val="bottom"/>
            <w:gridSpan w:val="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9320" w:type="dxa"/>
            <w:vAlign w:val="bottom"/>
            <w:gridSpan w:val="2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7560" w:type="dxa"/>
            <w:vAlign w:val="bottom"/>
            <w:gridSpan w:val="20"/>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9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III</w:t>
              </w:r>
            </w:hyperlink>
          </w:p>
        </w:tc>
        <w:tc>
          <w:tcPr>
            <w:tcW w:w="4520" w:type="dxa"/>
            <w:vAlign w:val="bottom"/>
            <w:gridSpan w:val="6"/>
          </w:tcPr>
          <w:p>
            <w:pPr>
              <w:spacing w:after="0"/>
              <w:rPr>
                <w:sz w:val="24"/>
                <w:szCs w:val="24"/>
                <w:color w:val="auto"/>
              </w:rPr>
            </w:pPr>
          </w:p>
        </w:tc>
        <w:tc>
          <w:tcPr>
            <w:tcW w:w="1180" w:type="dxa"/>
            <w:vAlign w:val="bottom"/>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Directors, Executive Officers and Corporate Governance</w:t>
              </w:r>
            </w:hyperlink>
          </w:p>
        </w:tc>
        <w:tc>
          <w:tcPr>
            <w:tcW w:w="5220" w:type="dxa"/>
            <w:vAlign w:val="bottom"/>
            <w:gridSpan w:val="1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Executive Compensation</w:t>
              </w:r>
            </w:hyperlink>
          </w:p>
        </w:tc>
        <w:tc>
          <w:tcPr>
            <w:tcW w:w="7520" w:type="dxa"/>
            <w:vAlign w:val="bottom"/>
            <w:gridSpan w:val="19"/>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320" w:type="dxa"/>
            <w:vAlign w:val="bottom"/>
            <w:gridSpan w:val="2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 Stockholder Matters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Certain Relationships and Related Transactions, and Director Independence</w:t>
              </w:r>
            </w:hyperlink>
          </w:p>
        </w:tc>
        <w:tc>
          <w:tcPr>
            <w:tcW w:w="2040" w:type="dxa"/>
            <w:vAlign w:val="bottom"/>
            <w:gridSpan w:val="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Principal Accounting Fees and Services</w:t>
              </w:r>
            </w:hyperlink>
          </w:p>
        </w:tc>
        <w:tc>
          <w:tcPr>
            <w:tcW w:w="3880" w:type="dxa"/>
            <w:vAlign w:val="bottom"/>
            <w:gridSpan w:val="5"/>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9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3"/>
          </w:tcPr>
          <w:p>
            <w:pPr>
              <w:jc w:val="center"/>
              <w:ind w:right="4540"/>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PART IV</w:t>
              </w:r>
            </w:hyperlink>
          </w:p>
        </w:tc>
        <w:tc>
          <w:tcPr>
            <w:tcW w:w="1180" w:type="dxa"/>
            <w:vAlign w:val="bottom"/>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Exhibits, Financial Statement Schedules</w:t>
              </w:r>
            </w:hyperlink>
          </w:p>
        </w:tc>
        <w:tc>
          <w:tcPr>
            <w:tcW w:w="1180" w:type="dxa"/>
            <w:vAlign w:val="bottom"/>
            <w:gridSpan w:val="3"/>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4540" w:type="dxa"/>
            <w:vAlign w:val="bottom"/>
            <w:gridSpan w:val="7"/>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16.</w:t>
            </w:r>
          </w:p>
        </w:tc>
        <w:tc>
          <w:tcPr>
            <w:tcW w:w="9320" w:type="dxa"/>
            <w:vAlign w:val="bottom"/>
            <w:gridSpan w:val="2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Form 10-K Summary</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780" w:type="dxa"/>
            <w:vAlign w:val="bottom"/>
            <w:gridSpan w:val="2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10240" w:type="dxa"/>
            <w:vAlign w:val="bottom"/>
            <w:gridSpan w:val="29"/>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SIGNATURES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this Annual Report on Form 10-K for the year ended December 31, 2019, and in other securities filings by Great Lakes with the SEC.</w:t>
      </w:r>
    </w:p>
    <w:p>
      <w:pPr>
        <w:spacing w:after="0" w:line="185" w:lineRule="exact"/>
        <w:rPr>
          <w:sz w:val="20"/>
          <w:szCs w:val="20"/>
          <w:color w:val="auto"/>
        </w:rPr>
      </w:pPr>
    </w:p>
    <w:p>
      <w:pPr>
        <w:jc w:val="both"/>
        <w:ind w:right="20" w:firstLine="518"/>
        <w:spacing w:after="0" w:line="297" w:lineRule="auto"/>
        <w:rPr>
          <w:sz w:val="20"/>
          <w:szCs w:val="20"/>
          <w:color w:val="auto"/>
        </w:rPr>
      </w:pPr>
      <w:r>
        <w:rPr>
          <w:rFonts w:ascii="Arial" w:cs="Arial" w:eastAsia="Arial" w:hAnsi="Arial"/>
          <w:sz w:val="16"/>
          <w:szCs w:val="16"/>
          <w:color w:val="auto"/>
        </w:rPr>
        <w:t>Although Great Lakes believes that our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we do not have or undertake any obligation to update or revise any forward-looking statements whether as a result of new information, subsequent events or otherwise, unless otherwise required by law.</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terms “we,” “our,” “ours,” “us,” “Great Lakes” and “Company” refer to Great Lakes Dredge &amp; Dock Corporation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35"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Great Lakes is the largest provider of dredging services in the United States. In addition, the Company has a long history of performing significant international projects. 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Great Lakes now provides dredging services in the East, West, and Gulf Coasts of the United States and worldwide.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operates in one operating segment, which is also the Company’s sole reportable segment and reporting unit.</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During the second quarter of 2019, the Company completed the sale of its historical environmental &amp; infrastructure business. The historical environmental &amp; infrastructure segment has been retrospectively presented as discontinued operations and assets and liabilities held for sale and is no longer reflected in continuing operations. Refer to Note 14, “Business dispositions,” to the Company’s consolidated financial statements included in Item 15 of this Annual Report on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The Company experienced an average combined bid market share in the U.S. of 42% over the prior three years, including 62%, 50%, 18% and 33% of the domestic capital, coastal protection, maintenance and rivers &amp; lakes sectors, respectively.</w:t>
      </w:r>
    </w:p>
    <w:p>
      <w:pPr>
        <w:spacing w:after="0" w:line="178"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Over its 129 year history, the Company has grown to be a leader in capital, coastal protection and maintenance dredging in the U.S. and is one of the oldest and most experienced dredging companies in the United States. In addition, the Company has a long history of performing significant international projects. Over the prior three years, foreign dredging operations accounted for an average of 6% of the Company’s dredging revenues. The Company’s foreign projects are typically categorized in the capital work type, but are not included in the aforementioned bid market.</w:t>
      </w:r>
    </w:p>
    <w:p>
      <w:pPr>
        <w:spacing w:after="0" w:line="17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i w:val="1"/>
          <w:iCs w:val="1"/>
          <w:color w:val="auto"/>
        </w:rPr>
        <w:t xml:space="preserve">Capital (domestic is 42% of 2019 revenues). </w:t>
      </w:r>
      <w:r>
        <w:rPr>
          <w:rFonts w:ascii="Arial" w:cs="Arial" w:eastAsia="Arial" w:hAnsi="Arial"/>
          <w:sz w:val="17"/>
          <w:szCs w:val="17"/>
          <w:color w:val="auto"/>
        </w:rPr>
        <w:t>Capital dredging consists primarily of port expansion projects, which involve the deepening of channels</w:t>
      </w:r>
      <w:r>
        <w:rPr>
          <w:rFonts w:ascii="Arial" w:cs="Arial" w:eastAsia="Arial" w:hAnsi="Arial"/>
          <w:sz w:val="17"/>
          <w:szCs w:val="17"/>
          <w:i w:val="1"/>
          <w:iCs w:val="1"/>
          <w:color w:val="auto"/>
        </w:rPr>
        <w:t xml:space="preserve"> </w:t>
      </w:r>
      <w:r>
        <w:rPr>
          <w:rFonts w:ascii="Arial" w:cs="Arial" w:eastAsia="Arial" w:hAnsi="Arial"/>
          <w:sz w:val="17"/>
          <w:szCs w:val="17"/>
          <w:color w:val="auto"/>
        </w:rPr>
        <w:t>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7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i w:val="1"/>
          <w:iCs w:val="1"/>
          <w:color w:val="auto"/>
        </w:rPr>
        <w:t xml:space="preserve">Foreign (7% of 2019 revenues). </w:t>
      </w:r>
      <w:r>
        <w:rPr>
          <w:rFonts w:ascii="Arial" w:cs="Arial" w:eastAsia="Arial" w:hAnsi="Arial"/>
          <w:sz w:val="18"/>
          <w:szCs w:val="18"/>
          <w:color w:val="auto"/>
        </w:rPr>
        <w:t>Foreign capital projects typically involve land reclamations, channel deepening and port infrastructure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targets foreign opportunities that are well suited to the Company’s equipment and where it faces reduced competition from its European competitors. Maintaining a presence in foreign markets has enabled the Company to diversify its customer base and take advantage of differences in global economic development. Over the last ten years, the Company has performed dredging work in the Middle East, Africa, Australia, the Caribbean and Central and South America.</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 xml:space="preserve">Coastal protection (25% of 2019 revenues). </w:t>
      </w:r>
      <w:r>
        <w:rPr>
          <w:rFonts w:ascii="Arial" w:cs="Arial" w:eastAsia="Arial" w:hAnsi="Arial"/>
          <w:sz w:val="18"/>
          <w:szCs w:val="18"/>
          <w:color w:val="auto"/>
        </w:rPr>
        <w:t>Coastal protection projects generally involve moving sand from the ocean floor to shoreline locations</w:t>
      </w:r>
      <w:r>
        <w:rPr>
          <w:rFonts w:ascii="Arial" w:cs="Arial" w:eastAsia="Arial" w:hAnsi="Arial"/>
          <w:sz w:val="18"/>
          <w:szCs w:val="18"/>
          <w:i w:val="1"/>
          <w:iCs w:val="1"/>
          <w:color w:val="auto"/>
        </w:rPr>
        <w:t xml:space="preserve"> </w:t>
      </w:r>
      <w:r>
        <w:rPr>
          <w:rFonts w:ascii="Arial" w:cs="Arial" w:eastAsia="Arial" w:hAnsi="Arial"/>
          <w:sz w:val="18"/>
          <w:szCs w:val="18"/>
          <w:color w:val="auto"/>
        </w:rPr>
        <w:t>where erosion threatens shoreline assets. Beach erosion is a continuous 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as well as coastal recreation activities.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 w:name="page5"/>
    <w:bookmarkEnd w:id="4"/>
    <w:p>
      <w:pPr>
        <w:ind w:firstLine="518"/>
        <w:spacing w:after="0" w:line="302" w:lineRule="auto"/>
        <w:rPr>
          <w:sz w:val="20"/>
          <w:szCs w:val="20"/>
          <w:color w:val="auto"/>
        </w:rPr>
      </w:pPr>
      <w:r>
        <w:rPr>
          <w:rFonts w:ascii="Arial" w:cs="Arial" w:eastAsia="Arial" w:hAnsi="Arial"/>
          <w:sz w:val="16"/>
          <w:szCs w:val="16"/>
          <w:i w:val="1"/>
          <w:iCs w:val="1"/>
          <w:color w:val="auto"/>
        </w:rPr>
        <w:t xml:space="preserve">Maintenance (15% of 2019 revenues). </w:t>
      </w:r>
      <w:r>
        <w:rPr>
          <w:rFonts w:ascii="Arial" w:cs="Arial" w:eastAsia="Arial" w:hAnsi="Arial"/>
          <w:sz w:val="16"/>
          <w:szCs w:val="16"/>
          <w:color w:val="auto"/>
        </w:rPr>
        <w:t>Maintenance dredging consists of the re-dredging of previously deepened waterways and harbors to remove silt,</w:t>
      </w:r>
      <w:r>
        <w:rPr>
          <w:rFonts w:ascii="Arial" w:cs="Arial" w:eastAsia="Arial" w:hAnsi="Arial"/>
          <w:sz w:val="16"/>
          <w:szCs w:val="16"/>
          <w:i w:val="1"/>
          <w:iCs w:val="1"/>
          <w:color w:val="auto"/>
        </w:rPr>
        <w:t xml:space="preserve"> </w:t>
      </w:r>
      <w:r>
        <w:rPr>
          <w:rFonts w:ascii="Arial" w:cs="Arial" w:eastAsia="Arial" w:hAnsi="Arial"/>
          <w:sz w:val="16"/>
          <w:szCs w:val="16"/>
          <w:color w:val="auto"/>
        </w:rPr>
        <w:t>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and drive the need for maintenance dredging.</w:t>
      </w:r>
    </w:p>
    <w:p>
      <w:pPr>
        <w:spacing w:after="0" w:line="15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i w:val="1"/>
          <w:iCs w:val="1"/>
          <w:color w:val="auto"/>
        </w:rPr>
        <w:t xml:space="preserve">Rivers &amp; lakes (11% of 2019 revenues). </w:t>
      </w:r>
      <w:r>
        <w:rPr>
          <w:rFonts w:ascii="Arial" w:cs="Arial" w:eastAsia="Arial" w:hAnsi="Arial"/>
          <w:sz w:val="17"/>
          <w:szCs w:val="17"/>
          <w:color w:val="auto"/>
        </w:rPr>
        <w:t>Domestic rivers and lakes dredging and related operations typically consist of lake and river dredging, inland</w:t>
      </w:r>
      <w:r>
        <w:rPr>
          <w:rFonts w:ascii="Arial" w:cs="Arial" w:eastAsia="Arial" w:hAnsi="Arial"/>
          <w:sz w:val="17"/>
          <w:szCs w:val="17"/>
          <w:i w:val="1"/>
          <w:iCs w:val="1"/>
          <w:color w:val="auto"/>
        </w:rPr>
        <w:t xml:space="preserve"> </w:t>
      </w:r>
      <w:r>
        <w:rPr>
          <w:rFonts w:ascii="Arial" w:cs="Arial" w:eastAsia="Arial" w:hAnsi="Arial"/>
          <w:sz w:val="17"/>
          <w:szCs w:val="17"/>
          <w:color w:val="auto"/>
        </w:rPr>
        <w:t>levee and construction dredging, environmental restoration and habitat improvement and other marine construction projects. Although the Mississippi River has a large source of projects on which the Company bids, certain dredges used on these projects are more portable and able to be transported to take advantage of the fragmented market. Generally, inland river and lake projects in the northern U.S. take place in non-winter months because frozen waterways significantly reduce contractors’ ability to operate and transport its equipment in the relevant geographies.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Drivers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believes that the following factors are important drivers of the demand for its services:</w:t>
      </w:r>
    </w:p>
    <w:p>
      <w:pPr>
        <w:spacing w:after="0" w:line="131" w:lineRule="exact"/>
        <w:rPr>
          <w:sz w:val="20"/>
          <w:szCs w:val="20"/>
          <w:color w:val="auto"/>
        </w:rPr>
      </w:pPr>
    </w:p>
    <w:p>
      <w:pPr>
        <w:ind w:left="1040" w:right="40" w:hanging="519"/>
        <w:spacing w:after="0" w:line="286"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Deep port capital projects. </w:t>
      </w:r>
      <w:r>
        <w:rPr>
          <w:rFonts w:ascii="Arial" w:cs="Arial" w:eastAsia="Arial" w:hAnsi="Arial"/>
          <w:sz w:val="16"/>
          <w:szCs w:val="16"/>
          <w:color w:val="auto"/>
        </w:rPr>
        <w:t>Most of the East Coast and Gulf ports have expansion plans that include deepening and widening in order to better</w:t>
      </w:r>
      <w:r>
        <w:rPr>
          <w:rFonts w:ascii="Arial" w:cs="Arial" w:eastAsia="Arial" w:hAnsi="Arial"/>
          <w:sz w:val="16"/>
          <w:szCs w:val="16"/>
          <w:i w:val="1"/>
          <w:iCs w:val="1"/>
          <w:color w:val="auto"/>
        </w:rPr>
        <w:t xml:space="preserve"> </w:t>
      </w:r>
      <w:r>
        <w:rPr>
          <w:rFonts w:ascii="Arial" w:cs="Arial" w:eastAsia="Arial" w:hAnsi="Arial"/>
          <w:sz w:val="16"/>
          <w:szCs w:val="16"/>
          <w:color w:val="auto"/>
        </w:rPr>
        <w:t>compete for international trade. International trade, particularly in the intermodal container shipping business, has been undergoing significant change as a result of the Panama Canal expansion, which was completed in 2016. Many shipping lines have announced plans to deploy larger ships which, due to the channel dimension requirements, currently would not be able to use many U.S. ports. The first phase of a multi-year deepening effort of the Savannah Harbor Expansion Project was completed in 2018. Dredging commenced on two Charleston Entrance Channel projects during 2018 and is expected to continue through 2020. The ports of Los Angeles and Long Beach are resuming expansion efforts to remain competitive with deepened East Coast ports. Deepening projects in Boston, Jacksonville, Tampa and Corpus Christi were awarded in 2018. Further, projects to deepen the Mississippi River and Port of Norfolk, Virginia are being expedited. In addition, during the fourth quarter of 2018, the President signed America’s Water Infrastructure Act of 2018/Water Resources Development Act (“WRDA 2018”) into law. The Company views the bill as a positive catalyst for the domestic dredging industry as it authorizes funding for critical infrastructure improvements that are needed throughout the U.S. Further, the bill authorizes studies for future water resources improvements and makes modifications to previous authorizations. The Company is encouraged by the current administration's focus on repairing and rebuilding America's infrastructure, including our nation's ports and waterways. The Company believes that port deepening and expansion work authorized under current and anticipated future legislation will continue to provide significant opportunities for the domestic dredging industry.</w:t>
      </w:r>
    </w:p>
    <w:p>
      <w:pPr>
        <w:spacing w:after="0" w:line="77" w:lineRule="exact"/>
        <w:rPr>
          <w:rFonts w:ascii="Arial" w:cs="Arial" w:eastAsia="Arial" w:hAnsi="Arial"/>
          <w:sz w:val="16"/>
          <w:szCs w:val="16"/>
          <w:color w:val="auto"/>
        </w:rPr>
      </w:pPr>
    </w:p>
    <w:p>
      <w:pPr>
        <w:ind w:left="1040" w:hanging="519"/>
        <w:spacing w:after="0" w:line="287"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Gulf coast restoration. </w:t>
      </w:r>
      <w:r>
        <w:rPr>
          <w:rFonts w:ascii="Arial" w:cs="Arial" w:eastAsia="Arial" w:hAnsi="Arial"/>
          <w:sz w:val="16"/>
          <w:szCs w:val="16"/>
          <w:color w:val="auto"/>
        </w:rPr>
        <w:t>There has been continued focus on restoring the barrier islands and wetlands that provide natural protection from storms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Gulf Coast area. Many restoration projects have commenced to repair coastal areas. Several additional projects are being planned by state and local governments to restore natural barriers. The State of Louisiana has completed a master plan calling for a $50 billion investment in its coastal infrastructure, with a significant portion involving dredging. Additionally, during October 2015, BP plc settled the final Deepwater Horizon oil spill claims for approximately $20 billion. This amount reflects the preliminary agreement which was reached in the second quarter of 2015 and includes $5.5 billion related to Clean Water Act penalties. Several state and local governments have already reached agreements that resolve their claims in the disaster. Many of the Gulf States previously committed to spending a portion of the fines received to repair the natural resources impacted by the oil spill including on coastal restoration projects that include dredging. Although the bulk of the fines are to be paid over the next decade, the Company expects several coastal restoration projects envisioned by the Gulf States to come to fruition in the next couple of years providing a new source of domestic capital dredging projects on which the Company will bid. The annual bid market for domestic capital dredging, which includes deep port capital dredging and Gulf Coast restoration, averaged $460 million over the prior three years. During 2019, the Company was awarded an additional phase of the Mississippi coastal restoration project in the Gulf of Mexico.</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left="520" w:hanging="519"/>
        <w:spacing w:after="0" w:line="268"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Substantial need for coastal protection. </w:t>
      </w:r>
      <w:r>
        <w:rPr>
          <w:rFonts w:ascii="Arial" w:cs="Arial" w:eastAsia="Arial" w:hAnsi="Arial"/>
          <w:sz w:val="17"/>
          <w:szCs w:val="17"/>
          <w:color w:val="auto"/>
        </w:rPr>
        <w:t>Beach erosion is a recurring problem due to the normal ebb and flow of coastlines as well as the effects</w:t>
      </w:r>
      <w:r>
        <w:rPr>
          <w:rFonts w:ascii="Arial" w:cs="Arial" w:eastAsia="Arial" w:hAnsi="Arial"/>
          <w:sz w:val="17"/>
          <w:szCs w:val="17"/>
          <w:i w:val="1"/>
          <w:iCs w:val="1"/>
          <w:color w:val="auto"/>
        </w:rPr>
        <w:t xml:space="preserve"> </w:t>
      </w:r>
      <w:r>
        <w:rPr>
          <w:rFonts w:ascii="Arial" w:cs="Arial" w:eastAsia="Arial" w:hAnsi="Arial"/>
          <w:sz w:val="17"/>
          <w:szCs w:val="17"/>
          <w:color w:val="auto"/>
        </w:rPr>
        <w:t>of severe storm activity. Growing populations in coastal communities and vital beach tourism are drawing attention to the importance of protecting beachfront assets. Over the past few years, both the federal government and state and local entities have funded beach work recognizing the essential role these natural barriers play in absorbing storm energy and protecting public and private property. With continued funding available for projects in the Northeast from the Superstorm Sandy supplemental appropriations, the Company expects to continue to see an increase in projects let for bid in the coastal protection market. As a result of the extreme storm systems in 2017 involving Hurricanes Harvey, Irma, and Maria, the Federal Government passed supplemental appropriations for disaster relief and recovery which includes $17.4 billion for the U.S. Army Corps of Engineers (the “Corps”) to fund projects that will reduce the risk of future damage from flood and storm events. The Corps is progressing with its plans for this funding, and it is currently believed that over $1 billion is expected to be added to its dredging related budget over the next few years. Most of this work is anticipated to be coastal protection related, but some funding has been provided for channel maintenance. During the fourth quarter of 2018, Congress passed an additional $1.7 billion of supplemental appropriations for disaster relief funding as a result of Hurricane Florence and Hurricane Michael and that work is in process. The annual bid market for coastal protection over the prior three years averaged $317 million.</w:t>
      </w:r>
    </w:p>
    <w:p>
      <w:pPr>
        <w:spacing w:after="0" w:line="93" w:lineRule="exact"/>
        <w:rPr>
          <w:rFonts w:ascii="Arial" w:cs="Arial" w:eastAsia="Arial" w:hAnsi="Arial"/>
          <w:sz w:val="17"/>
          <w:szCs w:val="17"/>
          <w:color w:val="auto"/>
        </w:rPr>
      </w:pPr>
    </w:p>
    <w:p>
      <w:pPr>
        <w:ind w:left="520" w:hanging="519"/>
        <w:spacing w:after="0" w:line="286" w:lineRule="auto"/>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Required maintenance of U.S. ports. </w:t>
      </w:r>
      <w:r>
        <w:rPr>
          <w:rFonts w:ascii="Arial" w:cs="Arial" w:eastAsia="Arial" w:hAnsi="Arial"/>
          <w:sz w:val="16"/>
          <w:szCs w:val="16"/>
          <w:color w:val="auto"/>
        </w:rPr>
        <w:t>The channels and waterways leading to U.S. ports have stated depths on which shippers rely when entering</w:t>
      </w:r>
      <w:r>
        <w:rPr>
          <w:rFonts w:ascii="Arial" w:cs="Arial" w:eastAsia="Arial" w:hAnsi="Arial"/>
          <w:sz w:val="16"/>
          <w:szCs w:val="16"/>
          <w:i w:val="1"/>
          <w:iCs w:val="1"/>
          <w:color w:val="auto"/>
        </w:rPr>
        <w:t xml:space="preserve"> </w:t>
      </w:r>
      <w:r>
        <w:rPr>
          <w:rFonts w:ascii="Arial" w:cs="Arial" w:eastAsia="Arial" w:hAnsi="Arial"/>
          <w:sz w:val="16"/>
          <w:szCs w:val="16"/>
          <w:color w:val="auto"/>
        </w:rPr>
        <w:t>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Corps is responsible for federally funded projects related to navigation and flood control of U.S. waterways. The maritime industry, including the ports, has repeatedly advocated for congressional efforts to ensure that a fully funded, recurring maintenance program is in place. In March 2018, Congress approved and the President signed an omnibus spending bill through fiscal year 2018. The spending bill continues the increases in the budget for the Corps and exceeds the increase in Harbor Maintenance Trust Fund (“HMTF”) spending for maintenance dredging as required by the 2014 Water Resources and Development Act. As noted above, WRDA 2018 was signed into law during the fourth quarter of 2018. Similar to past versions of the bill, WRDA 2018 language calls for full use of the HMTF for its intended purpose of maintaining future access to the waterways and ports that support our nation’s economy. Further, WRDA 2018 ensures that Harbor Maintenance Tax (“HMT”) funding targets will increase by three percent over the prior year, even if the HMT revenue estimates decrease, to continue annual progress towards full use of the HMT by 2025. Through the increased appropriation of HMTF monies, the Company anticipates an increase in maintenance dredging projects to be let for bid throughout 2020 and beyond. Congress has improved spending from the HMTF by providing the Corps with record annual budgets including 91% utilization of the HMTF in FY 2019 and 92% in the recently passed FY 2020 budget. The annual bid market for maintenance dredging over the prior three years averaged $447 million.</w:t>
      </w:r>
    </w:p>
    <w:p>
      <w:pPr>
        <w:spacing w:after="0" w:line="60" w:lineRule="exact"/>
        <w:rPr>
          <w:rFonts w:ascii="Arial" w:cs="Arial" w:eastAsia="Arial" w:hAnsi="Arial"/>
          <w:sz w:val="16"/>
          <w:szCs w:val="16"/>
          <w:color w:val="auto"/>
        </w:rPr>
      </w:pPr>
    </w:p>
    <w:p>
      <w:pPr>
        <w:ind w:left="520" w:right="40" w:hanging="519"/>
        <w:spacing w:after="0" w:line="272"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Need to maintain safe navigability of the U.S. river system</w:t>
      </w:r>
      <w:r>
        <w:rPr>
          <w:rFonts w:ascii="Arial" w:cs="Arial" w:eastAsia="Arial" w:hAnsi="Arial"/>
          <w:sz w:val="17"/>
          <w:szCs w:val="17"/>
          <w:color w:val="auto"/>
        </w:rPr>
        <w:t>. There are over twelve thousand miles of commercially navigable inland waterways</w:t>
      </w:r>
      <w:r>
        <w:rPr>
          <w:rFonts w:ascii="Arial" w:cs="Arial" w:eastAsia="Arial" w:hAnsi="Arial"/>
          <w:sz w:val="17"/>
          <w:szCs w:val="17"/>
          <w:i w:val="1"/>
          <w:iCs w:val="1"/>
          <w:color w:val="auto"/>
        </w:rPr>
        <w:t xml:space="preserve"> </w:t>
      </w:r>
      <w:r>
        <w:rPr>
          <w:rFonts w:ascii="Arial" w:cs="Arial" w:eastAsia="Arial" w:hAnsi="Arial"/>
          <w:sz w:val="17"/>
          <w:szCs w:val="17"/>
          <w:color w:val="auto"/>
        </w:rPr>
        <w:t>that move more than 566 million tons of commercial goods annually. Transportation by barge requires less energy, and therefore is both better for the environment and costs less to move cargo than transportation by airplane, railcar or truck. Many industries rely on safe navigability of U.S. inland waterways as a primary means to transport goods and commodities such as coal, chemicals, petroleum, minerals, stones, metals and agricultural products. Natural sedimentation and other circumstances require that the inland waterway system be periodically dredged so that it can be used as intended. The Corps recognizes the need to maintain the safe navigability of U.S. waterways. The annual bid market for rivers and lakes dredging over the prior three years averaged $109 million.</w:t>
      </w:r>
    </w:p>
    <w:p>
      <w:pPr>
        <w:spacing w:after="0" w:line="69" w:lineRule="exact"/>
        <w:rPr>
          <w:rFonts w:ascii="Arial" w:cs="Arial" w:eastAsia="Arial" w:hAnsi="Arial"/>
          <w:sz w:val="17"/>
          <w:szCs w:val="17"/>
          <w:color w:val="auto"/>
        </w:rPr>
      </w:pPr>
    </w:p>
    <w:p>
      <w:pPr>
        <w:ind w:left="520" w:right="20" w:hanging="519"/>
        <w:spacing w:after="0" w:line="273"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Domestic and international energy transportation. </w:t>
      </w:r>
      <w:r>
        <w:rPr>
          <w:rFonts w:ascii="Arial" w:cs="Arial" w:eastAsia="Arial" w:hAnsi="Arial"/>
          <w:sz w:val="17"/>
          <w:szCs w:val="17"/>
          <w:color w:val="auto"/>
        </w:rPr>
        <w:t>The growth in demand for transportation of energy worldwide has driven the need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dredging to support new terminals, harbors, channels and pipelines. </w:t>
      </w:r>
      <w:r>
        <w:rPr>
          <w:rFonts w:ascii="Arial" w:cs="Arial" w:eastAsia="Arial" w:hAnsi="Arial"/>
          <w:sz w:val="17"/>
          <w:szCs w:val="17"/>
          <w:color w:val="1D1C1D"/>
          <w:highlight w:val="white"/>
        </w:rPr>
        <w:t>In addition, several Liquefied Natural Gas (“LNG”), petrochemical and</w:t>
      </w:r>
      <w:r>
        <w:rPr>
          <w:rFonts w:ascii="Arial" w:cs="Arial" w:eastAsia="Arial" w:hAnsi="Arial"/>
          <w:sz w:val="17"/>
          <w:szCs w:val="17"/>
          <w:color w:val="auto"/>
        </w:rPr>
        <w:t xml:space="preserve"> </w:t>
      </w:r>
      <w:r>
        <w:rPr>
          <w:rFonts w:ascii="Arial" w:cs="Arial" w:eastAsia="Arial" w:hAnsi="Arial"/>
          <w:sz w:val="17"/>
          <w:szCs w:val="17"/>
          <w:color w:val="1D1C1D"/>
          <w:highlight w:val="white"/>
        </w:rPr>
        <w:t xml:space="preserve">crude oil projects are creating the need for port development in support of energy exports. </w:t>
      </w:r>
      <w:r>
        <w:rPr>
          <w:rFonts w:ascii="Arial" w:cs="Arial" w:eastAsia="Arial" w:hAnsi="Arial"/>
          <w:sz w:val="17"/>
          <w:szCs w:val="17"/>
          <w:color w:val="000000"/>
        </w:rPr>
        <w:t>During 2018, the Company was awarded a project to</w:t>
      </w:r>
      <w:r>
        <w:rPr>
          <w:rFonts w:ascii="Arial" w:cs="Arial" w:eastAsia="Arial" w:hAnsi="Arial"/>
          <w:sz w:val="17"/>
          <w:szCs w:val="17"/>
          <w:color w:val="1D1C1D"/>
          <w:highlight w:val="white"/>
        </w:rPr>
        <w:t xml:space="preserve"> </w:t>
      </w:r>
      <w:r>
        <w:rPr>
          <w:rFonts w:ascii="Arial" w:cs="Arial" w:eastAsia="Arial" w:hAnsi="Arial"/>
          <w:sz w:val="17"/>
          <w:szCs w:val="17"/>
          <w:color w:val="000000"/>
        </w:rPr>
        <w:t>widen the La Quinta Channel turning basin. The significant drop in crude oil prices during recent years may lead to a slowdown in the development of LNG export plants; however, the Company continues to expect that future global energy demand will necessitate improvements in the infrastructure base around sources of rich resources and in countries that import or export global energy.</w:t>
      </w:r>
    </w:p>
    <w:p>
      <w:pPr>
        <w:spacing w:after="0" w:line="83" w:lineRule="exact"/>
        <w:rPr>
          <w:rFonts w:ascii="Arial" w:cs="Arial" w:eastAsia="Arial" w:hAnsi="Arial"/>
          <w:sz w:val="17"/>
          <w:szCs w:val="17"/>
          <w:color w:val="auto"/>
        </w:rPr>
      </w:pPr>
    </w:p>
    <w:p>
      <w:pPr>
        <w:ind w:left="520" w:right="140" w:hanging="519"/>
        <w:spacing w:after="0" w:line="327" w:lineRule="auto"/>
        <w:tabs>
          <w:tab w:leader="none" w:pos="52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Middle East market. </w:t>
      </w:r>
      <w:r>
        <w:rPr>
          <w:rFonts w:ascii="Arial" w:cs="Arial" w:eastAsia="Arial" w:hAnsi="Arial"/>
          <w:sz w:val="15"/>
          <w:szCs w:val="15"/>
          <w:color w:val="auto"/>
        </w:rPr>
        <w:t>Over the past ten years, the Middle East has been a strong market for dredging services. With substantial income from oil</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and significant real estate development, these countries have been undergoing extensive infrastructure expansion. Historically lower oil prices and the contraction in Middle East commercial and real estate development have slowed the rate of the region’s infrastructure development in recent years. Despite the decline in recent years, urban development continues to drive the need for land reclamation in the Middle East.</w:t>
      </w:r>
    </w:p>
    <w:p>
      <w:pPr>
        <w:spacing w:after="0" w:line="1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125" w:right="239" w:bottom="1440" w:gutter="0" w:footer="0" w:header="0"/>
        </w:sectPr>
      </w:pPr>
    </w:p>
    <w:bookmarkStart w:id="6" w:name="page7"/>
    <w:bookmarkEnd w:id="6"/>
    <w:p>
      <w:pPr>
        <w:jc w:val="both"/>
        <w:ind w:right="260" w:firstLine="518"/>
        <w:spacing w:after="0" w:line="264" w:lineRule="auto"/>
        <w:rPr>
          <w:sz w:val="20"/>
          <w:szCs w:val="20"/>
          <w:color w:val="auto"/>
        </w:rPr>
      </w:pPr>
      <w:r>
        <w:rPr>
          <w:rFonts w:ascii="Arial" w:cs="Arial" w:eastAsia="Arial" w:hAnsi="Arial"/>
          <w:sz w:val="18"/>
          <w:szCs w:val="18"/>
          <w:color w:val="auto"/>
        </w:rPr>
        <w:t>For additional details regarding Operations, including financial information regarding our international and U.S. revenues and long-lived assets, see Item 7. “Management's Discussion and Analysis of Financial Condition and Results of Operations,” and Item 8. “Financial Statements and Supplementary Data” in this Annual Report on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dredging industry’s customers include federal, state and local governments, foreign governments and both domestic and foreign private concerns, such as utilities, oil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2019, approximately 82% of the Company’s dredging revenues were generated from 38 different contracts with federal agencies or third parties operating under contracts with federal agencies.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Process</w:t>
      </w:r>
    </w:p>
    <w:p>
      <w:pPr>
        <w:spacing w:after="0" w:line="121"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dredging contractors will bid.</w:t>
      </w:r>
    </w:p>
    <w:p>
      <w:pPr>
        <w:spacing w:after="0" w:line="181"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the contractor’s experience, equipment and schedule, as well as price. While substantially all of the Company’s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skill and specialized equipment.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Bonding and Foreign Project Guarantees</w:t>
      </w:r>
    </w:p>
    <w:p>
      <w:pPr>
        <w:spacing w:after="0" w:line="121"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so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6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Company has bonding agreements with Argonaut Insurance Company, Berkley Insurance Company, Chubb Surety and Liberty Mutual Insurance Company, (collectively, the “Sureties”) under which the Company can obtain performance, bid and payment bonds. The Company also has outstanding bonds with Travelers Casualty and Surety Company of America and Zurich American Insurance Company (“Zurich”). Great Lakes has never experienced difficulty in obtaining bonding for any of its projects and Great Lakes has never failed to complete a marine project in its 129 year history. For most foreign dredging projects, letters of credit or bank guarantees issued by foreign banks are required as security for the bid, performance and, if applicable, advance payment guarantees. The Company obtains its letters of credit under the Amended Credit Agreement (as defined below). Foreign bid guarantees are usually 2% to 5% of the service provider’s bid. Foreign performance and advance payment guarantees are each typically 5% to 10% of the contract value.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U.S. dredging industry is highly fragmented with approximately 250 entities in the U.S. presently operating more than 850 dredges,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Competition on rivers &amp; lakes projects is determined primarily based on geographic reach, project execution capability and price. Great Lakes and three other companies comprised approximately 80% of the Company’s defined bid market related to domestic capital, coastal protection, maintenance and rivers &amp; lakes over the prior three years. Within the Company’s bid market, competition is determined primarily on the basis of price. In addition, the Foreign Dredge Act of 1906, or “Dredging Act,” and Section 27 of the Merchant Marine Act of 1920, or “Jones Act,” provide significant barriers to entry with respect to foreign competition. Together these two laws prohibit foreign-built, chartered or operated vessels from competing in the U.S. See “Business—Government Regulations” below.</w:t>
      </w:r>
    </w:p>
    <w:p>
      <w:pPr>
        <w:spacing w:after="0" w:line="182"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Competition in the international market is dominated by four large European dredging companies all of which operate larger equipment and fleets that are more extensive than the Company’s fleet. Additionally, a large Chinese dredging company has emerged as a key player in the international market. There are also several governmentally supported dredging companies that operate on a local or regional basis. The Company targets opportunities that are well suited to its equipment and where it can be most competitive. In recent years, the Company has focused on opportunities in the Middle East where the Company has cultivated close customer relationships and has pursued contracts compatible with the size of the Company’s vessels.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i w:val="1"/>
          <w:iCs w:val="1"/>
          <w:color w:val="auto"/>
        </w:rPr>
        <w:t xml:space="preserve">Hopper Dredges. </w:t>
      </w:r>
      <w:r>
        <w:rPr>
          <w:rFonts w:ascii="Arial" w:cs="Arial" w:eastAsia="Arial" w:hAnsi="Arial"/>
          <w:sz w:val="16"/>
          <w:szCs w:val="16"/>
          <w:color w:val="auto"/>
        </w:rPr>
        <w:t>Hopper dredges are typically self-propelled and have the general appearance of an ocean-going vessel. The dredge has hollow hulls,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“hoppers,” into which material is suctioned hydraulically 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 The Company completed construction of a dual mode articulated tug/barge trailing suction hopper dredge, the </w:t>
      </w:r>
      <w:r>
        <w:rPr>
          <w:rFonts w:ascii="Arial" w:cs="Arial" w:eastAsia="Arial" w:hAnsi="Arial"/>
          <w:sz w:val="16"/>
          <w:szCs w:val="16"/>
          <w:i w:val="1"/>
          <w:iCs w:val="1"/>
          <w:color w:val="auto"/>
        </w:rPr>
        <w:t>Ellis Island</w:t>
      </w:r>
      <w:r>
        <w:rPr>
          <w:rFonts w:ascii="Arial" w:cs="Arial" w:eastAsia="Arial" w:hAnsi="Arial"/>
          <w:sz w:val="16"/>
          <w:szCs w:val="16"/>
          <w:color w:val="auto"/>
        </w:rPr>
        <w:t>, which is the largest domestic hopper dredge, during the fourth quarter of 2017.</w:t>
      </w:r>
    </w:p>
    <w:p>
      <w:pPr>
        <w:spacing w:after="0" w:line="165"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 xml:space="preserve">Hydraulic Dredges. </w:t>
      </w:r>
      <w:r>
        <w:rPr>
          <w:rFonts w:ascii="Arial" w:cs="Arial" w:eastAsia="Arial" w:hAnsi="Arial"/>
          <w:sz w:val="18"/>
          <w:szCs w:val="18"/>
          <w:color w:val="auto"/>
        </w:rPr>
        <w:t>Hydraulic dredges remove material using a revolving cutterhead which cuts and churns the sediment on the channel or ocean floor</w:t>
      </w:r>
      <w:r>
        <w:rPr>
          <w:rFonts w:ascii="Arial" w:cs="Arial" w:eastAsia="Arial" w:hAnsi="Arial"/>
          <w:sz w:val="18"/>
          <w:szCs w:val="18"/>
          <w:i w:val="1"/>
          <w:iCs w:val="1"/>
          <w:color w:val="auto"/>
        </w:rPr>
        <w:t xml:space="preserve"> </w:t>
      </w:r>
      <w:r>
        <w:rPr>
          <w:rFonts w:ascii="Arial" w:cs="Arial" w:eastAsia="Arial" w:hAnsi="Arial"/>
          <w:sz w:val="18"/>
          <w:szCs w:val="18"/>
          <w:color w:val="auto"/>
        </w:rPr>
        <w:t>and hydraulically pumps the material by pipe to the disposal location. 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Unlike hopper dredges, relocating hydraulic dredges and all their ancillary equipment requires specialized vessels and additional time, and their operations can be impacted by ship traffic and rough waters. There is a wide range of hydraulic dredges from our smaller rivers &amp; lakes vessels that use pipe sizes ranging from 10” to 22” and operate at between 365 and 3,200 total horsepower, while the Company’s other hydraulic dredges use pipe sizes ranging from 18” to 36” and operate at between 1,900 and 16,650 total horsepower.</w:t>
      </w:r>
    </w:p>
    <w:p>
      <w:pPr>
        <w:spacing w:after="0" w:line="192"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i w:val="1"/>
          <w:iCs w:val="1"/>
          <w:color w:val="auto"/>
        </w:rPr>
        <w:t xml:space="preserve">Mechanical Dredges. </w:t>
      </w:r>
      <w:r>
        <w:rPr>
          <w:rFonts w:ascii="Arial" w:cs="Arial" w:eastAsia="Arial" w:hAnsi="Arial"/>
          <w:sz w:val="17"/>
          <w:szCs w:val="17"/>
          <w:color w:val="auto"/>
        </w:rPr>
        <w:t>There are two basic types of mechanical dredges: clamshell and backhoe. In both types, the dredge uses a bucket to excavate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from the channel or ocean floor. The dredged material is placed by the bucket into material barges, or “scows,” for transport to the designated disposal area. The scows are emptied by bottom-dumping, direct pump-out or removal by a crane with a bucket. Mechanical dredges are capable of removing hard-packed sediments, blasted rock and debris and can work in tight areas such as along docks or terminals. Clamshell dredges with specialized buckets are ideally suited to handle material requiring environmentally controlled disposal. Additionally, the Company owns an electric clamshell dredge which provides an advantage in those markets with stringent emissions standards.</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Scows. </w:t>
      </w:r>
      <w:r>
        <w:rPr>
          <w:rFonts w:ascii="Arial" w:cs="Arial" w:eastAsia="Arial" w:hAnsi="Arial"/>
          <w:sz w:val="18"/>
          <w:szCs w:val="18"/>
          <w:color w:val="auto"/>
        </w:rPr>
        <w:t>The Company has the largest fleet of material barges in the domestic industry, which provides cost advantages when dredged material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disposed far offshore or when material requires controlled disposal. The Company uses scows with its hydraulic dredges and mechanical dredges. Scows are an efficient and cost effective way to move material and increase dredging production. The Company has twelve scows in its fleet with a capacity ranging from 5,000 to 8,800 cubic yards.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 w:name="page9"/>
    <w:bookmarkEnd w:id="8"/>
    <w:p>
      <w:pPr>
        <w:ind w:right="120" w:firstLine="518"/>
        <w:spacing w:after="0" w:line="259" w:lineRule="auto"/>
        <w:rPr>
          <w:sz w:val="20"/>
          <w:szCs w:val="20"/>
          <w:color w:val="auto"/>
        </w:rPr>
      </w:pPr>
      <w:r>
        <w:rPr>
          <w:rFonts w:ascii="Arial" w:cs="Arial" w:eastAsia="Arial" w:hAnsi="Arial"/>
          <w:sz w:val="18"/>
          <w:szCs w:val="18"/>
          <w:color w:val="auto"/>
        </w:rPr>
        <w:t>In addition, the Company has numerous pieces of smaller equipment that support its dredging operations. Great Lakes’ domestic dredging fleet is typically positioned on the East and Gulf Coasts, with a smaller number of vessels occasionally positioned on the West Coast, and with many of the rivers &amp; lakes dredges on inland rivers and lakes. The mobility of the fleet enables the Company to move equipment in response to changes in demand. Great Lakes’ fleet also includes vessels currently positioned in the Middle East.</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continually assesses its need to upgrade and expand its dredging fleet to take advantage of improving technology and to address the changing needs of the dredging market. The Company is also committed to preventive maintenance, which it believes is reflected in the long lives of most if its equipment and its low level of unscheduled downtime on jobs. To the extent that market conditions warrant the expenditures, Great Lakes can prolong the useful life of its vessels.</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Seasonality generally does not have a significant impact on the Company’s operations. However,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Company’s ability to perform its contracts may depend on weather conditions. Inclement or hazardous weather conditions can delay the completion of a project, can result in disruption or early termination of a project, unanticipated recovery costs or liability exposure and additional costs. As part of bidding on fixed 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6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 Accordingly, it is unlikely that future climate change will have a material adverse effect on the Company’s 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Operations—Bidding Activity and Backlog.”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At December 31, 2019, the Company employed 385 full-time salaried personnel in the U.S., including those in a corporate function. In addition, the Company employs U.S. hourly personnel, most of whom are unionized, on a project-by-project basis. Crews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right="240"/>
        <w:spacing w:after="0" w:line="277" w:lineRule="auto"/>
        <w:rPr>
          <w:sz w:val="20"/>
          <w:szCs w:val="20"/>
          <w:color w:val="auto"/>
        </w:rPr>
      </w:pPr>
      <w:r>
        <w:rPr>
          <w:rFonts w:ascii="Arial" w:cs="Arial" w:eastAsia="Arial" w:hAnsi="Arial"/>
          <w:sz w:val="18"/>
          <w:szCs w:val="18"/>
          <w:color w:val="auto"/>
        </w:rPr>
        <w:t>are generally available for hire on relatively short notice. During 2019, the Company employed an average of approximately 662 hourly personnel to meet domestic project requirements.</w:t>
      </w:r>
    </w:p>
    <w:p>
      <w:pPr>
        <w:spacing w:after="0" w:line="170"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At December 31, 2019, the Company employed 5 expatriates, 11 foreign nationals and 36 local staff to manage and administer its Middle East operations. During 2019, the Company also employed a daily average of 66 hourly personnel to meet project requirements in the Middle East.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12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Safety of its employees is one of the Company’s core values. The Company employs behavioral and system based programs utilizing an Incident &amp; Injury Free® (IIF®) approach. The Company’s safety culture is committed to training, behavioral based awareness and mutual responsibility for the wellbeing of its employees. The Company’s goal is sustainable safety excellence. Incident prevention in all areas have top priority in the Company’s business planning, in the overall conduct of its business, and in the operation and maintenance of our equipment (marine and land) and facilities.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is a party to numerous collective bargaining agreements in the U.S. that govern its relationships with its unionized hourly workforce. However, two unions represent a large majority of our dredging employees - the International Union of Operating Engineers (“IUOE”) Local 25 and the Seafarers International Union. The Company’s master and ancillary contracts with IUOE Local 25 expire in September 2021. Our agreements with Seafarers International Union expire in February 2023.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is subject to government regulations pursuant to the Dredging Act, the Jones Act, the Shipping Act, 1916, or “Shipping Act,” and the vessel documentation laws set forth in Chapter 121 of Title 46 of the United States Code. These statutes require vessels engaged in dredging in the navigable waters of the United States to be documented with a coastwise endorsement, to 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The Company’s operations, facilities and vessels are subject to various environmental laws and regulations related to, among other things: dredging operations; the disposal of dredged material; protection of wetlands; storm water and waste water discharges; demolition activities; asbestos removal; transportation and disposal of wastes and materials; air emissions; and remediation of contaminated soil, sediments, surface water and groundwater.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6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0" w:name="page11"/>
    <w:bookmarkEnd w:id="10"/>
    <w:p>
      <w:pPr>
        <w:ind w:right="20" w:firstLine="518"/>
        <w:spacing w:after="0" w:line="257" w:lineRule="auto"/>
        <w:rPr>
          <w:sz w:val="20"/>
          <w:szCs w:val="20"/>
          <w:color w:val="auto"/>
        </w:rPr>
      </w:pPr>
      <w:r>
        <w:rPr>
          <w:rFonts w:ascii="Arial" w:cs="Arial" w:eastAsia="Arial" w:hAnsi="Arial"/>
          <w:sz w:val="18"/>
          <w:szCs w:val="18"/>
          <w:color w:val="auto"/>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 takes steps to limit its potential liability by hiring qualified subcontractors from time to time to remove such materials from our projects, and some project contracts require the client to retain liability for hazardous waste generation.</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names and ages of all of the Company’s executive officers and the positions and offices presently held by them.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80" w:type="dxa"/>
            <w:vAlign w:val="bottom"/>
          </w:tcPr>
          <w:p>
            <w:pPr>
              <w:spacing w:after="0"/>
              <w:rPr>
                <w:sz w:val="20"/>
                <w:szCs w:val="20"/>
                <w:color w:val="auto"/>
              </w:rPr>
            </w:pPr>
          </w:p>
        </w:tc>
        <w:tc>
          <w:tcPr>
            <w:tcW w:w="8360" w:type="dxa"/>
            <w:vAlign w:val="bottom"/>
          </w:tcPr>
          <w:p>
            <w:pPr>
              <w:ind w:left="386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0" w:type="dxa"/>
            <w:vAlign w:val="bottom"/>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Lasse J. Petterson</w:t>
            </w:r>
          </w:p>
        </w:tc>
        <w:tc>
          <w:tcPr>
            <w:tcW w:w="18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180" w:type="dxa"/>
            <w:vAlign w:val="bottom"/>
          </w:tcPr>
          <w:p>
            <w:pPr>
              <w:spacing w:after="0"/>
              <w:rPr>
                <w:sz w:val="19"/>
                <w:szCs w:val="19"/>
                <w:color w:val="auto"/>
              </w:rPr>
            </w:pPr>
          </w:p>
        </w:tc>
        <w:tc>
          <w:tcPr>
            <w:tcW w:w="8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0" w:type="dxa"/>
            <w:vAlign w:val="bottom"/>
          </w:tcPr>
          <w:p>
            <w:pPr>
              <w:spacing w:after="0"/>
              <w:rPr>
                <w:sz w:val="19"/>
                <w:szCs w:val="19"/>
                <w:color w:val="auto"/>
              </w:rPr>
            </w:pPr>
          </w:p>
        </w:tc>
        <w:tc>
          <w:tcPr>
            <w:tcW w:w="2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 W. Marinko</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58</w:t>
            </w:r>
          </w:p>
        </w:tc>
        <w:tc>
          <w:tcPr>
            <w:tcW w:w="85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Chief Financial Officer and Senior Vice President</w:t>
            </w:r>
          </w:p>
        </w:tc>
      </w:tr>
      <w:tr>
        <w:trPr>
          <w:trHeight w:val="230"/>
        </w:trPr>
        <w:tc>
          <w:tcPr>
            <w:tcW w:w="2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David E. Simonelli</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President—Dredging Division</w:t>
            </w:r>
          </w:p>
        </w:tc>
      </w:tr>
      <w:tr>
        <w:trPr>
          <w:trHeight w:val="230"/>
        </w:trPr>
        <w:tc>
          <w:tcPr>
            <w:tcW w:w="20" w:type="dxa"/>
            <w:vAlign w:val="bottom"/>
          </w:tcPr>
          <w:p>
            <w:pPr>
              <w:spacing w:after="0"/>
              <w:rPr>
                <w:sz w:val="19"/>
                <w:szCs w:val="19"/>
                <w:color w:val="auto"/>
              </w:rPr>
            </w:pPr>
          </w:p>
        </w:tc>
        <w:tc>
          <w:tcPr>
            <w:tcW w:w="2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Kathleen M. LaVoy</w:t>
            </w: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40</w:t>
            </w:r>
          </w:p>
        </w:tc>
        <w:tc>
          <w:tcPr>
            <w:tcW w:w="85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Senior Vice President, Chief Legal Officer, Chief Compliance Officer and Corporate Secretary</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Lasse J. Petterson, Chief Executive Officer and Director</w:t>
      </w:r>
    </w:p>
    <w:p>
      <w:pPr>
        <w:spacing w:after="0" w:line="11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Mr. Petterson has served as Chief Executive Officer (“CEO”) since May 2017. Mr. Petterson most recently had served as a private consultant to clients in the Oil &amp; Gas sector and served as Chief Operating Officer (“COO”) and Executive Vice President at Chicago Bridge and Iron (“CB&amp;I”) from 2009 to 2013. Reporting directly to the CEO, he was responsible for all of CB&amp;I’s engineering, procurement and construction project operations and sales. Prior to CB&amp;I, Mr. Petterson was CEO of Gearbulk, Ltd., a privately held company that owns and operates one of the largest fleets of gantry craned open hatch bulk vessels in the world. He was also President and COO of AMEC Inc. Americas, a subsidiary of AMEC plc, a British multinational consulting, engineering and project management company. Prior to joining AMEC, Mr. Petterson served in various executive and operational positions for Aker Maritime, Inc., the deepwater division of Aker Maritime ASA of Norway over the course of 20 years. He spent the first nine years of his career in various positions at Norwegian Contractors, an offshore oil &amp; gas platform contractor. Mr. Petterson holds both master’s and bachelor’s degrees from the Norwegian University of Technology.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 W. Marinko, Senior Vice President and Chief Financial Officer</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Mr. Marinko has served as Senior Vice President and Chief Financial Officer since June 2014. Mr. Marinko was most recently President of the Consumer Services division at TransUnion leading the direct to consumer and business market, customer service, consumer compliance and marketing for the credit information company. Prior to his position as President, Mr. Marinko has been in increasing accounting and financial roles as Controller and Vice President of Finance at TransUnion since 1996. Prior to TransUnion, Mr. Marinko served as controller of Official Airline Guides. In his over 30 years of professional experience, Mr. Marinko has held roles specializing in accounting, finance, sales, systems and business operations. Mr. Marinko earned a Bachelor of Arts degree in Accounting and Business Administration from Augustana College.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E. Simonelli, President—Dredging Division</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Mr. Simonelli was named President—Dredging Division in April 2010. Mr. Simonelli has overall responsibility for the Dredging Division which includes safety, estimating, engineering, domestic and international operations and plant and equipment. He was named a Vice President of the Company in 2002 and Special Projects Manager in 1996. He joined the Company in 1978 as a Civil Engineer and has since held positions of increasing responsibility in domestic and international operations and project management. Mr. Simonelli earned a Bachelor of Science degree in Civil and Environmental Engineering from the University of Rhode Island. He is a member of the Hydrographic Society, the American Society of Civil Engineers and the Western Dredging Association.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Kathleen M. LaVoy, Senior Vice President, Chief Legal Officer, Chief Compliance Officer and Corporate Secretary</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Ms. LaVoy was appointed Senior Vice President, Chief Legal Officer and Corporate Secretary in January 2018. She was appointed Chief Compliance Officer in May 2019. Previously, Ms. LaVoy served as our Interim Chief Legal Officer and Corporate Secretary since November 2015. Ms. LaVoy was appointed Vice President and General Counsel, Dredging Operations in July 2012. She joined the Company in 2007 as Assistant General Counsel. Ms. LaVoy received her J.D. cum laude from Northwestern University School of Law and was an associate in the litigation department of the Chicago law firm Winston</w:t>
      </w:r>
    </w:p>
    <w:p>
      <w:pPr>
        <w:spacing w:after="0" w:line="2" w:lineRule="exact"/>
        <w:rPr>
          <w:sz w:val="20"/>
          <w:szCs w:val="20"/>
          <w:color w:val="auto"/>
        </w:rPr>
      </w:pPr>
    </w:p>
    <w:p>
      <w:pPr>
        <w:ind w:right="380" w:firstLine="8"/>
        <w:spacing w:after="0" w:line="261"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Strawn LLP following graduation. Ms. LaVoy earned a Bachelor of Science degree with distinction in Business Administration from the University of North Carolina – Chapel Hill.</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 xml:space="preserve">You may read and obtain copies of any materials Great Lakes files with the SEC, including without limitation, the Company’s Annual Report on Form 10-K, quarterly reports on Form 10-Q, current reports on Form 8-K, and amendments to those reports, free of charge, at the SEC’s website,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Great Lakes’ SEC filings are also available to the public, free of charge, on our corporate website, </w:t>
      </w:r>
      <w:r>
        <w:rPr>
          <w:rFonts w:ascii="Arial" w:cs="Arial" w:eastAsia="Arial" w:hAnsi="Arial"/>
          <w:sz w:val="17"/>
          <w:szCs w:val="17"/>
          <w:u w:val="single" w:color="auto"/>
          <w:color w:val="auto"/>
        </w:rPr>
        <w:t>www.gldd.com</w:t>
      </w:r>
      <w:r>
        <w:rPr>
          <w:rFonts w:ascii="Arial" w:cs="Arial" w:eastAsia="Arial" w:hAnsi="Arial"/>
          <w:sz w:val="17"/>
          <w:szCs w:val="17"/>
          <w:color w:val="auto"/>
        </w:rPr>
        <w:t>, at “Investors – Financials &amp; Filings”, as soon as reasonably practicable after Great Lakes electronically files such material with, or furnishes it to, the SEC. The reference to the Company’s website does not constitute incorporation by reference of information contained on or accessible through such website.</w:t>
      </w:r>
    </w:p>
    <w:p>
      <w:pPr>
        <w:spacing w:after="0" w:line="2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or results of operations. We have grouped our Risk Factors under captions that we believe describe various categories of potential risk. For the reader’s convenience, we have not duplicated risk factors that could be considered to be included in more than one category.</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depend on our ability to continue to obtain federal government dredging and other contracts, and are therefore impacted by the amount of government funding for dredging and other projects. A reduction in government funding for dredging or other contracts, or government cancellation of such contracts, could materially adversely affect our business operations, revenues and profits.</w:t>
      </w:r>
    </w:p>
    <w:p>
      <w:pPr>
        <w:spacing w:after="0" w:line="73"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2019, 2018 and 2017 were as follows: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revenue (in US $1,000)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581,157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468,421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375,276</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Percent of revenue from federal government</w:t>
            </w: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bl>
    <w:p>
      <w:pPr>
        <w:spacing w:after="0" w:line="228"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Amounts spent by the federal government on dredging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projects for any specified period. In addition, Congress must approve budgets that govern spending by many of the federal agencies we support. When Congress is unable to agree on budget priorities, and thus is unable to pass the annual budget on a timely basis, Congress typically enacts a continuing resolution. A continuing resolution allows U.S. federal government agencies to operate at spending levels approved in the previous budget cycle. Under a continuing resolution, funding may not be available for new projects or may be delayed on current projects. Any such delays would likely result in new projects being delayed or canceled and could have a material adverse effect on our revenue and operating results. Furthermore, a failure to complete the budget process and fund government operations pursuant to a continuing resolution may result in a U.S. federal government shutdown, such as the shutdowns in 2018 and 2019. While the impact on the Company of the shutdowns in 2018 and 2019 was not material, an extended shutdown may result in us incurring substantial costs without reimbursement under our contracts and the delay or cancellation of key projects, which could have a material adverse effect on our revenue and operating results.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ind w:firstLine="518"/>
        <w:spacing w:after="0" w:line="270" w:lineRule="auto"/>
        <w:rPr>
          <w:sz w:val="20"/>
          <w:szCs w:val="20"/>
          <w:color w:val="auto"/>
        </w:rPr>
      </w:pPr>
      <w:r>
        <w:rPr>
          <w:rFonts w:ascii="Arial" w:cs="Arial" w:eastAsia="Arial" w:hAnsi="Arial"/>
          <w:sz w:val="17"/>
          <w:szCs w:val="17"/>
          <w:color w:val="auto"/>
        </w:rPr>
        <w:t>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In February 2019, the U.S. President declared a national emergency that could have allowed the administration to divert funds previously budgeted for other purposes, including military construction funding and the Corps. Although no funds were diverted from dredging projects, there is no guarantee that the administration will not divert funds away from the Corps or from our other customers relying on funding from the federal government. There is also no guarantee that additional national emergencies will not be declared in the future. A significant reduction in government funding for dredging or remediation contracts, could materially adversely affect our business, operations, revenues and profits.</w:t>
      </w:r>
    </w:p>
    <w:p>
      <w:pPr>
        <w:spacing w:after="0" w:line="28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depend on our ability to qualify as an eligible bidder under government contract criteria and to compete successfully against other qualified bidders in order to obtain government dredging and other contracts. Our inability to qualify or to compete successfully for certain contracts could materially adversely affect our business operations, revenues and profits.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U.S. government and various state, local and foreign government agencies conduct rigorous competitive processes for awarding many contracts. Some contracts include multiple award task order contracts in which several contractors are selected as eligible bidders for future work. We will face strong competition and pricing pressures for any additional contract awards from the U.S. government and other domestic and foreign government agencies, and we may be required to qualify or continue to qualify under various multiple award task order contract criteria. Our inability to qualify as an eligible bidder under government contract criteria could 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spacing w:after="0" w:line="297" w:lineRule="exact"/>
        <w:rPr>
          <w:sz w:val="20"/>
          <w:szCs w:val="20"/>
          <w:color w:val="auto"/>
        </w:rPr>
      </w:pPr>
    </w:p>
    <w:p>
      <w:pPr>
        <w:ind w:right="620"/>
        <w:spacing w:after="0" w:line="375" w:lineRule="auto"/>
        <w:rPr>
          <w:sz w:val="20"/>
          <w:szCs w:val="20"/>
          <w:color w:val="auto"/>
        </w:rPr>
      </w:pPr>
      <w:r>
        <w:rPr>
          <w:rFonts w:ascii="Arial" w:cs="Arial" w:eastAsia="Arial" w:hAnsi="Arial"/>
          <w:sz w:val="15"/>
          <w:szCs w:val="15"/>
          <w:b w:val="1"/>
          <w:bCs w:val="1"/>
          <w:i w:val="1"/>
          <w:iCs w:val="1"/>
          <w:color w:val="auto"/>
        </w:rPr>
        <w:t>The nature of our contracts, particularly those that are fixed-price, subjects us to risks associated with cost over-runs, operating cost inflation and potential claims for liquidated damages. If we are unable to accurately estimate our costs to complete our projects, our profitability could suffer.</w:t>
      </w:r>
    </w:p>
    <w:p>
      <w:pPr>
        <w:spacing w:after="0" w:line="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We conduct our business under various types of contracts where costs are estimated in advance of our performance. Most dredging contracts are fixed-price contracts where the customer pays a fixed price per unit (e.g., cubic yard) of material dredged. Fixed-price contracts carry inherent risks, including risks of losses from underestimating costs, operational difficulties, and other changes that can occur over the contract period. In 2017, we experienced delays as a result of Hurricanes Harvey, Irma, Maria and Jose, which caused work stoppages in the impacted areas. If our estimates prove inaccurate, if there are errors or ambiguities as to contract specifications, or if circumstances change due to, among other things, unanticipated conditions or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or may be delayed in receiving necessary approvals or payments. Additionally, we may be required to pay liquidated damages upon our failure to meet schedule or performance requirements of our contracts. Our failure to accurately estimate the resources and time required for fixed-price contracts or our failure to perform our contractual obligations within the expected time frame and costs could result in reduced profits or, in certain cases, a loss for that contract. If we were to significantly underestimate the costs on one or more significant contracts, the resulting losses could have a material adverse effect on our business, operating results, cash flows or financial condition.</w:t>
      </w:r>
    </w:p>
    <w:p>
      <w:pPr>
        <w:spacing w:after="0" w:line="2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results of operations depend on the award of new contracts and the timing of the performance of these contracts. As a result, our quarterly and annual operating results may vary significantly.</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quarterly and annual results of operations have fluctuated from period to period in the past and may continue to fluctuate in the future. Accordingly, you should not rely on the results of any past quarter or quarters as an indication of future performance in our business operations or valuation of our stock. Our operating results could vary greatly from period to period due to factors such as:</w:t>
      </w:r>
    </w:p>
    <w:p>
      <w:pPr>
        <w:spacing w:after="0" w:line="73"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contract awards and the commencement or progress of work under awarded contracts;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inclement or hazardous weather conditions that may result in underestimated delays in dredging, disruption or early termination of projects, unanticipated recovery costs or liability exposure, and additional contract expenses;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planned and unplanned equipment downtime;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left="1040" w:right="2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recognize revenue from pending change orders, which is recognized only when the parties to a contract approve a modification that either creates new, or changes existing, enforceable rights and obligations of the parties to the contract;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restrictions requiring that certain projects be performed in winter months to protect wildlife habitats;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equipment mobilization to and from projects.</w:t>
      </w:r>
    </w:p>
    <w:p>
      <w:pPr>
        <w:spacing w:after="0" w:line="225"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If our results of operations from quarter to quarter fail to meet the expectations of public market analysts and investors, our stock price could be negatively impacted. See “Management’s Discussion and Analysis of Financial Condition and Results of Operations—Primary Factors that Determine Operating Profitability.”</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government contracting regulations, our revenue could suffer, and we could be subject to significant potential liabilities.</w:t>
      </w:r>
    </w:p>
    <w:p>
      <w:pPr>
        <w:spacing w:after="0" w:line="140"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addition, we may be subject to litigation brought by private individuals on behalf of the government relating to our government contracts, referred to in this annual report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which could include claims for up to treble damages.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are sealed by the court at the time of filing. The only parties privy to the information in the complaint are the complainant, the U.S. government and the court. Therefore, it is possible that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been filed against us and that we are not aware of such actions or have been ordered by the court not to discuss them until the seal is lifted. Thus, it is possible that we are subject to liability exposure arising out of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w:t>
      </w:r>
    </w:p>
    <w:p>
      <w:pPr>
        <w:spacing w:after="0" w:line="29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Capital expenditures and other costs necessary to operate and maintain our vessels tend to increase with the age of the vessel and may also increase due to changes in governmental regulations, safety or other equipment standards, which could result in a decrease in our profits.</w:t>
      </w:r>
    </w:p>
    <w:p>
      <w:pPr>
        <w:spacing w:after="0" w:line="1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average age of our more significant vessels as of December 31, 2019, by equipment type,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Equipment</w:t>
            </w: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Quantity</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Age in</w:t>
            </w:r>
          </w:p>
        </w:tc>
        <w:tc>
          <w:tcPr>
            <w:tcW w:w="0" w:type="dxa"/>
            <w:vAlign w:val="bottom"/>
          </w:tcPr>
          <w:p>
            <w:pPr>
              <w:spacing w:after="0"/>
              <w:rPr>
                <w:sz w:val="1"/>
                <w:szCs w:val="1"/>
                <w:color w:val="auto"/>
              </w:rPr>
            </w:pPr>
          </w:p>
        </w:tc>
      </w:tr>
      <w:tr>
        <w:trPr>
          <w:trHeight w:val="171"/>
        </w:trPr>
        <w:tc>
          <w:tcPr>
            <w:tcW w:w="55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23"/>
        </w:trPr>
        <w:tc>
          <w:tcPr>
            <w:tcW w:w="5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Hydraulic Dredges</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Hopper Dredges</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Mechanical Dredges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Unloaders</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Drillboats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Material and Other Barges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Remaining economic life has not been presented because it is not reasonably quantifiable because, to the extent that market conditions warrant the expenditures, we can prolong the vessels’ lives. In our domestic market, we operate in an industry where a significant portion of our competitors’ equipment is of a similar age. It is common in the dredging industry to make maintenance and capital expenditures in order to extend the economic life of equipment.</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additional expenditures. For example, if the U.S. Coast Guard enacts new standards, we may be required to incur expenditures for alterations or the addition of new equipment (e.g. more fuel efficient engines). Other new standard requirements could be significant. In order to satisfy any such requirement, we may need to take our vessels out of service for extended periods of time, with corresponding losses of revenues.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ind w:right="400"/>
        <w:spacing w:after="0" w:line="277" w:lineRule="auto"/>
        <w:rPr>
          <w:sz w:val="20"/>
          <w:szCs w:val="20"/>
          <w:color w:val="auto"/>
        </w:rPr>
      </w:pPr>
      <w:r>
        <w:rPr>
          <w:rFonts w:ascii="Arial" w:cs="Arial" w:eastAsia="Arial" w:hAnsi="Arial"/>
          <w:sz w:val="18"/>
          <w:szCs w:val="18"/>
          <w:b w:val="1"/>
          <w:bCs w:val="1"/>
          <w:i w:val="1"/>
          <w:iCs w:val="1"/>
          <w:color w:val="auto"/>
        </w:rPr>
        <w:t>We may experience equipment or mechanical failures, which could increase costs, reduce revenues and result in penalties for failure to meet project completion requirements.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successful performance of contracts requires a high degree of reliability of our vessels, barges and other equipment. The average age of our marine fleet as of December 31, 2019 was 26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 and may result in loss of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international dredging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from foreign contracts and its percentage to total dredging revenue for the years ended December 31, 2019, 2018 and 2017 were as follows: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Foreign revenue (in US $1,000)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48,619</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42,306</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Percent of revenue from foreign countries</w:t>
            </w: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bl>
    <w:p>
      <w:pPr>
        <w:spacing w:after="0" w:line="241"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international dredging market is highly competitive and competition in the international market is dominated by four large European dredging companies, all of which operate larger equipment and fleets that are more modern and extensive than the Company’s. In addition, there are several governmentally supported dredging companies that operate on a local or regional basis. Competing for international dredging projects requires a substantial investment of resources, skilled personnel and capital investment in equipment and technology, and may adversely affect our ability to deploy resources for domestic dredging projects.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International operations subject us to additional potential risks, including:</w:t>
      </w:r>
    </w:p>
    <w:p>
      <w:pPr>
        <w:spacing w:after="0" w:line="11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concerning import and export license requirements, tariffs and other trade barriers;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and risks of terrorist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demand as a result of fluctuations in the price of oil, the primary export in the Middle East;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contractual rights and agreements through certain foreign legal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requirements of, and changes in, foreign laws, policies and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licensing, permitting and royalty issues, particularly with respect to our overseas operations in Bahrain and the Middle East;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without additional expense;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taxation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and international anticorruption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logistical and communication challenges; and</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effectively insure against political, cultural and economic uncertainties, including acts of terrorism, civil unrest, war or other armed conflict.</w:t>
      </w:r>
    </w:p>
    <w:p>
      <w:pPr>
        <w:spacing w:after="0" w:line="170"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addition, our international operations are subject to U.S. and other laws and regulations regarding operations in foreign jurisdictions. These numerous and sometimes conflicting laws and regulations include anti-boycott laws, anti-competition laws, anti-corruption laws, tax laws, immigration laws, privacy laws and accounting requirements. There is a risk that some provisions may be breached, for example through inadvertence or mistake, fraudulent or negligent behavior of individual employees or of agents, or failure to comply with certain formal documentation requirements or otherwise. Violations of these laws and regulations could result in fines and penalties, criminal sanctions against us, our officers, or our employees, prohibitions on the conduct of our business and on our ability to operate in one or more countries, and could have a material adverse effect on our business, results of operations or financial condition. In addition, military action, terrorist activities or continued unrest in the Middle East could affect the safety of our personnel in the region and significantly increase the costs of, or disrupt our operations in, the region and could have a material adverse effect on our business, operating results, cash flows or financial condition.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Regional instability in the Middle East may adversely affect business conditions and may disrupt our operations.</w:t>
      </w:r>
    </w:p>
    <w:p>
      <w:pPr>
        <w:spacing w:after="0" w:line="117"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Saudi Arabia, Bahrain and other Middle East countries have experienced political turbulence in the recent past. Political uprisings and conflicts, including armed hostilities and civil unrest, may affect the political stability of the region. Tensions in the region between the U.S. and Iran have escalated, resulting in increased military and militia activity in Iraq and other Middle East countries. In addition, there has been a decline in the relationships between and amongst certain governments in the Middle East, such as continued conflicts between Saudi Arabia and Iran and the boycott of Qatar by Saudi Arabia, United Arab Emirates, Bahrain, and Egypt.</w:t>
      </w:r>
    </w:p>
    <w:p>
      <w:pPr>
        <w:spacing w:after="0" w:line="188" w:lineRule="exact"/>
        <w:rPr>
          <w:sz w:val="20"/>
          <w:szCs w:val="20"/>
          <w:color w:val="auto"/>
        </w:rPr>
      </w:pPr>
    </w:p>
    <w:p>
      <w:pPr>
        <w:jc w:val="both"/>
        <w:ind w:right="340" w:firstLine="518"/>
        <w:spacing w:after="0" w:line="286" w:lineRule="auto"/>
        <w:rPr>
          <w:sz w:val="20"/>
          <w:szCs w:val="20"/>
          <w:color w:val="auto"/>
        </w:rPr>
      </w:pPr>
      <w:r>
        <w:rPr>
          <w:rFonts w:ascii="Arial" w:cs="Arial" w:eastAsia="Arial" w:hAnsi="Arial"/>
          <w:sz w:val="17"/>
          <w:szCs w:val="17"/>
          <w:color w:val="auto"/>
        </w:rPr>
        <w:t>Deterioration in the political, economic, and social conditions or other relevant policies of the government, such as changes in laws or regulations, export restrictions, expropriation of our assets or resource nationalization, could materially and adversely affect our business, access to markets, financial condition, and results of operations. Similar civil unrest and political turbulence has occurred in other countries in the region.</w:t>
      </w:r>
    </w:p>
    <w:p>
      <w:pPr>
        <w:spacing w:after="0" w:line="166"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In addition, such events may affect plans for infrastructure investment. If the government changes or significant restrictions are established, our dredging operations in the Middle East, including the value of our assets related to such operations, may be adversely affected.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include certain estimates and assumptions that may differ from actual results.</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a number of estimates and assumptions are made by management that affect the amounts reported in the financial statements. These estimates and assumptions must be made because certain information that is used in the preparation of our financial statements is either dependent on future events or cannot be calculated with a high degree of precision from available data. In some instances, these estimates are particularly uncertain and we must exercise significant judgment. Estimates are primarily used in our assessment of the recognition of revenue for costs and estimated earnings under the percentage of completion method of accounting as discussed above, the fair value of the reporting unit for goodwill impairment analysis, the assessment of impairment of intangibles and other long-lived assets, the purchase price allocations of businesses acquired, accrued insurance claims, income taxes, asset lives used in computing depreciation and amortization, stock-based compensation expense for performance-based stock awards, and accruals for contingencies, including legal matters. At the time they are made, we believe that such estimates are fair when considered in conjunction with our consolidated financial position and results of operations taken as a whole. However, actual results could differ from those estimates and such differences may be material to our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force us to incur capital and operational costs.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industries, and more specifically, our operations, facilities and vessels and equipment, are subject to various environmental laws and regulations relating to, among other things: dredging operations; the disposal of dredged material; protection of wetlands; storm water and waste water discharges; transportation and disposal of hazardous wastes and other regulated materials; air emissions; and disposal or remediation of contaminated soil, sediments, surface water and groundwater. We are also subject to laws designed to protect certain marine or land species and habitats. Compliance with these statutes and regulations can delay permitting and/or performance of particular projects and increase related project costs. These delays and increased costs could have a material adverse effect on our business, results of operations, cash flows or financial condition. Non-compliance can also result in fines, penalties and claims by third parties seeking damages for alleged personal injury, as well as damages to property and natural resources and suspension or debarment from future government contracting.</w:t>
      </w:r>
    </w:p>
    <w:p>
      <w:pPr>
        <w:spacing w:after="0" w:line="192"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65"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Our projects may involve excavation, remediation, demolition,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6" w:name="page17"/>
    <w:bookmarkEnd w:id="16"/>
    <w:p>
      <w:pPr>
        <w:ind w:right="40" w:firstLine="518"/>
        <w:spacing w:after="0" w:line="286" w:lineRule="auto"/>
        <w:rPr>
          <w:sz w:val="20"/>
          <w:szCs w:val="20"/>
          <w:color w:val="auto"/>
        </w:rPr>
      </w:pPr>
      <w:r>
        <w:rPr>
          <w:rFonts w:ascii="Arial" w:cs="Arial" w:eastAsia="Arial" w:hAnsi="Arial"/>
          <w:sz w:val="17"/>
          <w:szCs w:val="17"/>
          <w:color w:val="auto"/>
        </w:rPr>
        <w:t>Environmental requirements have generally become more stringent over time, for example in the areas of air emissions controls for vessels and ballast treatment and handling. New or stricter enforcement of existing laws, the discovery of currently unknown conditions or accidental discharges of regulated materials in the future could cause us to incur additional costs for environmental matters which might be significant.</w:t>
      </w:r>
    </w:p>
    <w:p>
      <w:pPr>
        <w:spacing w:after="0" w:line="274"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Lapses in disclosure controls and procedures or internal control over financial reporting could materially and adversely affect our operations, profitability or reputation.</w:t>
      </w:r>
    </w:p>
    <w:p>
      <w:pPr>
        <w:spacing w:after="0" w:line="6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There can be no assurance that our disclosure controls and procedures will be effective in the future or that we will not experience a material weakness or significant deficiency in internal control over financial reporting. Any such lapses or deficiencies may materially and adversely affect our business, operating results, cash flows or financial condition, restrict our ability to access the capital markets, require us to expend significant resources to correct the lapses or deficiencies, expose us to regulatory or legal proceedings, including litigation brought by private individuals, subject us to fines, penalties or judgments, harm our reputation, or otherwise cause a decline in investor confidence and our stock price.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contracts have penalties for late completion.</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many instances, including in our fixed-price contracts, we guarantee that we will complete a project by a scheduled date. If we subsequently fail to complete the project as scheduled, we may be liable for any customer losses resulting from such delay, generally in the form of contractually agreed-upon liquidated damages. In addition, failure to maintain a required schedule could cause us to default on our government contracts, giving rise to a variety of potential damages. To the extent that these events occur, the total costs of the project could exceed our original estimates, and we could experience reduced profits or, in some cases, a loss for that project.</w:t>
      </w:r>
    </w:p>
    <w:p>
      <w:pPr>
        <w:spacing w:after="0" w:line="29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Force majeure events, including natural disasters and terrorists’ actions, could negatively impact our business, which may affect our business, operations, revenues, cash flows and profits.</w:t>
      </w:r>
    </w:p>
    <w:p>
      <w:pPr>
        <w:spacing w:after="0" w:line="62"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Force majeure or extraordinary events beyond the control of the contracting parties, such as natural and man-made disasters, as well as terrorist actions, could negatively impact the economies in which we operate. We typically negotiate contract language where we are allowed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pursuant to a force majeure clause.</w:t>
      </w:r>
    </w:p>
    <w:p>
      <w:pPr>
        <w:spacing w:after="0" w:line="15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a contract contains a force majeure provision, we may be able to obtain an extension of time to complete our obligations under such contract, but we will still be subject to our other contractual obligations in the event of such an extraordinary event. Because we cannot predict the length, severity or location of any potential force majeure event, it is not possible to determine the specific effects any such event may have on us. Depending on the specific circumstances of any particular force majeure event, or if we are unable to react quickly to such an event, our operations may be affected significantly, our productivity may be affected, our ability to complete projects in accordance with our contractual obligations may be affected, our payments from customers may be delayed and we may incur increased labor and materials costs, which could have a negative impact on our financial condition, relationships with customers or suppliers, and our reputation.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estimated backlog is subject to change and not necessarily indicative of future revenues.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Our contract backlog represents our estimate of the revenues that we will realize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Because of these factors, as well as factors affecting the time required to complete each job, backlog is not necessarily indicative of future revenues or profitability. In addition, a significant amount of our backlog (83% in 2019) relates to federal government contracts, which can be canceled at any time without penalty to the government, subject, in most cases, to our contractual right to recover our actual committed costs and profit on work performed up to the date of cancellation.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480" w:firstLine="518"/>
        <w:spacing w:after="0" w:line="277" w:lineRule="auto"/>
        <w:rPr>
          <w:sz w:val="20"/>
          <w:szCs w:val="20"/>
          <w:color w:val="auto"/>
        </w:rPr>
      </w:pPr>
      <w:r>
        <w:rPr>
          <w:rFonts w:ascii="Arial" w:cs="Arial" w:eastAsia="Arial" w:hAnsi="Arial"/>
          <w:sz w:val="18"/>
          <w:szCs w:val="18"/>
          <w:color w:val="auto"/>
        </w:rPr>
        <w:t>Below is our backlog from federal government contracts as of December 31, 2019, 2018, and 2017 and the percentage of those contracts to total backlog as of the same date.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backlog (in US $1,000)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486,612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586,568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413,678</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Percentage of backlog from federal government</w:t>
            </w:r>
          </w:p>
        </w:tc>
        <w:tc>
          <w:tcPr>
            <w:tcW w:w="2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bl>
    <w:p>
      <w:pPr>
        <w:spacing w:after="0" w:line="24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At times we may have backlog with foreign governments that use local laws and regulations to change terms of a contract in backlog or to limit our ability to receive payment on a timely basis. Other contracts in backlog are with state and local municipalities or private companies that may have funding constraints or impose restrictions on timing. The termination, modification or suspension of projects currently in backlog could have a material adverse effect on our business, operating results, cash flows or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international revenue is earned from large, single customer contracts.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 earns significant international revenue from governmental entities and private parties in the Middle East. Revenue from foreign projects has been concentrated in the Middle East which comprised 100%, 100% and 97% of our foreign dredging revenues in the years ended December 31, 2019, 2018 and 2017, respectively. A single customer contract represented substantially all of the Company’s foreign dredging revenue in the year ended December 31, 2019.</w:t>
      </w:r>
    </w:p>
    <w:p>
      <w:pPr>
        <w:spacing w:after="0" w:line="18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Certain factors have occurred suggesting that future revenues from projects with governments in the Middle East could decrease. Historically lower oil prices and the contraction in Middle East commercial and real estate development have slowed the rate of the region’s infrastructure development. If the diplomatic relationship of the United States or our commercial relationship with governments in the Middle East is significantly negatively impacted or terminated, or we encounter significant difficulties in obtaining licensing or permits to do business in these countries, the Company’s international revenues would be materially and adversely impacted. If the government of Bahrain or Saudi Arabia further curtails its infrastructure investment or diversifies its use of dredging vendors, our revenue from these customers could decline further.</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Other Middle East governments have national dredging companies and may be incentivized to use the national dredging company of another Middle East government or have significant history with competitive dredging vendors other than the Company. The Company could lose future contracts for work in the Middle East to these competitors or could be forced to accept lower margins on contracts in order to utilize the equipment that is located in the Middle East. In addition, the Company may be forced to shrink the workforce in place or relocate dredging assets from this region in reaction to lower contract earnings. Lower utilization, workforce reductions or asset relocations could have a material adverse effect on our business, operating results, cash flows or financial condition.</w:t>
      </w:r>
    </w:p>
    <w:p>
      <w:pPr>
        <w:spacing w:after="0" w:line="30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current business strategy includes the construction of new vessels. There are substantial uncertainties associated with such construction, including the possibility of unforeseen delays and cost overruns.</w:t>
      </w:r>
    </w:p>
    <w:p>
      <w:pPr>
        <w:spacing w:after="0" w:line="62"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 xml:space="preserve">We have previously disclosed our plans to build new vessels, for example, our completed dual mode articulated tug/barge trailing suction hopper dredge, the </w:t>
      </w:r>
      <w:r>
        <w:rPr>
          <w:rFonts w:ascii="Arial" w:cs="Arial" w:eastAsia="Arial" w:hAnsi="Arial"/>
          <w:sz w:val="16"/>
          <w:szCs w:val="16"/>
          <w:i w:val="1"/>
          <w:iCs w:val="1"/>
          <w:color w:val="auto"/>
        </w:rPr>
        <w:t>Ellis Island</w:t>
      </w:r>
      <w:r>
        <w:rPr>
          <w:rFonts w:ascii="Arial" w:cs="Arial" w:eastAsia="Arial" w:hAnsi="Arial"/>
          <w:sz w:val="16"/>
          <w:szCs w:val="16"/>
          <w:color w:val="auto"/>
        </w:rPr>
        <w:t>. While it is now in full operation, it experienced greater than anticipated delays in ramping up to full operation due to mechanical issues involving the port side gearbox. Unknown mechanical or engineering issues involving new vessels could adversely affect the Company’s business, operating results, cash flows or financial condition. Our future revenues and profitability will also be impacted to some extent by our ability to secure financing for new vessels and bring them into service within the timeline anticipated by the Company.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Changes in governmental regulations, safety or other equipment standards, as well as compliance with standards imposed by maritime self-regulatory organizations and customer requirements or competition, could also substantially increase the cost of such construction beyond what we currently expect such costs to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Section 27 of the Merchant Marine Act of 1920 (the “Jones Act”) provisions on coastwise trade, or if those provisions were modified or repealed.</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5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2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dependence on petroleum-based products increases our costs as the prices of such products increase, which could adversely affect our business, operations, revenues and profits.</w:t>
      </w:r>
    </w:p>
    <w:p>
      <w:pPr>
        <w:spacing w:after="0" w:line="62"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Fuel prices fluctuate based on market events outside of our control. We use diesel fuel and other petroleum-based products to operate our equipment used in our dredging contracts. Fluctuations in supplies relative to demand and other factors can cause unanticipated increases in their cost. Most of our contracts do not allow us to adjust our pricing for higher fuel costs during a contract term and we may be unable to secure price increases reflecting rising costs when renewing or bidding contracts. In addition, on January 1, 2020, the International Maritime Organization’s regulations regarding use of low sulfur fuel went into effect. We use low sulfur fuel in many of our domestic operations, and the increased demand for low sulfur fuel may result in an increase in price. Future increases in the costs of fuel and other petroleum-based products used in our business, particularly if a bid has been submitted for a contract and the costs of those products have been estimated at amounts less than the actual costs thereof, could result in a lower profit, or even a loss, on one or more contracts.</w:t>
      </w:r>
    </w:p>
    <w:p>
      <w:pPr>
        <w:spacing w:after="0" w:line="30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unable, in the future, to obtain bonding or letters of credit for our contracts, our ability to obtain future contracts will be limited, thereby adversely affecting our business, operating results, cash flows or financial condition.</w:t>
      </w:r>
    </w:p>
    <w:p>
      <w:pPr>
        <w:spacing w:after="0" w:line="62"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We are generally required to post bonds in connection with our domestic dredging contracts and bonds or letters of credit with our foreign dredging contracts to ensure job completion if we ever fail to finish a project. We have entered into bonding agreements with Argonaut Insurance Company, Chubb Surety and Liberty Mutual Insurance Company (collectively, the “Sureties”) to which the Sureties issue bid bonds, performance bonds and payment bonds, and provide guarantees required by us in the day-to-day operations of our dredging business. The Company also has outstanding bonds with Travelers Casualty and Surety Company of America and Zurich. Historically, we have had a strong bonding capacity, but surety companies issue bonds on a project-by-project basis and can decline to issue bonds at any time or require the posting of collateral as a condition to issuing any bonds. With respect to our foreign dredging business, we generally obtain letters of credit under our Amended Credit Agreement. However, access to our senior credit facility under our Amended Credit Agreement may be limited by failure to meet certain levels of availability or other defined financial or other requirements. If we are unable to obtain bonds or letters of credit on terms reasonably acceptable to us, our ability to take on future work would be severely limited.</w:t>
      </w:r>
    </w:p>
    <w:p>
      <w:pPr>
        <w:spacing w:after="0" w:line="16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connection with the sale of our historical demolition business, we were obligated to keep in place the surety bonds on pending demolition projects for the period required under the respective contract for a project. In 2017, we were notified by Zurich of an alleged default triggered on a historical demolition surety performance bond in the aggregate amount of approximately $20 million for failure of the contractor to perform in accordance with the terms of a project. Zurich drew upon the letter of credit in the amount of $20.9 million. In order to fund the draw on the letter of credit, we had to increase the borrowings on our revolving credit facility. As the outstanding letters of credit previously reduced our availability under the revolving credit facility, this draw down on our letter of credit did not impact our liquidity or capital availability. However, in the future, other defaults (or alleged defaults) triggered under any of our surety bonds could have a material adverse effect on our business, results of operations, cash flows or financial condition.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right="140"/>
        <w:spacing w:after="0" w:line="264" w:lineRule="auto"/>
        <w:rPr>
          <w:sz w:val="20"/>
          <w:szCs w:val="20"/>
          <w:color w:val="auto"/>
        </w:rPr>
      </w:pPr>
      <w:r>
        <w:rPr>
          <w:rFonts w:ascii="Arial" w:cs="Arial" w:eastAsia="Arial" w:hAnsi="Arial"/>
          <w:sz w:val="18"/>
          <w:szCs w:val="18"/>
          <w:b w:val="1"/>
          <w:bCs w:val="1"/>
          <w:i w:val="1"/>
          <w:iCs w:val="1"/>
          <w:color w:val="auto"/>
        </w:rPr>
        <w:t>Our current business strategy may include acquisitions which present certain risks and uncertainties. There are integration and consolidation risks associated with acquisitions. Future acquisitions may result in significant transaction expenses, unexpected liabilities and risks associated with entering new markets, and we may be unable to profitably operate these businesses.</w:t>
      </w:r>
    </w:p>
    <w:p>
      <w:pPr>
        <w:spacing w:after="0" w:line="73"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We may seek business acquisition activities as a means of broadening our offerings and capturing additional market opportunities by our business units. We may be exposed to certain additional risks resulting from these activities. Acquisitions may expose us to operational challenges and risks, including:</w:t>
      </w:r>
    </w:p>
    <w:p>
      <w:pPr>
        <w:spacing w:after="0" w:line="16"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valuation methodologies which may not accurately capture the value proposition;</w:t>
      </w:r>
    </w:p>
    <w:p>
      <w:pPr>
        <w:spacing w:after="0" w:line="117" w:lineRule="exact"/>
        <w:rPr>
          <w:rFonts w:ascii="Arial" w:cs="Arial" w:eastAsia="Arial" w:hAnsi="Arial"/>
          <w:sz w:val="18"/>
          <w:szCs w:val="18"/>
          <w:color w:val="auto"/>
        </w:rPr>
      </w:pPr>
    </w:p>
    <w:p>
      <w:pPr>
        <w:ind w:left="1040" w:right="260" w:hanging="519"/>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failure to integrate acquired businesses into our operations, financial reporting and controls with the efficiency and effectiveness initially expected resulting in a potentially significant detriment to our financial results and our operations as a whole;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management of the growth resulting from acquisition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capitalize on expected synergies;</w:t>
      </w:r>
    </w:p>
    <w:p>
      <w:pPr>
        <w:spacing w:after="0" w:line="117"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 of liabilities of an acquired business (for example, litigation, tax liabilities, environmental liabilities), including liabilities that were contingent or unknown at the time of the acquisition and that pose future risks to our working capital needs, cash flows and the profitability of related operations;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assumption of unprofitable projects that pose future risks to our working capital needs, cash flows and the profitability of related operations;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associated with entering new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retain key personnel, customers or contracts of any acquired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adverse effects on our ability to comply with covenants in our existing debt financing;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impairment of acquired intangible assets;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debt financing, which may not be available on attractive terms.</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may not have the appropriate management, financial or other resources needed to integrate any businesses that we acquire. Any future acquisitions may result in significant transaction expenses and unexpected liabilities.</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Divestitures and discontinued operations could negatively impact our business, and retained liabilities from businesses that we sell or discontinue could adversely affect our financial results.</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As part of our strategic process, we review our operations for assets and businesses which may no longer be aligned with our strategic initiatives and long-term objectives. For example, we have divested our historical environmental &amp; infrastructure business and historical demolition business. We continue to review our assets and strategy and may pursue additional divestitures.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or fail to close a transaction at all. Dispositions may also involve continued financial involvement, as we may be required to retain responsibility for, or agree to indemnify buyers against contingent liabilities related to a businesses sold, such as lawsuits, surety obligations, tax liabilities, or environmental matters. It may also be difficult to determine whether a claim from a third party stemmed from actions taken by us or by another party and we may expend substantial resources trying to determine which party has responsibility for the claim. Under these types of arrangements, performance by the divested businesses or other conditions outside of our control could affect future financial results and such claims or conditions may divert management attention from our continuing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ind w:firstLine="518"/>
        <w:spacing w:after="0" w:line="272" w:lineRule="auto"/>
        <w:rPr>
          <w:sz w:val="20"/>
          <w:szCs w:val="20"/>
          <w:color w:val="auto"/>
        </w:rPr>
      </w:pPr>
      <w:r>
        <w:rPr>
          <w:rFonts w:ascii="Arial" w:cs="Arial" w:eastAsia="Arial" w:hAnsi="Arial"/>
          <w:sz w:val="17"/>
          <w:szCs w:val="17"/>
          <w:color w:val="auto"/>
        </w:rPr>
        <w:t>On April 24, 2014, the Company announced that it had completed the sale of its historical demolition business. In connection with the sale, the Company retained responsibility for various pre-closing liabilities and obligations and may incur costs and expenses related to these items and asset recoveries. It is possible that claims, which could be material, could be made against the Company pursuant to the agreement pursuant to which the Company’s historical demolition business was sold. In connection with the sale of our historical demolition business, we were obligated to keep in place the surety bonds on pending demolition projects for the period required under the respective contract for a project. As noted above, if there should be a default (or alleged default) triggered under any of the surety bonds for the historical demolition business, it could have a material adverse effect on our ability to obtain bonds and on our business, results of operations, cash flows or financial condition.</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During the second quarter of 2019, the Company completed the sale of the historical environmental &amp; infrastructure business. The Company retained responsibility for pre-closing liabilities and indemnified the buyer against breaches of our representations and warranties in the sale agreement. If the buyer made a claim against any of our indemnifications or if any payments became due in connection with any pre-closing liability, they could be material to results of operations, cash flows or financial condition.</w:t>
      </w:r>
    </w:p>
    <w:p>
      <w:pPr>
        <w:spacing w:after="0" w:line="18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If we do not realize the expected benefits or synergies of any divestiture transaction or if we underestimated the valuation of the charge related to placing an asset held for sale in discontinued operations, our consolidated financial position, results of operations and cash flows could be negatively impacted. Any divestiture may result in a dilutive impact to our future earnings if we are unable to offset the dilutive impact from the loss of revenue associated with the divestiture, as well as significant write-offs, including those related to goodwill and other intangible assets, which could have a material adverse effect on our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liabilities and/or damage to our reputation as a result of certain legal and regulatory proceedings.</w:t>
      </w:r>
    </w:p>
    <w:p>
      <w:pPr>
        <w:spacing w:after="0" w:line="117"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From time to time, we are subject to legal and regulatory proceedings in the ordinary course of our business. These include proceedings relating to aspects of our businesses that are specific to us and proceedings that are typical in the businesses in which we operate. We are currently a defendant in a number of litigation matters, including those described in Item 3. “Legal Proceedings” of this Annual Report on Form 10-K. In certain of these matters, the plaintiffs are seeking large and/or indeterminate amounts of damages. These matters are subject to many uncertainties, and it is possible that some of these matters could ultimately be decided, resolved or settled adversely to the Company. An adverse outcome in a legal or regulatory matter could, depending on the facts, have an adverse effect on our business, results of operations, cash flows or financial condition.</w:t>
      </w:r>
    </w:p>
    <w:p>
      <w:pPr>
        <w:spacing w:after="0" w:line="17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addition to its potential financial impact, legal and regulatory matters can have a significant adverse reputational impact. Allegations of improper conduct made by private litigants or regulators, whether the ultimate outcome is favorable or unfavorable to us, as well as negative publicity and press speculation about us, whether valid or not, may harm our reputation, which may be damaging to our business, results of operations, cash flows or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liable for the obligations of our joint ventures, partners and subcontractors.</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or a performance or payment default by another member of the joint venture or arrangement. In these projects, even if we satisfactorily complete our project responsibilities within budget, we may incur additional unforeseen costs due to the failure of the other party or parties to the arrangement to perform or complete work, fund expenditures, or make payments in accordance with contract specifications. In some joint ventures and similar arrangements, we may not be the controlling member. In these cases, we may have limited control over the actions of the joint venture. In addition, joint ventures or arrangements may not be subject to the same requirements regarding internal controls and internal control over financial reporting that we follow. To the extent the controlling member makes decisions that negatively impact the joint venture or arrangement or internal control problems arise within the joint venture or arrangement, it could have a material adverse impact on our business, results of operations, cash flows or financial condition.</w:t>
      </w:r>
    </w:p>
    <w:p>
      <w:pPr>
        <w:spacing w:after="0" w:line="178"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Depending on the nature of work required to complete the project, we may choose to subcontract a portion of the project. In our industries, the prime contractor is often responsible for the performance of the entire contract, including subcontract work. Thus, we are subject to the risk associated with the failure of one or more subcontractors to perform as anticipated. In addition, in some cases, we pay our subcontractors before our customers pay us for the related services. If we choose, or are required, to pay our subcontractors for work performed for customers who fail to pay, or delay paying us for the related work, we could experience a material decrease in profitability and liquidity.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right="14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markets in which we operate or that otherwise impacts our facilities or suppliers could adversely impact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 pandemic, epidemic, or outbreak of an infectious disease including the recent outbreak of respiratory illness caused by a</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novel coronavirus (COVID-2019) first identified in Wuhan, Hubei Province, China, or other public health crisis were to affect our markets or facilities or those of our suppliers, our business could be adversely affected. Consequences of the coronavirus outbreak could result in disruptions in or restrictions on our ability to travel. If an infectious disease broke out at one or more of our vessels or facilities, our operations may be affected significantly, our productivity may be affected, our ability to complete projects in accordance with our contractual obligations may be affected, and we may incur increased labor and materials costs. If the shipyards with which we contract were affected by an outbreak of infectious disease, repairs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 Overall, the potential impact of a pandemic, epidemic or outbreak of an infectious disease with respect to our markets or our facilities is difficult to predict and could adversely impact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regarding fiscal, immigration, and other policies of the current U.S. Presidential administration may adversely affect our business.</w:t>
      </w:r>
    </w:p>
    <w:p>
      <w:pPr>
        <w:spacing w:after="0" w:line="14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current U.S. Presidential administration has called for changes to fiscal, immigration and other policies, which may include changes to infrastructure spending. We cannot predict the impact, if any, of these changes to our business. Until we know what changes are enacted and when, we will not know whether in total we benefit from, or are negatively affected by, such changes.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tariffs have resulted in increased prices and could adversely affect our business operations, revenues and profits.</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In recent years, the United States has imposed Section 232 tariffs and other import taxes on certain steel and aluminum products, such as imported dredge-related machinery and pipes. These tariffs and other import taxes have increased the prices of these inputs. Increased prices for imported steel and aluminum products have lead domestic sellers to respond with market-based increases to prices for such inputs as well. We cannot be sure of the ultimate effect such tariffs or any additional import taxes will have on our operating profits. If we are not able to pass these price increases on to our customers or to secure adequate alternative sources for such inputs on a timely basis, the tariffs and other import taxes may have a material adverse effect on our business operations, revenues and profits.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in the event of a work stoppage by our unionized labor force.</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are a party to numerous collective bargaining agreements in the U.S. that govern our industry’s relationships with our unionized hourly workforce. Two unions represent approximately 70% of our hourly dredging employees—the IUOE Local 25 and the Seafarers International Union. The Company’s master and ancillary contracts with IUOE Local 25 expire in September 2021. The Company’s master contract with Seafarers International Union expires in February 2023.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2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employees are covered by federal laws that may provide seagoing employees remedies for job-related claims in addition to those provided by state laws.</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Substantially all of our maritime employees are covered by provisions of the Jones Act, the U.S. Longshore and Harbor Workers’ Compensation Act, the Seaman’s Wage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w:t>
      </w:r>
    </w:p>
    <w:p>
      <w:pPr>
        <w:spacing w:after="0" w:line="2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is subject to significant operating risks and hazards that could result in damage or destruction to persons or property, which could result in losses or liabilities to us.</w:t>
      </w:r>
    </w:p>
    <w:p>
      <w:pPr>
        <w:spacing w:after="0" w:line="62"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dredging business is generally subject to a number of risks and hazards, including environmental hazards, industrial accidents, encountering unusual or unexpected geological formations, cave-ins below water levels, collisions, disruption of transportation services, flooding and unexploded ordnance. These risks could result in personal injury, damage to, or destruction of, dredges, barges transportation vessels, other maritime vessels, other structures, buildings or equipment, environmental damage, performance delays, monetary losses or legal liability to third parties. We may also be exposed to disruption of our operations, early termination of projects, unanticipated recovery costs and loss of use of our equipment that may materially adversely affect our business, results of operations, cash flows or financial condition.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2" w:name="page23"/>
    <w:bookmarkEnd w:id="22"/>
    <w:p>
      <w:pPr>
        <w:ind w:right="40" w:firstLine="518"/>
        <w:spacing w:after="0" w:line="255" w:lineRule="auto"/>
        <w:rPr>
          <w:sz w:val="20"/>
          <w:szCs w:val="20"/>
          <w:color w:val="auto"/>
        </w:rPr>
      </w:pPr>
      <w:r>
        <w:rPr>
          <w:rFonts w:ascii="Arial" w:cs="Arial" w:eastAsia="Arial" w:hAnsi="Arial"/>
          <w:sz w:val="18"/>
          <w:szCs w:val="18"/>
          <w:color w:val="auto"/>
        </w:rPr>
        <w:t>Our safety record is an important consideration for our customers. Some of our customers require that we maintain certain specified safety record guidelines to be eligible to bid for contracts with these customers. Furthermore, contract terms may provide for automatic termination or forfeiture of some of our contract revenue in the event that our safety record fails to adhere to agreed-upon guidelines during performance of the contract. As a result, if serious accidents or fatalities occur or our safety record was to deteriorate, we may be ineligible to bid on certain work, and existing contracts could be terminated or less profitable than expected. Adverse experience with hazards and claims could have a negative effect on our reputation with our existing or potential new customers and our prospects for future work.</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methods of accounting for recognizing revenue involve significant estimates and could result in a change in previously recorded revenue and profit.</w:t>
      </w:r>
    </w:p>
    <w:p>
      <w:pPr>
        <w:spacing w:after="0" w:line="15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recognize revenue on our projects using generally accepted accounting principles in the United States (“GAAP”) including the percentage-of-completion method prior to December 31, 2017 and guidance from Revenue from Contracts with Customers, as amended (commonly referred to as ASC 606) subsequent to year-end. The majority of our work is performed on a fixed-price basis. Contract revenue is recorded over time based on estimates which we develop from information known to us at the time of recording, but which may change.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coverage may not be adequate, and we may not be able to obtain insurance at acceptable rates, or at all.</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We may not have insurance coverage or sufficient insurance coverage for all exposures potentially arising from a project. Furthermore, in situations where there is insurance coverage, if multiple policies are involved, we may be subject to a number of self-retention or deductible amounts which in the aggregate could have an adverse effect on our business, results of operations, cash flows or financial condition. At any given time, we are subject to Jones Act personal injury claims and claims from general contractors and other third parties for personal injuries.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results of operations, cash flows or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adverse consequences if we are unable to attract and retain key personnel and skilled labor.</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Our ability to attract and retain reliable, qualified personnel is a significant factor that enables us to successfully bid for and profitably complete our work. This includes members of our board of directors,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 We may not be able to maintain an adequate skilled labor force necessary to operate efficiently and to support our growth strategy. We have from time to time experienced, and may in the future experience, shortages of certain types of qualified equipment operating personnel.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results of operations, cash flows or financial condition.</w:t>
      </w:r>
    </w:p>
    <w:p>
      <w:pPr>
        <w:spacing w:after="0" w:line="194"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In addition, any abrupt changes in our management or board of directors may lead to concerns regarding the direction or stability of our business, which may be exploited by our competitors, result in the loss of business opportunities, cause concern to our current or potential customers or suppliers, or make it more difficult to retain existing personnel or attract and retain new personnel. Changes in management or the board could be time-consuming, result in significant additional costs to us and could be disruptive of our operations and divert the time and attention of management and our employees away from our business operations and executing on our strategic plan. The unexpected loss of members of our board of directors or senior management team could be disruptive to our operations, jeopardize our ability to raise additional funding and have an adverse effect on our business. The failure of our directors or any new members of our board of directors or management to perform effectively could have a significant negative impact on our business, financial condition and results of operations.</w:t>
      </w:r>
    </w:p>
    <w:p>
      <w:pPr>
        <w:spacing w:after="0" w:line="3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systems to conduct our business and disruption, failure, data corruption, cyber-based attacks or security breaches of these systems could adversely affect our business and results of operations.</w:t>
      </w:r>
    </w:p>
    <w:p>
      <w:pPr>
        <w:spacing w:after="0" w:line="6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rely on information technology (IT) systems in order to achieve our business objectives, including to transmit and store electronic information, to capture knowledge of our business including vessel operation systems containing information about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right="40"/>
        <w:spacing w:after="0" w:line="288" w:lineRule="auto"/>
        <w:rPr>
          <w:sz w:val="20"/>
          <w:szCs w:val="20"/>
          <w:color w:val="auto"/>
        </w:rPr>
      </w:pPr>
      <w:r>
        <w:rPr>
          <w:rFonts w:ascii="Arial" w:cs="Arial" w:eastAsia="Arial" w:hAnsi="Arial"/>
          <w:sz w:val="16"/>
          <w:szCs w:val="16"/>
          <w:color w:val="auto"/>
        </w:rPr>
        <w:t>production, efficiency and vessel positioning, to conduct our accounting, financial and treasury activities, to store historical financial, project and proprietary information, to monitor our vessel maintenance and engine systems, and to communicate within the organization and with customers, suppliers, partners and other third parties. Our portfolio of hardware and software products, solutions and services and our enterprise IT systems may be vulnerable to damage or disruption caused by circumstances beyond our control such as catastrophic events, power outages, natural disasters and computer system or network failures. The Company’s IT systems may also be subject to cybersecurity attacks including malware, other computer viruses or malicious software, spoofing or phishing email attacks, attempts to gain unauthorized access to our data, the unauthorized release, corruption or loss of its data, loss or damage to its data delivery systems and other electronic security breaches.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and the loss of customers or suppliers. A significant disruption or failure could have a material adverse effect on our business, operating results, cash flows or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market or regulatory responses to climate change.</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Increased concern about the potential impact of greenhouse gases (GHG), such as carbon dioxide resulting from combustion of fossil fuels, on climate change has resulted in efforts to regulate their emission.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2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be unable to identify and contract with qualified Minority Business Enterprise (“MBE”) or Disadvantaged Business Enterprise (“DBE”) contractors to perform as subcontractors.</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Certain of our government agency projects contain goals for minimum MBE and/or DBE participation clauses. If we subsequently fail to reach our goals for the minimum MBE and/or DBE participation, we may be held responsible for breach of contract, which may include restrictions on our ability to bid on future projects as well as monetary damages. To the extent we are responsible for monetary damages, the total costs of the project could exceed our original estimates, we could experience reduced profits or a loss for that project and there could be a material adverse impact to our financial position, results of operations, cash flows and liquidity.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makes us more vulnerable to adverse economic and competitive conditions.</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We currently have a substantial amount of indebtedness. As of December 31, 2019, we had indebtedness of $325.0 million, consisting of $325.0 million of our senior subordinated notes. Currently, we have no borrowings on our revolving credit facility, but do have approximately $35.8 million of undrawn letters of credit, leaving $163.7 million of additional borrowing capacity under our revolving credit facility. These figures exclude contingent obligations, including $1.3 billion of performance bonds outstanding under the Company’s agreements with the Sureties and other bonding agreements. Our debt could:</w:t>
      </w:r>
    </w:p>
    <w:p>
      <w:pPr>
        <w:spacing w:after="0" w:line="80" w:lineRule="exact"/>
        <w:rPr>
          <w:sz w:val="20"/>
          <w:szCs w:val="20"/>
          <w:color w:val="auto"/>
        </w:rPr>
      </w:pPr>
    </w:p>
    <w:p>
      <w:pPr>
        <w:ind w:left="1040" w:right="6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affect our competitiveness compared to our less leveraged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exposure to both general and industry-specific adverse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among other things, our ability to borrow additional funds.</w:t>
      </w:r>
    </w:p>
    <w:p>
      <w:pPr>
        <w:spacing w:after="0" w:line="225"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We and our subsidiaries also may be able to incur substantial additional indebtedness in the future. The terms of our revolving credit facility and the indenture under which our senior subordinated notes are issued limit, but do not prohibit, us or our subsidiaries from incurring additional indebtedness. If new indebtedness is added to our current debt levels, the related risks that we and our subsidiaries now face could intensify.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Covenants in our financing arrangements limit, and other future financing agreements may limit, our ability to operate our business.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credit agreement governing our senior revolving credit facility, the indenture governing our senior notes and any of our other future financing agreements, may contain covenants imposing operating and financial restrictions on our business.</w:t>
      </w:r>
    </w:p>
    <w:p>
      <w:pPr>
        <w:spacing w:after="0" w:line="170"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For example, the credit agreement governing our senior revolving credit facility requires us to satisfy a fixed charge coverage ratio under certain circumstances. If we fail to satisfy such covenant, we would be in default and the lenders (through the administrative agent or collateral agent, as applicable) could elect to declare all amounts outstanding to be immediately due and payable, enforce their interests in the collateral pledged and/or restrict our ability to make additional borrowings, as applicable. The covenants in the credit agreement governing our senior revolving credit facility and the indenture governing our senior notes, subject to specified exceptions and to varying degrees, restrict our ability to, among other things:</w:t>
      </w:r>
    </w:p>
    <w:p>
      <w:pPr>
        <w:spacing w:after="0" w:line="64"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incur, assume or permit to exist any liens;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operating leases;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investments, loans and advancements;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 consolidate or reorganize with, or dispose of all or substantially all assets to, a third party;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 or redeem other indebtedness;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certain types of capital stock.</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These restrictions may interfere with our ability to obtain financings or to engage in other business activities, which could have a material adverse effect on our results of operations, cash flows or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affect our ability to meet liquidity needs, access to capital and cost of capital.</w:t>
      </w:r>
    </w:p>
    <w:p>
      <w:pPr>
        <w:spacing w:after="0" w:line="117"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w:t>
      </w:r>
    </w:p>
    <w:p>
      <w:pPr>
        <w:spacing w:after="0" w:line="124"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need liquidity to pay our operating expenses, interest on our debt and dividends on our capital stock. Without sufficient liquidity, we will be forced to curtail our operations, and our business will suffer. The principal sources of our liquidity are cash flow from operations and borrowings under our senior revolving credit facility. Earnings from our operations and our working capital requirements can vary significantly from period to period based primarily on the mix of our projects underway and the percentage of project work completed during the period. Capital expenditures may also vary significantly from period to period. While we manage cash requirements for working capital and capital expenditure needs, unpredictability in cash collections and payments has required us in the past and may require us to borrow on our line of credit from time to time to meet the needs of our operations.</w:t>
      </w:r>
    </w:p>
    <w:p>
      <w:pPr>
        <w:spacing w:after="0" w:line="165"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or expand our credit capacity, which would adversely affect our operations and business.</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We use credit facilities to support our working capital and acquisition needs. If we exhaust our borrowing capacity under our Amended Credit Agreement, and cash flows from operations do not increase sufficiently, our ability to fund the working capital, capital expenditure and other needs of our existing operations could be constrained and our business and results of operations could be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5" w:name="page26"/>
    <w:bookmarkEnd w:id="25"/>
    <w:p>
      <w:pPr>
        <w:ind w:right="60"/>
        <w:spacing w:after="0" w:line="276" w:lineRule="auto"/>
        <w:rPr>
          <w:sz w:val="20"/>
          <w:szCs w:val="20"/>
          <w:color w:val="auto"/>
        </w:rPr>
      </w:pPr>
      <w:r>
        <w:rPr>
          <w:rFonts w:ascii="Arial" w:cs="Arial" w:eastAsia="Arial" w:hAnsi="Arial"/>
          <w:sz w:val="17"/>
          <w:szCs w:val="17"/>
          <w:color w:val="auto"/>
        </w:rPr>
        <w:t>materially adversely affected. If we experience operational difficulties or our operating results do not improve, we may need to increase our available borrowing capacity or seek amendments to the terms of our Amended Credit Agreement. Our Amended Credit Agreement is scheduled to expire on May 3, 2024. There can be no assurance that we will be able to refinance the Amended Credit Agreement on commercially reasonable terms or at all, or that we will be able to secure any additional capacity or amend our Amended Credit Agreement or to do so on terms that are acceptable to us, in which case, our costs of borrowing could rise and our business and results of operations could be materially adversely affected.</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requirements for derivative transactions could have an adverse impact on our ability to hedge risks associated with our business.</w:t>
      </w:r>
    </w:p>
    <w:p>
      <w:pPr>
        <w:spacing w:after="0" w:line="14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(“Dodd-Frank”) and regulations adopted by a number of U.S. federal regulatory agencies created a comprehensive statutory and regulatory framework for derivative transactions, including foreign currency and other over-the-counter derivative hedging transactions. While a number of provisions of Dodd-Frank have been implemented, certain key provisions have not yet been implemented or remain subject to uncertainty. Furthermore, certain provisions of Dodd-Frank may be modified or repealed in the future. Any substantial change in the financial regulatory environment could create additional new compliance costs for us or cause us to alter the manner in which we manage risk, which could have a materially adverse effect on our business. The rules adopted or to be adopted under Dodd-Frank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are required to comply with extensive regulation under Dodd-Frank. The cost of our counterparties’ compliance will likely be passed on to customers such as ourselves, thus potentially decreasing the benefits to us of hedging transactions and potentially reducing our profitability.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foreign exchange risks, and improper management of that risk could result in large cash losses.</w:t>
      </w:r>
    </w:p>
    <w:p>
      <w:pPr>
        <w:spacing w:after="0" w:line="117"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color w:val="auto"/>
        </w:rPr>
        <w:t>We are exposed to market risk associated with changes in foreign currency exchange rates. The primary foreign currency to which the Company has exposure is the Bahraini dinar.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The value of the Bahraini dinar has historically been pegged to the value of the U.S. dollar, which has effectively eliminated the foreign currency risk with respect to that currency. However, if the Bahraini dinar were no longer to be so pegged, whether due to civil unrest in Bahrain or otherwise, the Company could become subject to additional, and substantial, foreign currency risk.</w:t>
      </w:r>
    </w:p>
    <w:p>
      <w:pPr>
        <w:spacing w:after="0" w:line="2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macroeconomic indicators, the overall business climate, and other factors could lead to our goodwill and other intangible assets becoming impaired, which may require us to take significant non-cash charges against earnings.</w:t>
      </w:r>
    </w:p>
    <w:p>
      <w:pPr>
        <w:spacing w:after="0" w:line="6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cash flows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results of operations, cash flows or financial condition.</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made and may continue to make debt or equity investments in privately financed projects in, or may accept extended payment terms for, privately financed projects in which we could sustain significant losses.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have participated and may continue to participate in privately financed projects that enable state and local governments and other customers to finance dredging, such as dredging of local navigable waterways and lakes, coastal protection and infrastructure projects. These projects typically include the facilitation of non-recourse financing and the provision of dredging, environmental, infrastructure, and related services. We may incur contractually reimbursable costs and may accept extended payment terms, extend debt financing and/or make an equity investment in an entity prior to, in connection with, or as part of project financing, and in some cases we may be the sole or primary source of the project financing. Project financing may also involve the use of real estate, environmental, wetlands or similar credits.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or sale of the aforementioned credits, which may not be under our control. As a result, we could sustain a loss of part or all of our equity investments in such projects or have to recognize the value of the credits at a lower amount than expected in the contract bid.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ind w:left="4700"/>
        <w:spacing w:after="0"/>
        <w:rPr>
          <w:sz w:val="20"/>
          <w:szCs w:val="20"/>
          <w:color w:val="auto"/>
        </w:rPr>
      </w:pPr>
      <w:r>
        <w:rPr>
          <w:rFonts w:ascii="Arial" w:cs="Arial" w:eastAsia="Arial" w:hAnsi="Arial"/>
          <w:sz w:val="18"/>
          <w:szCs w:val="18"/>
          <w:b w:val="1"/>
          <w:bCs w:val="1"/>
          <w:color w:val="auto"/>
        </w:rPr>
        <w:t>Risks Related to our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subject to restrictions on foreign ownership.</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he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our charter documents may impede or discourage a takeover that you may consider favorable.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provisions of our certificate of incorporation and bylaws may deter, delay or prevent a third-party from acquiring us. These provisions include:</w:t>
      </w:r>
    </w:p>
    <w:p>
      <w:pPr>
        <w:spacing w:after="0" w:line="140"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the ability of stockholders to amend our charter documents, including stockholder supermajority voting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the board of directors and for stockholder proposals; and</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70"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8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stockholders may not receive dividends because of restrictions in our debt agreements, Delaware law and state regulatory requirements.</w:t>
      </w:r>
    </w:p>
    <w:p>
      <w:pPr>
        <w:spacing w:after="0" w:line="14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ability to pay dividends is restricted by the agreements governing our debt, including our Amended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fluctuate significantly, and this may make it difficult for holders to resell our common stock when they want or at prices that they find attractive.</w:t>
      </w:r>
    </w:p>
    <w:p>
      <w:pPr>
        <w:spacing w:after="0" w:line="62"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73"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7" w:name="page28"/>
    <w:bookmarkEnd w:id="27"/>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strategic developments, significant contracts, acquisitions and other material events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economy and the financial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political instability, civil unrest or military conflicts.</w:t>
      </w:r>
    </w:p>
    <w:p>
      <w:pPr>
        <w:spacing w:after="0" w:line="225"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181" w:lineRule="exact"/>
        <w:rPr>
          <w:sz w:val="20"/>
          <w:szCs w:val="20"/>
          <w:color w:val="auto"/>
        </w:rPr>
      </w:pPr>
    </w:p>
    <w:p>
      <w:pPr>
        <w:jc w:val="both"/>
        <w:ind w:right="180" w:firstLine="518"/>
        <w:spacing w:after="0" w:line="288" w:lineRule="auto"/>
        <w:rPr>
          <w:sz w:val="20"/>
          <w:szCs w:val="20"/>
          <w:color w:val="auto"/>
        </w:rPr>
      </w:pPr>
      <w:r>
        <w:rPr>
          <w:rFonts w:ascii="Arial" w:cs="Arial" w:eastAsia="Arial" w:hAnsi="Arial"/>
          <w:sz w:val="16"/>
          <w:szCs w:val="16"/>
          <w:color w:val="auto"/>
        </w:rPr>
        <w:t>Volatility in the financial markets could cause a decline in our stock price, which could trigger an impairment of the goodwill of individual reporting units that could be material to our consolidated financial statements. A significant drop in the price of our stock could also expose us to the risk of securities class action lawsuits, which could result in substantial costs and divert management's attention and resources, which could adversely affect our business.</w:t>
      </w:r>
    </w:p>
    <w:p>
      <w:pPr>
        <w:ind w:right="520"/>
        <w:spacing w:after="0" w:line="261" w:lineRule="auto"/>
        <w:rPr>
          <w:sz w:val="20"/>
          <w:szCs w:val="20"/>
          <w:color w:val="auto"/>
        </w:rPr>
      </w:pPr>
      <w:r>
        <w:rPr>
          <w:rFonts w:ascii="Arial" w:cs="Arial" w:eastAsia="Arial" w:hAnsi="Arial"/>
          <w:sz w:val="18"/>
          <w:szCs w:val="18"/>
          <w:color w:val="auto"/>
        </w:rPr>
        <w:t>Additionally, volatility or a lack of positive performance in our stock price may adversely affect our ability to retain key employees, many of whom are awarded equity securities, the value of which is dependent on the performance of our stock price.</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owns or leases the properties described below. The Company believes that its existing facilities are adequate for its operations.</w:t>
      </w:r>
    </w:p>
    <w:p>
      <w:pPr>
        <w:spacing w:after="0" w:line="237"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The Company’s headquarters are located at 2122 York Road, Oak Brook, Illinois 60523, with approximately 61,994 square feet of office space that it leases with a term expiring in 2020. As of December 31, 2019 the Company owns or leases the following additional facilities: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4"/>
                <w:szCs w:val="14"/>
                <w:color w:val="auto"/>
              </w:rPr>
            </w:pPr>
          </w:p>
        </w:tc>
        <w:tc>
          <w:tcPr>
            <w:tcW w:w="1720" w:type="dxa"/>
            <w:vAlign w:val="bottom"/>
            <w:gridSpan w:val="2"/>
          </w:tcPr>
          <w:p>
            <w:pPr>
              <w:ind w:left="500"/>
              <w:spacing w:after="0"/>
              <w:rPr>
                <w:sz w:val="20"/>
                <w:szCs w:val="20"/>
                <w:color w:val="auto"/>
              </w:rPr>
            </w:pPr>
            <w:r>
              <w:rPr>
                <w:rFonts w:ascii="Arial" w:cs="Arial" w:eastAsia="Arial" w:hAnsi="Arial"/>
                <w:sz w:val="14"/>
                <w:szCs w:val="14"/>
                <w:b w:val="1"/>
                <w:bCs w:val="1"/>
                <w:color w:val="auto"/>
              </w:rPr>
              <w:t>Type of</w:t>
            </w:r>
          </w:p>
        </w:tc>
        <w:tc>
          <w:tcPr>
            <w:tcW w:w="1340" w:type="dxa"/>
            <w:vAlign w:val="bottom"/>
          </w:tcPr>
          <w:p>
            <w:pPr>
              <w:spacing w:after="0"/>
              <w:rPr>
                <w:sz w:val="14"/>
                <w:szCs w:val="14"/>
                <w:color w:val="auto"/>
              </w:rPr>
            </w:pPr>
          </w:p>
        </w:tc>
        <w:tc>
          <w:tcPr>
            <w:tcW w:w="2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Size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Leased or</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ind w:left="500"/>
              <w:spacing w:after="0"/>
              <w:rPr>
                <w:sz w:val="20"/>
                <w:szCs w:val="20"/>
                <w:color w:val="auto"/>
              </w:rPr>
            </w:pPr>
            <w:r>
              <w:rPr>
                <w:rFonts w:ascii="Arial" w:cs="Arial" w:eastAsia="Arial" w:hAnsi="Arial"/>
                <w:sz w:val="14"/>
                <w:szCs w:val="14"/>
                <w:b w:val="1"/>
                <w:bCs w:val="1"/>
                <w:color w:val="auto"/>
              </w:rPr>
              <w:t>Facility</w:t>
            </w:r>
          </w:p>
        </w:tc>
        <w:tc>
          <w:tcPr>
            <w:tcW w:w="134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Staten Island, NY</w:t>
            </w:r>
          </w:p>
        </w:tc>
        <w:tc>
          <w:tcPr>
            <w:tcW w:w="2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Yard</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180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Acres</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Morgan City, LA</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Yard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080" w:type="dxa"/>
            <w:vAlign w:val="bottom"/>
            <w:gridSpan w:val="2"/>
          </w:tcPr>
          <w:p>
            <w:pPr>
              <w:ind w:left="16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Norfolk, VA</w:t>
            </w:r>
          </w:p>
        </w:tc>
        <w:tc>
          <w:tcPr>
            <w:tcW w:w="19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Yard</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15.3</w:t>
            </w:r>
          </w:p>
        </w:tc>
        <w:tc>
          <w:tcPr>
            <w:tcW w:w="2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Acres</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Channelview, TX</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Office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1,302</w:t>
            </w:r>
          </w:p>
        </w:tc>
        <w:tc>
          <w:tcPr>
            <w:tcW w:w="2080" w:type="dxa"/>
            <w:vAlign w:val="bottom"/>
            <w:gridSpan w:val="2"/>
          </w:tcPr>
          <w:p>
            <w:pPr>
              <w:ind w:left="16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Cape Girardeau, MO</w:t>
            </w:r>
          </w:p>
        </w:tc>
        <w:tc>
          <w:tcPr>
            <w:tcW w:w="19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Office</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726</w:t>
            </w:r>
          </w:p>
        </w:tc>
        <w:tc>
          <w:tcPr>
            <w:tcW w:w="2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Cape Girardeau, MO</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Storage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7,200</w:t>
            </w:r>
          </w:p>
        </w:tc>
        <w:tc>
          <w:tcPr>
            <w:tcW w:w="2080" w:type="dxa"/>
            <w:vAlign w:val="bottom"/>
            <w:gridSpan w:val="2"/>
          </w:tcPr>
          <w:p>
            <w:pPr>
              <w:ind w:left="16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Cape Girardeau, MO</w:t>
            </w:r>
          </w:p>
        </w:tc>
        <w:tc>
          <w:tcPr>
            <w:tcW w:w="19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Yard</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18.4</w:t>
            </w:r>
          </w:p>
        </w:tc>
        <w:tc>
          <w:tcPr>
            <w:tcW w:w="2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Acres</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Orange Park, FL</w:t>
            </w:r>
          </w:p>
        </w:tc>
        <w:tc>
          <w:tcPr>
            <w:tcW w:w="1920" w:type="dxa"/>
            <w:vAlign w:val="bottom"/>
            <w:gridSpan w:val="3"/>
          </w:tcPr>
          <w:p>
            <w:pPr>
              <w:ind w:left="200"/>
              <w:spacing w:after="0"/>
              <w:rPr>
                <w:sz w:val="20"/>
                <w:szCs w:val="20"/>
                <w:color w:val="auto"/>
              </w:rPr>
            </w:pPr>
            <w:r>
              <w:rPr>
                <w:rFonts w:ascii="Arial" w:cs="Arial" w:eastAsia="Arial" w:hAnsi="Arial"/>
                <w:sz w:val="18"/>
                <w:szCs w:val="18"/>
                <w:color w:val="auto"/>
              </w:rPr>
              <w:t>Office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2080" w:type="dxa"/>
            <w:vAlign w:val="bottom"/>
            <w:gridSpan w:val="2"/>
          </w:tcPr>
          <w:p>
            <w:pPr>
              <w:ind w:left="16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Oakbrook Terrace, IL</w:t>
            </w:r>
          </w:p>
        </w:tc>
        <w:tc>
          <w:tcPr>
            <w:tcW w:w="19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Office</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13,771</w:t>
            </w:r>
          </w:p>
        </w:tc>
        <w:tc>
          <w:tcPr>
            <w:tcW w:w="20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July 9, 2019, the Company finalized a Consent Order with the Florida Department of Environmental Protection regarding the previously disclosed alleged impacts to a seagrass habitat in connection with a project in Charlotte County, Florida. The Company has since completed the required mitigation planting pursuant to the Consent Order. The Company has also committed to certain monitoring and re-planting costs that are expected to total less than $100 thousand.</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For additional discussion of certain litigation involving the Company, see the disclosures under “Legal proceedings and other contingencies” included within Note 13, “Commitments and contingencies,” to the Company’s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6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Arial" w:cs="Arial" w:eastAsia="Arial" w:hAnsi="Arial"/>
          <w:sz w:val="18"/>
          <w:szCs w:val="18"/>
          <w:color w:val="auto"/>
        </w:rPr>
        <w:t>Our common stock is traded under the symbol “GLDD” on the NASDAQ Global Market.</w:t>
      </w:r>
    </w:p>
    <w:p>
      <w:pPr>
        <w:spacing w:after="0" w:line="225"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The graph below shows the cumulative total return to stockholders of the Company’s common stock during a five year period ended December 31, 2019, the last trading day of our 2019 fiscal year, compared with the return on the NASDAQ Composite Index and a group of our peers which we use internally as a benchmark for our performance. The graph assumes initial investments of $100 each on December 31, 2014, in GLDD stock (assuming reinvestment of all dividends paid during the period), the NASDAQ Composite Index and the peer group companies,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107315</wp:posOffset>
            </wp:positionV>
            <wp:extent cx="6097270" cy="4416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7270" cy="441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12/31/2014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12/31/2015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12/31/2016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12/31/2017</w:t>
            </w: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12/31/2018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auto"/>
                <w:w w:val="91"/>
              </w:rPr>
              <w:t>12/31/2019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Great Lakes Dredge &amp; Dock Corp</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Peer Average (see below)</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NASDAQ Composite Index</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color w:val="auto"/>
        </w:rPr>
        <w:t>The peer group in the graph above is comprised of the following member companies: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38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Ticker</w:t>
            </w:r>
          </w:p>
        </w:tc>
      </w:tr>
      <w:tr>
        <w:trPr>
          <w:trHeight w:val="223"/>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Aegion Corporation, successor to Insituform Technologies, Inc.</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20"/>
                <w:szCs w:val="20"/>
                <w:color w:val="auto"/>
              </w:rPr>
            </w:pPr>
            <w:r>
              <w:rPr>
                <w:rFonts w:ascii="Arial" w:cs="Arial" w:eastAsia="Arial" w:hAnsi="Arial"/>
                <w:sz w:val="18"/>
                <w:szCs w:val="18"/>
                <w:color w:val="auto"/>
              </w:rPr>
              <w:t>AEGN</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Ameresco</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AMRC</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Badger Daylighting Ltd</w:t>
            </w:r>
          </w:p>
        </w:tc>
        <w:tc>
          <w:tcPr>
            <w:tcW w:w="15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BADFF</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Hill International</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HIL</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IES Holdings</w:t>
            </w:r>
          </w:p>
        </w:tc>
        <w:tc>
          <w:tcPr>
            <w:tcW w:w="15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IESC</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Layne Christensen Company (prior to merger with Granite Construction Inc. on June 14, 2018)</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LAYN</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Logistec Corporation</w:t>
            </w:r>
          </w:p>
        </w:tc>
        <w:tc>
          <w:tcPr>
            <w:tcW w:w="15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LGT</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Matrix Service Company</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MTRX</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Mistras Group</w:t>
            </w:r>
          </w:p>
        </w:tc>
        <w:tc>
          <w:tcPr>
            <w:tcW w:w="15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MG</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MYR Group Inc.</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MYRG</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NV5 Global Inc</w:t>
            </w:r>
          </w:p>
        </w:tc>
        <w:tc>
          <w:tcPr>
            <w:tcW w:w="15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NVEE</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Orion Marine Group, Inc.</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ORN</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Sterling Construction Company, Inc.</w:t>
            </w:r>
          </w:p>
        </w:tc>
        <w:tc>
          <w:tcPr>
            <w:tcW w:w="15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STRL</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Team, Inc.</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TISI</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Willbros Group, Inc. (prior to merger with Primoris Services Corporation on June 4, 2018)</w:t>
            </w:r>
          </w:p>
        </w:tc>
        <w:tc>
          <w:tcPr>
            <w:tcW w:w="15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WG</w:t>
            </w: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Willdan Group, Inc.</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WLDN</w:t>
            </w:r>
          </w:p>
        </w:tc>
      </w:tr>
    </w:tbl>
    <w:p>
      <w:pPr>
        <w:spacing w:after="0" w:line="228" w:lineRule="exact"/>
        <w:rPr>
          <w:sz w:val="20"/>
          <w:szCs w:val="20"/>
          <w:color w:val="auto"/>
        </w:rPr>
      </w:pPr>
    </w:p>
    <w:p>
      <w:pPr>
        <w:ind w:right="600" w:firstLine="518"/>
        <w:spacing w:after="0" w:line="308" w:lineRule="auto"/>
        <w:rPr>
          <w:sz w:val="20"/>
          <w:szCs w:val="20"/>
          <w:color w:val="auto"/>
        </w:rPr>
      </w:pPr>
      <w:r>
        <w:rPr>
          <w:rFonts w:ascii="Arial" w:cs="Arial" w:eastAsia="Arial" w:hAnsi="Arial"/>
          <w:sz w:val="17"/>
          <w:szCs w:val="17"/>
          <w:color w:val="auto"/>
        </w:rPr>
        <w:t>Given the usage of this peer group for compensation purposes and the fact that each peer is a capital intensive business, the Company deems it appropriate to also use this peer group for showing the comparative cumulative total return to stockholders of Great Lakes.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As of February 21, 2020, the Company had approximately 23 shareholders of record of the Company’s common stock. A substantial number of holders of the Company’s common stock are “street name” or beneficial holders, whose shares are held of record by banks, brokers and other financial institutions.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does not currently pay dividends to its common stockholders.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30" w:name="page31"/>
    <w:bookmarkEnd w:id="30"/>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following table sets forth selected financial data and should be read in conjunction with Item 7. “Management’s Discussion and Analysis of Financial Condition and Results of Operations” and the Company’s audited consolidated financial statements and notes thereto included elsewhere in this annual report. The selected financial data presented below have been derived from the Company’s consolidated financial statements; items may not sum due to rounding.</w:t>
      </w:r>
    </w:p>
    <w:p>
      <w:pPr>
        <w:spacing w:after="0" w:line="260" w:lineRule="exact"/>
        <w:rPr>
          <w:sz w:val="20"/>
          <w:szCs w:val="20"/>
          <w:color w:val="auto"/>
        </w:rPr>
      </w:pPr>
    </w:p>
    <w:tbl>
      <w:tblPr>
        <w:tblLayout w:type="fixed"/>
        <w:tblInd w:w="528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9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r>
    </w:tbl>
    <w:p>
      <w:pPr>
        <w:spacing w:after="0" w:line="4"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(in millions except shares in thousands and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Contract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711.5</w:t>
            </w:r>
          </w:p>
        </w:tc>
        <w:tc>
          <w:tcPr>
            <w:tcW w:w="14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620.8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592.2</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637.5</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 — net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240"/>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 net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w w:val="94"/>
              </w:rPr>
              <w:t>Basic earnings (loss) per share attributable to income from continuing</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operations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2"/>
              </w:rPr>
              <w:t>Basic loss per share attributable to loss on discontinued operations, net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of income taxes</w:t>
            </w: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earnings (loss) per share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Diluted earnings (loss) per share attributable to income from</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continuing operations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w w:val="95"/>
              </w:rPr>
              <w:t>Diluted loss per share attributable to loss on discontinued operations,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of income taxes</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63,607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6"/>
          </w:tcPr>
          <w:p>
            <w:pPr>
              <w:jc w:val="center"/>
              <w:ind w:left="491"/>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Data:</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Adjusted EBITDA from continuing operations (2)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Maintenance expense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1"/>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1" w:name="page32"/>
    <w:bookmarkEnd w:id="31"/>
    <w:p>
      <w:pPr>
        <w:ind w:left="520" w:right="60" w:hanging="512"/>
        <w:spacing w:after="0" w:line="25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 to Note 2, “Earnings per share,” in the Company’s consolidated financial statements for the years ended December 31, 2019, 2018 and 2017 and above information for additional details regarding these calculations.</w:t>
      </w:r>
    </w:p>
    <w:p>
      <w:pPr>
        <w:spacing w:after="0" w:line="1"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definition of Adjusted EBITDA from continuing operations in Item 7.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04"/>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54"/>
              <w:spacing w:after="0"/>
              <w:rPr>
                <w:sz w:val="20"/>
                <w:szCs w:val="20"/>
                <w:color w:val="auto"/>
              </w:rPr>
            </w:pPr>
            <w:r>
              <w:rPr>
                <w:rFonts w:ascii="Arial" w:cs="Arial" w:eastAsia="Arial" w:hAnsi="Arial"/>
                <w:sz w:val="16"/>
                <w:szCs w:val="16"/>
                <w:color w:val="auto"/>
                <w:w w:val="98"/>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Sheet Data:</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187.0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15.9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96.8</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111.9</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127.4</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897.6</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730.3</w:t>
            </w:r>
          </w:p>
        </w:tc>
        <w:tc>
          <w:tcPr>
            <w:tcW w:w="260" w:type="dxa"/>
            <w:vAlign w:val="bottom"/>
          </w:tcPr>
          <w:p>
            <w:pPr>
              <w:spacing w:after="0"/>
              <w:rPr>
                <w:sz w:val="19"/>
                <w:szCs w:val="19"/>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832.4</w:t>
            </w:r>
          </w:p>
        </w:tc>
        <w:tc>
          <w:tcPr>
            <w:tcW w:w="3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893.6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898.1</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Long-term debt, promissory notes and subordinated notes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322.8</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428.1</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390.4</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279.4</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214.9</w:t>
            </w:r>
          </w:p>
        </w:tc>
        <w:tc>
          <w:tcPr>
            <w:tcW w:w="260" w:type="dxa"/>
            <w:vAlign w:val="bottom"/>
          </w:tcPr>
          <w:p>
            <w:pPr>
              <w:spacing w:after="0"/>
              <w:rPr>
                <w:sz w:val="20"/>
                <w:szCs w:val="20"/>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221.3</w:t>
            </w:r>
          </w:p>
        </w:tc>
        <w:tc>
          <w:tcPr>
            <w:tcW w:w="30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247.9</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2" w:name="page33"/>
    <w:bookmarkEnd w:id="32"/>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Great Lakes is the largest provider of dredging services in the United States. In addition, the Company has a long history of performing significant international projects. The Company operates in one reportable segment.</w:t>
      </w:r>
    </w:p>
    <w:p>
      <w:pPr>
        <w:spacing w:after="0" w:line="170"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Coastal protection projects generally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or severe erosion and drive the need for maintenance and coastal protection dredging. Rivers &amp; lakes dredging and related operations typically consist of lake and river dredging, flood control dredging, inland levee and construction dredging, environmental restoration and habitat improvement and other marine construction projects.</w:t>
      </w:r>
    </w:p>
    <w:p>
      <w:pPr>
        <w:spacing w:after="0" w:line="18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During the second quarter of 2019, the Company completed the sale of our historical environmental &amp; infrastructure business. The historical environmental &amp; infrastructure segment has been retrospectively presented as discontinued operations and assets and liabilities held for sale and is no longer reflected in continuing operations. Refer to Note 14, “Business dispositions,” to our consolidated financial statements included in Item 15 of this Annual Report on Form 10-K.</w:t>
      </w:r>
    </w:p>
    <w:p>
      <w:pPr>
        <w:spacing w:after="0" w:line="18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Company’s bid market is defined as the aggregate dollar value of domestic dredging projects on which we bid or could have bid if not for capacity constraints or other considerations (“bid market”). We experienced an average combined bid market share in the U.S. of 42% over the prior three years, including 62%, 50%, 18% and 33% of the domestic capital, coastal protection, maintenance and rivers &amp; lakes sectors, respectively.</w:t>
      </w:r>
    </w:p>
    <w:p>
      <w:pPr>
        <w:spacing w:after="0" w:line="166"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Company’s fleet, which includes 22 dredges, of which two are deployed internationally, 14 material transportation barges, one drillboat, and numerous other support vessels, is the largest and most diverse fleet of any U.S. dredging company. Our fleet of dredging equipment can be utilized on one or many types of work and in various geographic locations. This flexible approach to our fleet utilization, driven by the project scope and equipment, enables us to move equipment in response to changes in demand for dredging services to take advantage of the most attractive opportunities.</w:t>
      </w:r>
    </w:p>
    <w:p>
      <w:pPr>
        <w:spacing w:after="0" w:line="154"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Company’s largest domestic customer is the U.S. Army Corps of Engineers (the “Corps”), which has responsibility for federally funded projects related to navigation and flood control of U.S. waterways. Multi-jurisdictional cost sharing arrangements are allowing the Corps to utilize funds from 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our customer. In 2019, our revenues earned from contracts with federal government agencies were approximately 82% of total revenue, up from our prior three year average of 68%.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121"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contractors will bid.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ind w:right="20" w:firstLine="518"/>
        <w:spacing w:after="0" w:line="287" w:lineRule="auto"/>
        <w:rPr>
          <w:sz w:val="20"/>
          <w:szCs w:val="20"/>
          <w:color w:val="auto"/>
        </w:rPr>
      </w:pPr>
      <w:r>
        <w:rPr>
          <w:rFonts w:ascii="Arial" w:cs="Arial" w:eastAsia="Arial" w:hAnsi="Arial"/>
          <w:sz w:val="16"/>
          <w:szCs w:val="16"/>
          <w:color w:val="auto"/>
        </w:rPr>
        <w:t>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 We capitalize certain pre-contract and pre-construction costs, and defer recognition over the life of the contract. Our performance obligations are satisfied over time and revenue is recognized using contract fulfillment costs incurred to date compared to total estimated costs at completion, also known as cost-to-cost, to measure progress towards completion. Contract modifications are changes in the scope or price (or both) of a contract that are approved by the parties to the contract. We recognize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our contracts are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our relationships with our unionized hourly workforce.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results of operations for a calendar or quarterly period are generally determined by the following three factors:</w:t>
      </w:r>
    </w:p>
    <w:p>
      <w:pPr>
        <w:spacing w:after="0" w:line="117" w:lineRule="exact"/>
        <w:rPr>
          <w:sz w:val="20"/>
          <w:szCs w:val="20"/>
          <w:color w:val="auto"/>
        </w:rPr>
      </w:pPr>
    </w:p>
    <w:p>
      <w:pPr>
        <w:ind w:left="1040" w:right="60" w:hanging="519"/>
        <w:spacing w:after="0" w:line="293"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Bid wins and dredge employment</w:t>
      </w:r>
      <w:r>
        <w:rPr>
          <w:rFonts w:ascii="Arial" w:cs="Arial" w:eastAsia="Arial" w:hAnsi="Arial"/>
          <w:sz w:val="16"/>
          <w:szCs w:val="16"/>
          <w:color w:val="auto"/>
        </w:rPr>
        <w:t>— Great Lakes recognizes backlog upon a project being awarded. We begin to recognize revenues when a</w:t>
      </w:r>
      <w:r>
        <w:rPr>
          <w:rFonts w:ascii="Arial" w:cs="Arial" w:eastAsia="Arial" w:hAnsi="Arial"/>
          <w:sz w:val="16"/>
          <w:szCs w:val="16"/>
          <w:i w:val="1"/>
          <w:iCs w:val="1"/>
          <w:color w:val="auto"/>
        </w:rPr>
        <w:t xml:space="preserve"> </w:t>
      </w:r>
      <w:r>
        <w:rPr>
          <w:rFonts w:ascii="Arial" w:cs="Arial" w:eastAsia="Arial" w:hAnsi="Arial"/>
          <w:sz w:val="16"/>
          <w:szCs w:val="16"/>
          <w:color w:val="auto"/>
        </w:rPr>
        <w:t>dredging contract commences a major activity on the project. The period prior to the commencement of a major activity for dredging projects can range from 45 days to six months depending on the complexity of the project and environmental work windows. Although our dredging fleet is subject to downtime for scheduled periodic maintenance and regulatory dry dockings, we seek to maximize our revenues by employing our dredging fleet on a full-time basis. If a dredge is idle (i.e., the dredge is not employed on a dredging project or undergoing scheduled periodic maintenance and repair), we do not earn revenue with respect to that dredge during the time period for which it is idle.</w:t>
      </w:r>
    </w:p>
    <w:p>
      <w:pPr>
        <w:spacing w:after="0" w:line="56" w:lineRule="exact"/>
        <w:rPr>
          <w:rFonts w:ascii="Arial" w:cs="Arial" w:eastAsia="Arial" w:hAnsi="Arial"/>
          <w:sz w:val="16"/>
          <w:szCs w:val="16"/>
          <w:color w:val="auto"/>
        </w:rPr>
      </w:pPr>
    </w:p>
    <w:p>
      <w:pPr>
        <w:ind w:left="1040" w:right="120" w:hanging="519"/>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Project and dredge mix </w:t>
      </w:r>
      <w:r>
        <w:rPr>
          <w:rFonts w:ascii="Arial" w:cs="Arial" w:eastAsia="Arial" w:hAnsi="Arial"/>
          <w:sz w:val="18"/>
          <w:szCs w:val="18"/>
          <w:color w:val="auto"/>
        </w:rPr>
        <w:t>— The Company’s domestic dredging projects generally involve capital, maintenance, coastal protection and rivers &amp;</w:t>
      </w:r>
      <w:r>
        <w:rPr>
          <w:rFonts w:ascii="Arial" w:cs="Arial" w:eastAsia="Arial" w:hAnsi="Arial"/>
          <w:sz w:val="18"/>
          <w:szCs w:val="18"/>
          <w:i w:val="1"/>
          <w:iCs w:val="1"/>
          <w:color w:val="auto"/>
        </w:rPr>
        <w:t xml:space="preserve"> </w:t>
      </w:r>
      <w:r>
        <w:rPr>
          <w:rFonts w:ascii="Arial" w:cs="Arial" w:eastAsia="Arial" w:hAnsi="Arial"/>
          <w:sz w:val="18"/>
          <w:szCs w:val="18"/>
          <w:color w:val="auto"/>
        </w:rPr>
        <w:t>lakes work, while our foreign dredging projects generally involve capital work. In addition, our projects vary in duration which is generally driven by the type of work undertaken. In general, projects of longer duration result in less dredge downtime in a given period. For example, capital deepening projects generally span several years due to their complexity and environmental windows. Moreover, our dredges have different physical performance capabilities and typically work on certain types of dredging projects. Accordingly, our dredges have different daily revenue generating capacities.</w:t>
      </w:r>
    </w:p>
    <w:p>
      <w:pPr>
        <w:spacing w:after="0" w:line="85" w:lineRule="exact"/>
        <w:rPr>
          <w:rFonts w:ascii="Arial" w:cs="Arial" w:eastAsia="Arial" w:hAnsi="Arial"/>
          <w:sz w:val="18"/>
          <w:szCs w:val="18"/>
          <w:color w:val="auto"/>
        </w:rPr>
      </w:pPr>
    </w:p>
    <w:p>
      <w:pPr>
        <w:ind w:left="1040"/>
        <w:spacing w:after="0" w:line="271" w:lineRule="auto"/>
        <w:rPr>
          <w:rFonts w:ascii="Arial" w:cs="Arial" w:eastAsia="Arial" w:hAnsi="Arial"/>
          <w:sz w:val="18"/>
          <w:szCs w:val="18"/>
          <w:color w:val="auto"/>
        </w:rPr>
      </w:pPr>
      <w:r>
        <w:rPr>
          <w:rFonts w:ascii="Arial" w:cs="Arial" w:eastAsia="Arial" w:hAnsi="Arial"/>
          <w:sz w:val="17"/>
          <w:szCs w:val="17"/>
          <w:color w:val="auto"/>
        </w:rPr>
        <w:t>We generally expect to achieve different levels of gross profit margin (i.e., gross profit divided by revenues) for work performed on the different types of dredging projects and for work performed by different types of dredges. Our expected gross margin for a project is based upon our estimates at the time of the bid. Although we seek to bid on and win projects that will maximize our gross margin, we cannot control the type of dredging projects that are available for bid from time to time, the type of dredge that is needed to complete these projects, the competitive landscape at the time of bid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we work on a mix of dredging projects that, in the aggregate, have relatively low expected gross margins (based on project type and dredges employed).</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ind w:left="1040" w:hanging="519"/>
        <w:spacing w:after="0" w:line="273"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Project execution</w:t>
      </w:r>
      <w:r>
        <w:rPr>
          <w:rFonts w:ascii="Arial" w:cs="Arial" w:eastAsia="Arial" w:hAnsi="Arial"/>
          <w:sz w:val="17"/>
          <w:szCs w:val="17"/>
          <w:color w:val="auto"/>
        </w:rPr>
        <w:t>—The Company seeks to execute all of our projects consistent with or at a higher production than our as-bid project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our ability to achieve our project estimates depends upon many factors including soil conditions, weather, variances from estimated project conditions, equipment mobilization time periods, unplanned equipment downtime or other events or circumstances beyond our control. If we experience any of these events and circumstances, the completion of a project will often be accelerated or delayed, as applicable, and, consequently, we will experience project results that are better or worse than our estimates. We do our best to estimate for events and circumstances that are not within our control; however, these situations are inherent in dredging.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Company’s significant accounting policies are discussed in the Notes to our consolidated financial statements included in Item 15 of this Annual Report on Form 10-K. The application of certain of these policies requires significant judgments or an estimation process that can affect our results of operations, financial position and cash flows, as well as the related footnote disclosures. We base our estimates on historical experience and other assumptions that we believe are reasonable. If actual amounts are ultimately different from previous estimates, the revisions are included in our results of operations for the period in which the actual amounts become known. The following accounting policies comprise those that management believes are the most critical to aid in fully understanding and evaluating our reported financial results.</w:t>
      </w:r>
    </w:p>
    <w:p>
      <w:pPr>
        <w:spacing w:after="0" w:line="17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Company adopted Accounting Standard Update No. 2014-09, Revenue from Contracts with Customers (Topic 606), and subsequently issued other Accounting Standard Updates related to Accounting Standards Codification Topic 606 (collectively, “ASC 606”) on January 1, 2018 under the modified retrospective method such that the cumulative effect is recognized at the date of initial application. The adoption of ASC 606 resulted in a change in the timing of recognition of both contract revenue and costs from our prior practices. Upon the adoption of ASC 606, we recorded a cumulative net adjustment of $1,950 to the beginning retained earnings balance. Refer to Note 10, “Revenue,” for further discussion of the adoption of ASC 606.</w:t>
      </w:r>
    </w:p>
    <w:p>
      <w:pPr>
        <w:spacing w:after="0" w:line="15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i w:val="1"/>
          <w:iCs w:val="1"/>
          <w:color w:val="auto"/>
        </w:rPr>
        <w:t>Cost-to-cost method of revenue recognition</w:t>
      </w:r>
      <w:r>
        <w:rPr>
          <w:rFonts w:ascii="Arial" w:cs="Arial" w:eastAsia="Arial" w:hAnsi="Arial"/>
          <w:sz w:val="16"/>
          <w:szCs w:val="16"/>
          <w:color w:val="auto"/>
        </w:rPr>
        <w:t>— Prior to January 1, 2018, the Company measured completion based on engineering estimates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physical percentage completed for dredging contracts. Under the new accounting principle, revenue is recognized using contract fulfillment costs incurred to date compared to total estimated costs at completion, also known as cost-to-cost, to measure progress towards completion. Additionally, we capitalize certain pre-contract and pre-construction costs, and defer recognition over the life of the contract. We use contract fulfillment costs incurred to date and engineering estimates of costs at completion. In preparing estimates, we draw on our extensive experience in the dredging businesses. We utilize our database of historical dredging information and technical computations to ensure that our estimates are as accurate as possible, given current circumstances. We recognize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Provisions for estimated losses on contracts in progress are made in the period in which such losses are determined. Cost and profit estimates are reviewed on a periodic basis to reflect changes in expected project performance.</w:t>
      </w:r>
    </w:p>
    <w:p>
      <w:pPr>
        <w:spacing w:after="0" w:line="210" w:lineRule="exact"/>
        <w:rPr>
          <w:sz w:val="20"/>
          <w:szCs w:val="20"/>
          <w:color w:val="auto"/>
        </w:rPr>
      </w:pPr>
    </w:p>
    <w:p>
      <w:pPr>
        <w:jc w:val="both"/>
        <w:ind w:right="180" w:firstLine="518"/>
        <w:spacing w:after="0" w:line="279" w:lineRule="auto"/>
        <w:rPr>
          <w:sz w:val="20"/>
          <w:szCs w:val="20"/>
          <w:color w:val="auto"/>
        </w:rPr>
      </w:pPr>
      <w:r>
        <w:rPr>
          <w:rFonts w:ascii="Arial" w:cs="Arial" w:eastAsia="Arial" w:hAnsi="Arial"/>
          <w:sz w:val="17"/>
          <w:szCs w:val="17"/>
          <w:i w:val="1"/>
          <w:iCs w:val="1"/>
          <w:color w:val="auto"/>
        </w:rPr>
        <w:t>Impairment of goodwill</w:t>
      </w:r>
      <w:r>
        <w:rPr>
          <w:rFonts w:ascii="Arial" w:cs="Arial" w:eastAsia="Arial" w:hAnsi="Arial"/>
          <w:sz w:val="17"/>
          <w:szCs w:val="17"/>
          <w:color w:val="auto"/>
        </w:rPr>
        <w:t>—Goodwill is tested for impairment at the reporting unit level on an annual basis and between annual tests if an event occurs</w:t>
      </w:r>
      <w:r>
        <w:rPr>
          <w:rFonts w:ascii="Arial" w:cs="Arial" w:eastAsia="Arial" w:hAnsi="Arial"/>
          <w:sz w:val="17"/>
          <w:szCs w:val="17"/>
          <w:i w:val="1"/>
          <w:iCs w:val="1"/>
          <w:color w:val="auto"/>
        </w:rPr>
        <w:t xml:space="preserve"> </w:t>
      </w:r>
      <w:r>
        <w:rPr>
          <w:rFonts w:ascii="Arial" w:cs="Arial" w:eastAsia="Arial" w:hAnsi="Arial"/>
          <w:sz w:val="17"/>
          <w:szCs w:val="17"/>
          <w:color w:val="auto"/>
        </w:rPr>
        <w:t>or 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We perform our annual impairment test as of July 1 each year.</w:t>
      </w:r>
    </w:p>
    <w:p>
      <w:pPr>
        <w:spacing w:after="0" w:line="198"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Company assesses the fair value of our reporting unit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we believe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93"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We analyze companies that performed similar services or are considered peers. Due to the fact that there are no public companies that are direct competitors, we weigh the results of this approach less than the income approach.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right="40" w:firstLine="518"/>
        <w:spacing w:after="0" w:line="255" w:lineRule="auto"/>
        <w:rPr>
          <w:sz w:val="20"/>
          <w:szCs w:val="20"/>
          <w:color w:val="auto"/>
        </w:rPr>
      </w:pPr>
      <w:r>
        <w:rPr>
          <w:rFonts w:ascii="Arial" w:cs="Arial" w:eastAsia="Arial" w:hAnsi="Arial"/>
          <w:sz w:val="18"/>
          <w:szCs w:val="18"/>
          <w:color w:val="auto"/>
        </w:rPr>
        <w:t>The Company has one operating segment which is also our one reportable segment and reporting unit. The historical environmental &amp; infrastructure segment has been retrospectively presented as discontinued operations and assets and liabilities held for sale and is no longer reflected in continuing operations. We performed our annual goodwill impairment test as of July 1, 2019 with no indication of impairment as of the test date. As of the test date, the fair value of the reporting unit was substantially in excess of its carrying value. We will perform the next scheduled annual test of goodwill in the third quarter of 2020 should no triggering events occur which would require a test prior to the next annual test. At December 31, 2019 and 2018, our goodwill was $76.6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Years Ended December 31, 2019, 2018 and 2017</w:t>
      </w:r>
    </w:p>
    <w:p>
      <w:pPr>
        <w:spacing w:after="0" w:line="12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following table sets forth the components of net income attributable to common stockholders of Great Lakes Dredge &amp; Dock Corporation and Adjusted EBITDA from continuing operations, as defined below, as a percentage of contract revenues for the years ended December 31 2019, 2018 and 2017. The selected financial data presented below have been derived from the Company’s consolidated financial statements; items may not sum due to rounding.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gridSpan w:val="2"/>
            <w:vMerge w:val="restart"/>
          </w:tcPr>
          <w:p>
            <w:pPr>
              <w:ind w:left="1140"/>
              <w:spacing w:after="0"/>
              <w:rPr>
                <w:sz w:val="20"/>
                <w:szCs w:val="20"/>
                <w:color w:val="auto"/>
              </w:rPr>
            </w:pPr>
            <w:r>
              <w:rPr>
                <w:rFonts w:ascii="Arial" w:cs="Arial" w:eastAsia="Arial" w:hAnsi="Arial"/>
                <w:sz w:val="18"/>
                <w:szCs w:val="18"/>
                <w:color w:val="auto"/>
              </w:rPr>
              <w:t>Contract revenues</w:t>
            </w: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(92.8)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assets—net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Operating income (loss)</w:t>
            </w: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Income (loss) from continuing operations before income taxes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ind w:left="1140"/>
              <w:spacing w:after="0"/>
              <w:rPr>
                <w:sz w:val="20"/>
                <w:szCs w:val="20"/>
                <w:color w:val="auto"/>
              </w:rPr>
            </w:pPr>
            <w:r>
              <w:rPr>
                <w:rFonts w:ascii="Arial" w:cs="Arial" w:eastAsia="Arial" w:hAnsi="Arial"/>
                <w:sz w:val="18"/>
                <w:szCs w:val="18"/>
                <w:color w:val="auto"/>
              </w:rPr>
              <w:t>Income (loss) from continuing operations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(5.4)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160" w:type="dxa"/>
            <w:vAlign w:val="bottom"/>
            <w:vMerge w:val="restart"/>
          </w:tcPr>
          <w:p>
            <w:pPr>
              <w:spacing w:after="0"/>
              <w:rPr>
                <w:sz w:val="11"/>
                <w:szCs w:val="11"/>
                <w:color w:val="auto"/>
              </w:rPr>
            </w:pPr>
          </w:p>
        </w:tc>
        <w:tc>
          <w:tcPr>
            <w:tcW w:w="52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Adjusted EBITDA from continuing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510"/>
              <w:spacing w:after="0"/>
              <w:rPr>
                <w:sz w:val="20"/>
                <w:szCs w:val="20"/>
                <w:color w:val="auto"/>
              </w:rPr>
            </w:pPr>
            <w:r>
              <w:rPr>
                <w:rFonts w:ascii="Arial" w:cs="Arial" w:eastAsia="Arial" w:hAnsi="Arial"/>
                <w:sz w:val="18"/>
                <w:szCs w:val="18"/>
                <w:color w:val="auto"/>
              </w:rPr>
              <w:t>35</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4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Adjusted EBITDA from continuing operations</w:t>
      </w:r>
    </w:p>
    <w:p>
      <w:pPr>
        <w:spacing w:after="0" w:line="121"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attributable to common stockholders of Great Lakes Dredge &amp; Dock Corporation,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our operating trends. We believe that Adjusted EBITDA from continuing operations is a measure frequently used to evaluate performance of companies with substantial leverage and that our primary stakeholders (i.e., its stockholders, bondholders and banks) use Adjusted EBITDA from continuing operations to evaluate our period to period performance. Additionally, management believes that Adjusted EBITDA from continuing operations provides a transparent measure of our recurring operating performance and allows management to readily view operating trends, perform analytical comparisons and identify strategies to improve operating performance. For this reason, we use a measure based upon Adjusted EBITDA to assess performance for purposes of determining compensation under our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our business. For these reasons, we use operating income to measure our operating performance and use Adjusted EBITDA from continuing operations only as a supplement. The following is a reconciliation of Adjusted EBITDA from continuing operations to net income attributable to common stockholders of Great Lakes Dredge &amp; Dock Corporation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60" w:type="dxa"/>
            <w:vAlign w:val="bottom"/>
            <w:gridSpan w:val="8"/>
          </w:tcPr>
          <w:p>
            <w:pPr>
              <w:jc w:val="right"/>
              <w:ind w:right="185"/>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49,339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(6,293)</w:t>
            </w:r>
          </w:p>
        </w:tc>
        <w:tc>
          <w:tcPr>
            <w:tcW w:w="80" w:type="dxa"/>
            <w:vAlign w:val="bottom"/>
          </w:tcPr>
          <w:p>
            <w:pPr>
              <w:spacing w:after="0"/>
              <w:rPr>
                <w:sz w:val="19"/>
                <w:szCs w:val="19"/>
                <w:color w:val="auto"/>
              </w:rPr>
            </w:pP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(6,329)</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(17,309)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55,668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Adjusted for:</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Interest expense—net</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 (benefit)</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6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135,590</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100,420</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Contract Revenues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by type of work, the Company’s contract revenues for the years ended December 31,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ind w:left="1140"/>
              <w:spacing w:after="0"/>
              <w:rPr>
                <w:sz w:val="20"/>
                <w:szCs w:val="20"/>
                <w:color w:val="auto"/>
              </w:rPr>
            </w:pPr>
            <w:r>
              <w:rPr>
                <w:rFonts w:ascii="Arial" w:cs="Arial" w:eastAsia="Arial" w:hAnsi="Arial"/>
                <w:sz w:val="18"/>
                <w:szCs w:val="18"/>
                <w:b w:val="1"/>
                <w:bCs w:val="1"/>
                <w:color w:val="auto"/>
              </w:rPr>
              <w:t>Revenues</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vMerge w:val="restart"/>
          </w:tcPr>
          <w:p>
            <w:pPr>
              <w:spacing w:after="0"/>
              <w:rPr>
                <w:sz w:val="19"/>
                <w:szCs w:val="19"/>
                <w:color w:val="auto"/>
              </w:rPr>
            </w:pPr>
          </w:p>
        </w:tc>
        <w:tc>
          <w:tcPr>
            <w:tcW w:w="288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Capital—U.S.</w:t>
            </w:r>
          </w:p>
        </w:tc>
        <w:tc>
          <w:tcPr>
            <w:tcW w:w="26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299,706</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333,037</w:t>
            </w:r>
          </w:p>
        </w:tc>
        <w:tc>
          <w:tcPr>
            <w:tcW w:w="52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185,113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Capital—foreign</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Coastal protection</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182,369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175,923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191,070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Maintenance</w:t>
            </w: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104,753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134,923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Rivers &amp; lakes</w:t>
            </w:r>
          </w:p>
        </w:tc>
        <w:tc>
          <w:tcPr>
            <w:tcW w:w="2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44,320</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711,518</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620,795</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592,159</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20" w:type="dxa"/>
            <w:vAlign w:val="bottom"/>
            <w:vMerge w:val="restart"/>
          </w:tcPr>
          <w:p>
            <w:pPr>
              <w:jc w:val="right"/>
              <w:ind w:right="570"/>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Total revenue was $711.5 million in 2019, an increase of $90.7 million, or 14.6%, from 2018 total revenue of $620.8 million. The increase was largely attributable to increases in revenue from all types of work except domestic capital revenue, in 2019 when compared to the prior year. The Company categorizes revenue by service type to understand the market in which we operate and to assess how we are performing on bidding work or projects and are generating revenue from backlog.</w:t>
      </w:r>
    </w:p>
    <w:p>
      <w:pPr>
        <w:spacing w:after="0" w:line="18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Domestic capital dredging revenues decreased $33.3 million, or 10.0%, to $299.7 million in 2019 when compared to 2018 revenues of $333.0 million. The decrease in domestic capital dredging revenues was primarily related to a greater amount of revenue earned during the prior year on coastal restoration projects, deepening projects in Charleston and other capital dredging projects in Georgia and Pennsylvania. This decrease was partially offset by a greater amount of revenue earned from deepening projects in Corpus Christi, Tampa and Jacksonville as well as a greater amount of revenue earned on a deepening project on the Delaware River during the current year as compared to the prior year. We earned 61% of backlog relating to our capital dredging operations that had been carried forward from December 31, 2018.</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Revenues from foreign dredging operations in 2019 totaled $48.6 million, an increase of $34.5 million, or 244.7%, from 2018 revenues of $14.1 million. The increase in foreign dredging revenue was driven by revenue earned on a project in Bahrain that commenced during the first quarter of 2019. During the first quarter of 2018, the Company substantially completed the closeout of our Brazil operations. We earned 65% of backlog relating to our foreign dredging operations that had been carried forward from December 31, 2018.</w:t>
      </w:r>
    </w:p>
    <w:p>
      <w:pPr>
        <w:spacing w:after="0" w:line="18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Coastal protection revenues were $182.4 million in 2019, an increase of $6.5 million, or 3.7%, from $175.9 million in 2018. For the year ended December 31, 2019, the increase in coastal protection revenue was mostly attributable to a greater amount of revenue earned on projects in South Carolina, New York and Virginia in the current year as compared to the prior year. This increase was partially offset by revenue earned on a project in Delaware during the prior year that did not repeat during the current year. Additionally, revenue for the year ended December 31, 2018 included a project in Florida that did not repeat during the current year period as well as a greater amount of revenue earned on a project in South Carolina. We earned 100% of backlog relating to coastal protection operations that had been carried forward from December 31, 2018.</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Revenues from maintenance dredging projects in 2019 were $104.8 million, an increase of $51.4 million, or 96.3%, from $53.4 million in 2018. The change in maintenance revenue during the current year was mostly attributable to revenue earned on projects in Georgia, Florida, North Carolina and Texas. This increase was partially offset by revenue earned on a project in Virginia that did not repeat during the current year. We earned 100% of backlog relating to maintenance dredging projects that had been carried forward from December 31, 2018.</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Rivers &amp; lakes revenues were $76.1 million for 2019, an increase of $31.8 million, or 71.8%, from $44.3 million in 2018. The increase in rivers &amp; lakes revenue during the current year was mostly attributable to revenue earned on a large flood mitigation project in Texas as a result of Hurricane Harvey, as well as revenue earned on projects in Louisiana and Iowa during the current year period. This increase was slightly offset by a greater amount of revenue earned on a lake project in Illinois and a project in New Jersey in the prior year. We earned 97% of backlog relating to rivers &amp; lakes operations that had been carried forward from December 31, 2018.</w:t>
      </w:r>
    </w:p>
    <w:p>
      <w:pPr>
        <w:spacing w:after="0" w:line="188" w:lineRule="exact"/>
        <w:rPr>
          <w:sz w:val="20"/>
          <w:szCs w:val="20"/>
          <w:color w:val="auto"/>
        </w:rPr>
      </w:pPr>
    </w:p>
    <w:p>
      <w:pPr>
        <w:ind w:right="260" w:firstLine="518"/>
        <w:spacing w:after="0" w:line="293" w:lineRule="auto"/>
        <w:rPr>
          <w:sz w:val="20"/>
          <w:szCs w:val="20"/>
          <w:color w:val="auto"/>
        </w:rPr>
      </w:pPr>
      <w:r>
        <w:rPr>
          <w:rFonts w:ascii="Arial" w:cs="Arial" w:eastAsia="Arial" w:hAnsi="Arial"/>
          <w:sz w:val="16"/>
          <w:szCs w:val="16"/>
          <w:color w:val="auto"/>
        </w:rPr>
        <w:t>Gross profit for the year ended December 31, 2019 increased by $42.3 million, or 38.0%, to $153.8 million from $111.5 million for the year ended December 31, 2018. Gross profit margin (gross profit divided by revenue) for the full year 2019 was 21.6%, higher than prior year gross profit margin of 18.0%. The higher gross profit for 2019 was driven by strong performance on domestic capital, maintenance, coastal protection and rivers &amp; lakes projects when compared to the prior year. This increase was partially offset by lower margins on foreign projects driven by a large project being in a loss position. Gross profit for 2018 includes $9.1 million of cost of contract revenues from restructuring charges related to asset retirements and the closeout of the Company’s Brazil operations. The majority of these amounts are related to asset retirement charges of $6.8 million.</w:t>
      </w:r>
    </w:p>
    <w:p>
      <w:pPr>
        <w:spacing w:after="0" w:line="16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General and administrative expenses totaled $59.1 million for the year ended December 31, 2019, up from $55.1 million for the year ended December 31, 2018. The increase in general and administrative expense for the full year 2019 as compared to 2018 was attributable to an increase in payroll and benefits of $4.3 million mostly related to an increase in incentive pay in the current year. Additionally, technical and consulting fees increased by $0.5 million when compared to the prior year. These increases were partially offset by a decrease in telephone and communication expenses of $0.4 million when comparing the current year to the prior year. General and administrative expense includes $0.2 million of charges associated with restructuring for the year ended December 31, 2018 related to severance expense.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ind w:right="60" w:firstLine="518"/>
        <w:spacing w:after="0" w:line="297" w:lineRule="auto"/>
        <w:rPr>
          <w:sz w:val="20"/>
          <w:szCs w:val="20"/>
          <w:color w:val="auto"/>
        </w:rPr>
      </w:pPr>
      <w:r>
        <w:rPr>
          <w:rFonts w:ascii="Arial" w:cs="Arial" w:eastAsia="Arial" w:hAnsi="Arial"/>
          <w:sz w:val="16"/>
          <w:szCs w:val="16"/>
          <w:color w:val="auto"/>
        </w:rPr>
        <w:t>Operating income was $98.1 million and $52.6 million for the years ended December 31, 2019 and 2018, respectively. The increase in operating income during the year ended December 31, 2019 was driven by an increase in earned gross profit when compared to the prior year, as noted above, and also, the addition of proceeds from a loss of use claim in the current period. This change in operating income was partially offset by an increase in general and administrative expenses, noted above. Further, the Company recorded $3.7 million to loss on sale of assets, mostly related to asset restructuring charges, during the year ended December 31, 2018 compared to $1.1 million in the current year, which also contributed to the increase in operating income.</w:t>
      </w:r>
    </w:p>
    <w:p>
      <w:pPr>
        <w:spacing w:after="0" w:line="158"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Company’s net interest expense for 2019 totaled $27.5 million compared to $33.6 million in 2018. The decrease in interest expense was primarily attributable to a decrease of $3.6 million in interest expense associated with our senior secured revolving credit facility in addition to higher interest income during the current year when compared to the prior year. The current year includes $1.9 million in interest income.</w:t>
      </w:r>
    </w:p>
    <w:p>
      <w:pPr>
        <w:spacing w:after="0" w:line="166"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Income tax provision in 2019 was $15.3 million, compared to an income tax provision of $5.4 million in 2018. The change in income tax provision is related to higher pretax income during the current year, as described above.</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For the year ended December 31, 2019, net income from continuing operations was $55.7 million compared to net income of $11.0 million for the year ended December 31, 2018. The increase in net income from continuing operations for the year ended December 31, 2019 was driven by the increase in operating income and decrease in interest expense during 2019, as described above. Further, the prior year was negatively impacted by a $2.3 million charge to other income (expense) for the reversal of a cumulative translation adjustment related to the liquidation of the investment of our Brazil and Australia operations during the current year. These items were partially offset by an increase in the income tax provision during the current year period, as noted above.</w:t>
      </w:r>
    </w:p>
    <w:p>
      <w:pPr>
        <w:spacing w:after="0" w:line="158"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Adjusted EBITDA from continuing operations (as defined and reconciled on page 35) was $135.6 million and $100.4 million for the years ended December 31, 2019 and 2018, respectively. The increase in Adjusted EBITDA from continuing operations of $35.2 million, up 35.1% from 2018 was attributable to higher gross profit, excluding depreciation, and a positive change related to the $2.3 million charge to other income (expense), as described above, when compared to the prior year. These positive factors were partially offset by higher general &amp; administrative expenses incurred during the current year, as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13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For a discussion comparing our consolidated operating results from the year ended December 31, 2018 with the year ended December 31, 2017, refer to Part II, Item 7. “Management’s Discussion and Analysis of Financial Condition and Results of Operation – Year Ended December 31, 2018 Compared to Year Ended December 31, 2017” in our Annual Report on Form 10-K for the year ended December 31, 2018, which was filed with the Commission on February 26, 2019.</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Activity and Backlog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by type of work, the Company’s backlog as of the dates indicated (in thousands):</w:t>
      </w:r>
    </w:p>
    <w:p>
      <w:pPr>
        <w:spacing w:after="0" w:line="298" w:lineRule="exact"/>
        <w:rPr>
          <w:sz w:val="20"/>
          <w:szCs w:val="20"/>
          <w:color w:val="auto"/>
        </w:rPr>
      </w:pPr>
    </w:p>
    <w:tbl>
      <w:tblPr>
        <w:tblLayout w:type="fixed"/>
        <w:tblInd w:w="2100" w:type="dxa"/>
        <w:tblCellMar>
          <w:top w:w="0" w:type="dxa"/>
          <w:left w:w="0" w:type="dxa"/>
          <w:bottom w:w="0" w:type="dxa"/>
          <w:right w:w="0" w:type="dxa"/>
        </w:tblCellMar>
      </w:tblPr>
      <w:tr>
        <w:trPr>
          <w:trHeight w:val="18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Backlog</w:t>
            </w:r>
          </w:p>
        </w:tc>
        <w:tc>
          <w:tcPr>
            <w:tcW w:w="160" w:type="dxa"/>
            <w:vAlign w:val="bottom"/>
          </w:tcPr>
          <w:p>
            <w:pPr>
              <w:spacing w:after="0"/>
              <w:rPr>
                <w:sz w:val="16"/>
                <w:szCs w:val="16"/>
                <w:color w:val="auto"/>
              </w:rPr>
            </w:pPr>
          </w:p>
        </w:tc>
        <w:tc>
          <w:tcPr>
            <w:tcW w:w="1280" w:type="dxa"/>
            <w:vAlign w:val="bottom"/>
          </w:tcPr>
          <w:p>
            <w:pPr>
              <w:jc w:val="right"/>
              <w:ind w:right="274"/>
              <w:spacing w:after="0"/>
              <w:rPr>
                <w:sz w:val="20"/>
                <w:szCs w:val="20"/>
                <w:color w:val="auto"/>
              </w:rPr>
            </w:pPr>
            <w:r>
              <w:rPr>
                <w:rFonts w:ascii="Arial" w:cs="Arial" w:eastAsia="Arial" w:hAnsi="Arial"/>
                <w:sz w:val="14"/>
                <w:szCs w:val="14"/>
                <w:b w:val="1"/>
                <w:bCs w:val="1"/>
                <w:color w:val="auto"/>
                <w:w w:val="98"/>
              </w:rPr>
              <w:t>December 31,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24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15"/>
        </w:trPr>
        <w:tc>
          <w:tcPr>
            <w:tcW w:w="2480" w:type="dxa"/>
            <w:vAlign w:val="bottom"/>
            <w:tcBorders>
              <w:bottom w:val="single" w:sz="8" w:color="CFF0FC"/>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2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Capital - 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347,377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447,139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383,577</w:t>
            </w: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Capital - foreign</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30,571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73,112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Coastal protection</w:t>
            </w: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141,039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81,068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76,460</w:t>
            </w:r>
          </w:p>
        </w:tc>
        <w:tc>
          <w:tcPr>
            <w:tcW w:w="0" w:type="dxa"/>
            <w:vAlign w:val="bottom"/>
          </w:tcPr>
          <w:p>
            <w:pPr>
              <w:spacing w:after="0"/>
              <w:rPr>
                <w:sz w:val="1"/>
                <w:szCs w:val="1"/>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60,891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56,189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23,662</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Rivers &amp; lakes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9,528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49,583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19,046</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589,406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707,091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511,320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83% of our 2019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Approximately 96% of the Company’s backlog at December 31, 2019 is expected to be completed and converted to revenue in 2020.</w:t>
      </w:r>
    </w:p>
    <w:p>
      <w:pPr>
        <w:spacing w:after="0" w:line="225"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The 2019 domestic dredging bid market totaled $1,786 million, a 1.4% decrease from the 2018 domestic dredging bid market of $1,811 million. Total domestic dredging bid market for the current year period included awards for a deepening project in Georgia, a coastal protection project in New York, two coastal protection projects in Virginia, a maintenance project in Texas and maintenance projects on the Mississippi River. The bid market for the current year decreased compared to the prior year due to a greater number of larger capital projects let to bid in the prior year, which included the Boston Harbor deepening project and certain rivers &amp; lakes projects. This was partially offset by higher maintenance and coastal protection projects awarded in the current year. The Company won 26% of the overall 2019 domestic bid market, down from a 45% win rate of the overall 2018 domestic bid market. The award of the flood mitigation project in Texas and deepening projects in Tampa, Jacksonville and Corpus Christi, as well as option on the Charleston entrance channel deepening drove our bid market win rate during the prior year. Variability in contract wins from period to period is not unusual. We believe trends in our win rate over the prior three year periods provide a historical background against which current year results can be compared.</w:t>
      </w:r>
    </w:p>
    <w:p>
      <w:pPr>
        <w:spacing w:after="0" w:line="167"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The Company’s December 31, 2019 contracted backlog was $589.4 million. This represents a decrease of $117.7 million, or 16.6%, over our December 31, 2018 backlog of $707.1 million. These amounts do not reflect approximately $201.3 million of domestic low bids pending formal award and additional phases (“options”) pending on projects currently in backlog. At December 31, 2018, the amount of domestic low bids pending award was $115.6 million. Backlog at December 31, 2019 includes deepening projects in Charleston, Jacksonville and Corpus Christi totaling approximately $277 million.</w:t>
      </w:r>
    </w:p>
    <w:p>
      <w:pPr>
        <w:spacing w:after="0" w:line="15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won 20%, or $65.4 million, of the domestic capital dredging projects awarded in 2019, compared to 62%, or $476.4 million, in the prior year. During 2019, we were awarded an additional phase of a coastal restoration project in Mississippi and a capital dredging project in Rhode Island. Domestic capital dredging work made up $347.4 million, or 59%, of our December 31, 2019 contracted backlog. During 2019, we continued to earn revenue on deepening projects in Charleston, Tampa, Jacksonville and the Delaware River, which were in backlog at December 31, 2018. We expect substantially all of our domestic capital backlog at December 31, 2019 to be performed in 2020. The projects coming into the pipeline include additional phases of work in Corpus Christi, new projects in the Ports of Norfolk, Virginia and Freeport, Texas and large coastal restoration projects in Mississippi and Louisiana. Further, several liquefied natural gas petro chemical and crude oil projects are creating the need for port development in support of energy exports. We expect several of these private client projects to be bid in 2020. The nation’s governors continue to show commitment to their respective ports through engagement and funding. Finally, Congress has also shown a commitment to ports and waterways, providing record annual budgets for the Corps for port deepening and channel maintenance.</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Foreign capital dredging backlog decreased to $30.6 million at December 31, 2019 from $73.1 million at the end of 2018. During 2019, the Company continued to earn revenue on a project in the Middle East which was in backlog at December 31, 2018. We expect substantially all of our foreign capital backlog at December 31, 2019 to be performed in 2020. During 2018, we relocated two of our dredges to our domestic fleet from their previous positions in the international market to meet increased demand in the U.S. market.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won 47%, or $247.4 million, of the coastal protection projects awarded in 2019, compared to 62%, or $170.6 million,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2019, we were awarded $48 million on coastal protection projects in North Carolina, two coastal protection projects, worth $23 million and $20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respectively, in Virginia and a $41 million coastal protection project in New Jersey. We have contracted backlog related to coastal protection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$141.0 million at December 31, 2019 compared to $81.1 million at the end of 2018. During the year ended December 31, 2019, the Company continued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earn revenue on coastal protection projects in New York, North Carolina and South Carolina which were in backlog at December 31, 2018. We expect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our coastal protection backlog at December 31, 2019 to be performed in 2020. Coastal protection and storm impacts continue to provide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major impetus for coastal project investment at federal and state levels. With continued funding available for projects in the Northeast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Superstorm Sandy supplemental appropriations, we expect to continue to see an increase in projects let for bid in the coastal protection market.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extreme storm systems in prior years involving Hurricanes Harvey, Irma, and Maria, the U.S. Senate Committee on Appropriations passed supplemental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appropriations for disaster relief and recovery which includes $17.4 billion for the Corps to fund projects that will reduce the risk of future damage from flood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storm events. The Corps is beginning to provide visibility on its plans for this money, and it is expected that approximately $1.8 billion will be allocated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dredging-related work. Most of this work is anticipated to be coastal protection related, but some funding may be provided for channel maintenance.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During 2019, an additional $3.3 billion of supplemental appropriations was approved for disaster relief funding as a result of Hurricane Florence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Hurricane Michael.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right="80" w:firstLine="518"/>
        <w:spacing w:after="0" w:line="268" w:lineRule="auto"/>
        <w:rPr>
          <w:sz w:val="20"/>
          <w:szCs w:val="20"/>
          <w:color w:val="auto"/>
        </w:rPr>
      </w:pPr>
      <w:r>
        <w:rPr>
          <w:rFonts w:ascii="Arial" w:cs="Arial" w:eastAsia="Arial" w:hAnsi="Arial"/>
          <w:sz w:val="17"/>
          <w:szCs w:val="17"/>
          <w:color w:val="auto"/>
        </w:rPr>
        <w:t>The Company won 16%, or $142.6 million, of the maintenance dredging projects awarded in 2019 compared to 13%, or $82.5 million, in 2018. During 2019 we were awarded maintenance projects in Texas, South Carolina and on the Mississippi River. During the year ended December 31, 2019, we continued to work on projects in Georgia, North Carolina and Florida which were in backlog at December 31, 2018. Our contracted maintenance dredging backlog at December 31, 2019 of $60.9 million is $4.7 million higher than the backlog of $56.2 million at December 31, 2018. We expect substantially all of our maintenance dredging backlog at December 31, 2019 to be performed in 2020. In March 2018, Congress approved and the President signed an omnibus spending bill through fiscal year 2018. The spending bill continues the increases in the budget for the Corps and exceeds the increase in Harbor Maintenance Trust Fund (“HMTF”) spending for maintenance dredging as required by the Water Resources Reform and Development Act of 2014. During the fourth quarter of 2018, the President signed America’s Water Infrastructure Act of 2018/Water Resources Development Act (“WRDA 2018”) into law. Similar to past versions of the bill, WRDA 2018 language calls for full use of the HMTF for its intended purpose of maintaining future access to the waterways and ports that support our nation’s economy. Further, WRDA 2018 ensures that Harbor Maintenance Tax (“HMT”) funding targets will increase by three percent over the prior year, even if the HMT revenue estimates decrease, to continue annual progress towards full use of the HMT by 2025. Through the increased appropriation of HMTF monies, we anticipate an increase in harbor projects to be let for bid throughout 2020 and beyond. Congress has improved spending from the HMTF by providing the Corps with record annual budgets including 94% utilization of the HMTF in FY 2018 and 91% proposed in the FY 2019 budget which was above our commitment.</w:t>
      </w:r>
    </w:p>
    <w:p>
      <w:pPr>
        <w:spacing w:after="0" w:line="18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won 48%, or $11.5 million, of the rivers &amp; lakes projects in the markets where the group operates during the current year, compared to 53%, or $82.2 million, in 2017. During the current year, we were awarded new work in Texas and Nebraska. For the year ended December 31, 2019, we continued to earn revenue on a large project in Texas and a project in Louisiana which were in backlog at December 31, 2018. We have contracted dredging backlog related to rivers &amp; lakes of $9.5 million at December 31, 2019, which is $40.1 million lower than the backlog of $49.6 million at December 31, 2018. We expect substantially all of our rivers &amp; lakes backlog at December 31, 2019 to be performed in 2020.</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borrowings under our revolving credit facility and proceeds from issuances of long-term debt. See Note 6, “Long-term debt,” to our consolidated financial statements included in Item 15 of this Annual Report on Form 10-K. Our principal uses of cash are to meet debt service requirements, finance capital expenditures, and provide working capital and other general corporate purposes.</w:t>
      </w:r>
    </w:p>
    <w:p>
      <w:pPr>
        <w:spacing w:after="0" w:line="187"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The Company’s net cash provided by operating activities of continuing operations for the years ended December 31, 2019, 2018 and 2017 totaled $201.8 million, $141.7 million and $34.0 million, respectively. Normal increases or decreases in the level of working capital relative to the level of operational activity impact cash flow from operating activities. The increase in cash provided by operating activities of continuing operations during 2019 compared to the prior year was driven by an increase in net income, billings and collections on large projects during the current period and a greater investment in working capital during the prior year. Cash provided by operating activities for the year ended December 31, 2018 was up compared to 2017 due to higher net income during 2018. Additionally, the increase in 2018 was driven by a lower investment in working capital during the year ended December 31, 2017.</w:t>
      </w:r>
    </w:p>
    <w:p>
      <w:pPr>
        <w:spacing w:after="0" w:line="18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 xml:space="preserve">The Company’s net cash flows used in investing activities of continuing operations for the years ended December 31, 2019, 2018 and 2017 totaled $43.8 million, $35.5 million and $57.4 million, respectively. Investing activities in all periods primarily relate to normal course upgrades and capital maintenance of our dredging fleet. Capital expenditures in the current year included the final payment of $10.0 million for the new clamshell dredge. In 2019, we received $5.6 million in proceeds from dispositions of property and equipment. During 2018, we received $4.5 million in cash proceeds from a sale-leaseback of a dredge as well as $9.4 million in proceeds from the sale of underperforming and underutilized assets identified through our strategic review. Further, we bought out two leases for $14.3 million as part of the restructuring initiative of disposing underperforming assets during the year ended December 31, 2018. The Company spent $43.3 million for the year ended December 31, 2017, on the </w:t>
      </w:r>
      <w:r>
        <w:rPr>
          <w:rFonts w:ascii="Arial" w:cs="Arial" w:eastAsia="Arial" w:hAnsi="Arial"/>
          <w:sz w:val="18"/>
          <w:szCs w:val="18"/>
          <w:i w:val="1"/>
          <w:iCs w:val="1"/>
          <w:color w:val="auto"/>
        </w:rPr>
        <w:t>Ellis Island</w:t>
      </w:r>
      <w:r>
        <w:rPr>
          <w:rFonts w:ascii="Arial" w:cs="Arial" w:eastAsia="Arial" w:hAnsi="Arial"/>
          <w:sz w:val="18"/>
          <w:szCs w:val="18"/>
          <w:color w:val="auto"/>
        </w:rPr>
        <w:t>, which was placed in service during the fourth quarter of 2017. Additionally in 2017, we received $8.6 million in proceeds from dispositions of property and equipment, mostly related to the refinancing of two dredges.</w:t>
      </w:r>
    </w:p>
    <w:p>
      <w:pPr>
        <w:spacing w:after="0" w:line="19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Company’s net cash flows provided by (used in) financing activities of continuing operations for the years ended December 31, 2019, 2018 and 2017 totaled $(14.1) million, $(83.9) million and $34.5 million, respectively. The change in cash provided by (used in) financing activities primarily relates to our net repayments on our revolving credit facility of $11.5 million, $83.5 million and $9.1 million during the years ended December 31, 2019, 2018 and 2017, respectively. Additionally, we paid $2.3 million in financing fees on the Amended Credit Agreement for the senior secured credit facility during 2019. In 2017, we issued $325 million of 8% Senior Notes and used a portion of the net proceeds to redeem our $275 million of 7 3/8% Senior Notes and repay a portion of our revolver. We also paid $5.0 million in financing fees on the issuance of the 8% Senior Notes (as defined below) during 2017.</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Commitments, contingencies and liquidity matters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firstLine="518"/>
        <w:spacing w:after="0" w:line="264" w:lineRule="auto"/>
        <w:rPr>
          <w:sz w:val="20"/>
          <w:szCs w:val="20"/>
          <w:color w:val="auto"/>
        </w:rPr>
      </w:pPr>
      <w:r>
        <w:rPr>
          <w:rFonts w:ascii="Arial" w:cs="Arial" w:eastAsia="Arial" w:hAnsi="Arial"/>
          <w:sz w:val="18"/>
          <w:szCs w:val="18"/>
          <w:color w:val="auto"/>
        </w:rPr>
        <w:t>Refer to Note 6, “Long-term debt,” in the Notes to Condensed Consolidated Financial Statements for discussion of the Company’s Amended Credit Agreement. Additionally, refer to Note 13, “Commitments and contingencies,” in the Notes to Condensed Consolidated Financial Statements for discussion of the Company’s surety agreements.</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notes</w:t>
      </w:r>
    </w:p>
    <w:p>
      <w:pPr>
        <w:spacing w:after="0" w:line="13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May 2017, the Company issued $325 million in aggregate principal amount of our 8% Senior Notes due May 15, 2022 (“8% Senior Notes”). Approximately $283 million of the net proceeds from the issuance of the 8% Senior Notes were used to prepay all of our 7.375% senior notes due February 2019, including a tender premium and accrued and unpaid interest. Interest on the 8% Senior Notes is payable semi-annually in arrears on May 15 and November 15 of each year, beginning on November 15, 2017. The 8% Senior Notes are senior unsecured obligations of the Company and will be guaranteed on a senior unsecured basis by the guarantors and any other subsidiary guarantors that from time to time become parties to the indenture. The terms of the indenture will,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into certain other transactions with affiliates; (vi) create restrictions on dividends or other payments by our restricted subsidiaries; and (vii) create guarantees of indebtedness by restricted subsidiaries. These covenants are subject to a number of important limitations and exceptions that are described in the indenture.</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3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future declaration and payment of dividends will be at the discretion of the Company’s board of directors and will depend on many factors, including general economic and business conditions, our strategic plans, our financial results and condition and legal requirements, including restrictions and limitations contained in the Amended Credit Agreement, surety bonding agreement and the indenture relating to our senior notes. Accordingly, we cannot make any assurances as to the size of any such dividend or that it will pay any such dividend in future quarters.</w:t>
      </w:r>
    </w:p>
    <w:p>
      <w:pPr>
        <w:spacing w:after="0" w:line="212"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The impact of changes in functional currency exchange rates against the U.S. dollar on non-U.S. dollar cash balances are reflected in the cumulative translation adjustment—net within accumulated other comprehensive income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Company believes our cash and cash equivalents, our anticipated cash flows from operations and availability under our revolving credit facility will be sufficient to fund our operations, capital expenditures and the scheduled debt service requirements for the next twelve months. Beyond the next twelve months, our ability to fund our working capital needs, planned capital expenditures, scheduled debt payments and dividends, if any, and to comply with all the financial covenants required under the Amended Credit Agreement, depends on our future operating performance and cash flows, which in turn are subject to prevailing economic conditions and to financial, business and other factors, some of which are beyond our control.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The following table summarizes the Company’s contractual cash obligations at December 31, 2019. Additional information related to these obligations can be found in Note 6, “Long-term debt,” and Note 13, “Commitments and contingencies,” to our consolidated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right"/>
              <w:ind w:right="377"/>
              <w:spacing w:after="0"/>
              <w:rPr>
                <w:sz w:val="20"/>
                <w:szCs w:val="20"/>
                <w:color w:val="auto"/>
              </w:rPr>
            </w:pPr>
            <w:r>
              <w:rPr>
                <w:rFonts w:ascii="Arial" w:cs="Arial" w:eastAsia="Arial" w:hAnsi="Arial"/>
                <w:sz w:val="14"/>
                <w:szCs w:val="14"/>
                <w:b w:val="1"/>
                <w:bCs w:val="1"/>
                <w:color w:val="auto"/>
              </w:rPr>
              <w:t>Obligations coming due in year(s) ending:</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57"/>
              <w:spacing w:after="0" w:line="147"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77"/>
              <w:spacing w:after="0" w:line="147"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7"/>
              <w:spacing w:after="0" w:line="147" w:lineRule="exact"/>
              <w:rPr>
                <w:sz w:val="20"/>
                <w:szCs w:val="20"/>
                <w:color w:val="auto"/>
              </w:rPr>
            </w:pPr>
            <w:r>
              <w:rPr>
                <w:rFonts w:ascii="Arial" w:cs="Arial" w:eastAsia="Arial" w:hAnsi="Arial"/>
                <w:sz w:val="14"/>
                <w:szCs w:val="14"/>
                <w:b w:val="1"/>
                <w:bCs w:val="1"/>
                <w:color w:val="auto"/>
                <w:w w:val="93"/>
              </w:rPr>
              <w:t>2027 and</w:t>
            </w:r>
          </w:p>
        </w:tc>
        <w:tc>
          <w:tcPr>
            <w:tcW w:w="100" w:type="dxa"/>
            <w:vAlign w:val="bottom"/>
          </w:tcPr>
          <w:p>
            <w:pPr>
              <w:spacing w:after="0"/>
              <w:rPr>
                <w:sz w:val="12"/>
                <w:szCs w:val="12"/>
                <w:color w:val="auto"/>
              </w:rPr>
            </w:pPr>
          </w:p>
        </w:tc>
      </w:tr>
      <w:tr>
        <w:trPr>
          <w:trHeight w:val="17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7"/>
              <w:spacing w:after="0"/>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beyond</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notes (1)</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cash interest payments calculated at stated fixed rate of 8.000%.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Off-Balance Sheet and Contingent Obligations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Company had outstanding letters of credit relating to foreign contract guarantees and insurance payment liabilities totaling $35.8 million at December 31, 2019. We have granted liens on a substantial portion of the owned operating equipment as security for borrowings under the Amended Credit Agreement and other indebtedness.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firstLine="518"/>
        <w:spacing w:after="0" w:line="264" w:lineRule="auto"/>
        <w:rPr>
          <w:sz w:val="20"/>
          <w:szCs w:val="20"/>
          <w:color w:val="auto"/>
        </w:rPr>
      </w:pPr>
      <w:r>
        <w:rPr>
          <w:rFonts w:ascii="Arial" w:cs="Arial" w:eastAsia="Arial" w:hAnsi="Arial"/>
          <w:sz w:val="18"/>
          <w:szCs w:val="18"/>
          <w:color w:val="auto"/>
        </w:rPr>
        <w:t>At December 31, 2019, the Company had outstanding performance bonds with a notional amount of $1,278.9 million of which $17.4 million relates to projects from our historical environmental &amp; infrastructure businesses. The revenue value remaining in backlog related to the projects in continuing operations totaled $553.7 million.</w:t>
      </w:r>
    </w:p>
    <w:p>
      <w:pPr>
        <w:spacing w:after="0" w:line="181"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Certain foreign projects performed by the Company have warranty periods, typically spanning no more than one to three years beyond project completion, whereby we retain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it unlikely that it would have to perform under any of the aforementioned contingent obligations.</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At December 31, 2019, the Company had long-term senior notes outstanding with a recorded face value of $325.0 million. The fair value of these existing notes, which bear interest at a fixed rate of 8.000%, was $343.7 million at December 31, 2019 based on market prices. Assuming a 10% decrease in interest rates from the rates at December 31, 2019 the fair value of this fixed rate debt would have increased to $348.8 million.</w:t>
      </w:r>
    </w:p>
    <w:p>
      <w:pPr>
        <w:spacing w:after="0" w:line="166"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A significant operating cost for the Company is diesel fuel, which represents approximately 9% of our costs of contract revenues. We use fuel commodity forward contracts, typically with durations of less than one year, to reduce the impacts of changing fuel prices on operations. We do not purchase fuel hedges for trading purposes. Based on our 2020 projected domestic fuel consumption, a 10% increase in the average price per gallon of fuel would have an immaterial effect on fuel expense, after the effect of fuel commodity contracts in place at December 31, 2019. At December 31, 2019 we had outstanding arrangements to hedge the price of a portion of our fuel purchases related to domestic dredging work in backlog, representing approximately 80% of its anticipated domestic fuel requirements through December 2020. As of December 31, 2019, there were 10.5 million gallons remaining on these contracts. Under these agreements, we will pay fixed prices ranging from $1.79 to $2.05 per gallon. At December 31, 2019, the fair value asset on these contracts was estimated to be $0.8 million, based on quoted market prices and is recorded in other current assets. A 10% change in forward fuel prices would result in an immaterial change in the fair value of fuel hedges outstanding at December 31, 2019.</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consolidated financial statements (including financial statement schedules listed under Item 15 of this Report) of the Company called for by this Item, together with the Report of Independent Registered Public Accounting Firm dated February 26, 2020, are set forth on pages 51 to 76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following tables set forth our unaudited quarterly results of operations for 2019 and 2018. We have prepared this unaudited information on a basis consistent with the audited consolidated financial statements contained in this report and this unaudited information includes all adjustments, consisting only of normal recurring adjustments that we consider necessary for a fair presentation of our results of operations for the quarters presented. The historical environmental &amp; infrastructure segment has been retrospectively presented as discontinued operations and is no longer reflected in continuing operations. You should read this quarterly financial data along with the Condensed Consolidated Financial Statements and the related notes to those statements included in our Quarterly Reports on Form 10-Q filed with the Commission. The operating results for any quarter are not necessarily indicative of the results for the annual period or any future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r>
      <w:tr>
        <w:trPr>
          <w:trHeight w:val="146"/>
        </w:trPr>
        <w:tc>
          <w:tcPr>
            <w:tcW w:w="5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6"/>
          </w:tcPr>
          <w:p>
            <w:pPr>
              <w:jc w:val="center"/>
              <w:ind w:right="460"/>
              <w:spacing w:after="0" w:line="147" w:lineRule="exact"/>
              <w:rPr>
                <w:sz w:val="20"/>
                <w:szCs w:val="20"/>
                <w:color w:val="auto"/>
              </w:rPr>
            </w:pPr>
            <w:r>
              <w:rPr>
                <w:rFonts w:ascii="Arial" w:cs="Arial" w:eastAsia="Arial" w:hAnsi="Arial"/>
                <w:sz w:val="14"/>
                <w:szCs w:val="14"/>
                <w:b w:val="1"/>
                <w:bCs w:val="1"/>
                <w:color w:val="auto"/>
                <w:w w:val="93"/>
              </w:rPr>
              <w:t>Unaudited</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60" w:type="dxa"/>
            <w:vAlign w:val="bottom"/>
            <w:gridSpan w:val="12"/>
          </w:tcPr>
          <w:p>
            <w:pPr>
              <w:jc w:val="center"/>
              <w:ind w:right="340"/>
              <w:spacing w:after="0"/>
              <w:rPr>
                <w:sz w:val="20"/>
                <w:szCs w:val="20"/>
                <w:color w:val="auto"/>
              </w:rPr>
            </w:pPr>
            <w:r>
              <w:rPr>
                <w:rFonts w:ascii="Arial" w:cs="Arial" w:eastAsia="Arial" w:hAnsi="Arial"/>
                <w:sz w:val="14"/>
                <w:szCs w:val="14"/>
                <w:b w:val="1"/>
                <w:bCs w:val="1"/>
                <w:color w:val="auto"/>
                <w:w w:val="91"/>
              </w:rPr>
              <w:t>(dollars in millions except shares in thousands and per share data)</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Contract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192.6</w:t>
            </w:r>
          </w:p>
        </w:tc>
        <w:tc>
          <w:tcPr>
            <w:tcW w:w="2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184.8</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(142.8)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(137.9)</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(129.7)</w:t>
            </w:r>
          </w:p>
        </w:tc>
      </w:tr>
      <w:tr>
        <w:trPr>
          <w:trHeight w:val="223"/>
        </w:trPr>
        <w:tc>
          <w:tcPr>
            <w:tcW w:w="54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(16.2)</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2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 — net</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w:t>
            </w:r>
          </w:p>
        </w:tc>
      </w:tr>
      <w:tr>
        <w:trPr>
          <w:trHeight w:val="223"/>
        </w:trPr>
        <w:tc>
          <w:tcPr>
            <w:tcW w:w="546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 net</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r>
      <w:tr>
        <w:trPr>
          <w:trHeight w:val="223"/>
        </w:trPr>
        <w:tc>
          <w:tcPr>
            <w:tcW w:w="54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2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Basic earnings per share attributable to income from continuing operations</w:t>
      </w:r>
    </w:p>
    <w:p>
      <w:pPr>
        <w:spacing w:after="0" w:line="1"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Basic income (loss) per share attributable to income (loss) from discontinued operations, net of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Basic weighted average shares</w:t>
      </w:r>
    </w:p>
    <w:p>
      <w:pPr>
        <w:spacing w:after="0" w:line="25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Diluted earnings per share attributable to income from continuing operations</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Diluted income (loss) per share attributable to income (loss) from discontinued operations, net of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Diluted weighted average shares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20"/>
                <w:szCs w:val="20"/>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0"/>
                <w:szCs w:val="20"/>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446"/>
        </w:trPr>
        <w:tc>
          <w:tcPr>
            <w:tcW w:w="1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108"/>
        </w:trPr>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22"/>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9"/>
                <w:szCs w:val="19"/>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9"/>
                <w:szCs w:val="19"/>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567"/>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0.32</w:t>
            </w:r>
          </w:p>
        </w:tc>
        <w:tc>
          <w:tcPr>
            <w:tcW w:w="260" w:type="dxa"/>
            <w:vAlign w:val="bottom"/>
          </w:tcPr>
          <w:p>
            <w:pPr>
              <w:spacing w:after="0"/>
              <w:rPr>
                <w:sz w:val="24"/>
                <w:szCs w:val="24"/>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4"/>
                <w:szCs w:val="24"/>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446"/>
        </w:trPr>
        <w:tc>
          <w:tcPr>
            <w:tcW w:w="1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108"/>
        </w:trPr>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Pr>
          <w:p>
            <w:pPr>
              <w:spacing w:after="0"/>
              <w:rPr>
                <w:sz w:val="19"/>
                <w:szCs w:val="19"/>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432"/>
        </w:trPr>
        <w:tc>
          <w:tcPr>
            <w:tcW w:w="120" w:type="dxa"/>
            <w:vAlign w:val="bottom"/>
          </w:tcPr>
          <w:p>
            <w:pPr>
              <w:spacing w:after="0"/>
              <w:rPr>
                <w:sz w:val="24"/>
                <w:szCs w:val="24"/>
                <w:color w:val="auto"/>
              </w:rPr>
            </w:pPr>
          </w:p>
        </w:tc>
        <w:tc>
          <w:tcPr>
            <w:tcW w:w="1140" w:type="dxa"/>
            <w:vAlign w:val="bottom"/>
          </w:tcPr>
          <w:p>
            <w:pPr>
              <w:jc w:val="right"/>
              <w:ind w:right="830"/>
              <w:spacing w:after="0"/>
              <w:rPr>
                <w:sz w:val="20"/>
                <w:szCs w:val="20"/>
                <w:color w:val="auto"/>
              </w:rPr>
            </w:pPr>
            <w:r>
              <w:rPr>
                <w:rFonts w:ascii="Arial" w:cs="Arial" w:eastAsia="Arial" w:hAnsi="Arial"/>
                <w:sz w:val="18"/>
                <w:szCs w:val="18"/>
                <w:color w:val="auto"/>
                <w:w w:val="99"/>
              </w:rPr>
              <w:t>43</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-2152015</wp:posOffset>
            </wp:positionV>
            <wp:extent cx="7246620" cy="283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-1585595</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-1285875</wp:posOffset>
            </wp:positionV>
            <wp:extent cx="72466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-857250</wp:posOffset>
            </wp:positionV>
            <wp:extent cx="7246620" cy="283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-419735</wp:posOffset>
            </wp:positionV>
            <wp:extent cx="72466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55880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4740" w:space="720"/>
            <w:col w:w="5960"/>
          </w:cols>
          <w:pgMar w:left="240" w:top="445"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6"/>
              </w:rPr>
              <w:t>Quarter Ended</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6"/>
        </w:trPr>
        <w:tc>
          <w:tcPr>
            <w:tcW w:w="5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6"/>
          </w:tcPr>
          <w:p>
            <w:pPr>
              <w:jc w:val="center"/>
              <w:ind w:right="460"/>
              <w:spacing w:after="0" w:line="147" w:lineRule="exact"/>
              <w:rPr>
                <w:sz w:val="20"/>
                <w:szCs w:val="20"/>
                <w:color w:val="auto"/>
              </w:rPr>
            </w:pPr>
            <w:r>
              <w:rPr>
                <w:rFonts w:ascii="Arial" w:cs="Arial" w:eastAsia="Arial" w:hAnsi="Arial"/>
                <w:sz w:val="14"/>
                <w:szCs w:val="14"/>
                <w:b w:val="1"/>
                <w:bCs w:val="1"/>
                <w:color w:val="auto"/>
                <w:w w:val="93"/>
              </w:rPr>
              <w:t>Unaudited</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6"/>
                <w:szCs w:val="16"/>
                <w:color w:val="auto"/>
              </w:rPr>
            </w:pPr>
          </w:p>
        </w:tc>
        <w:tc>
          <w:tcPr>
            <w:tcW w:w="5760" w:type="dxa"/>
            <w:vAlign w:val="bottom"/>
            <w:gridSpan w:val="12"/>
          </w:tcPr>
          <w:p>
            <w:pPr>
              <w:jc w:val="center"/>
              <w:ind w:right="340"/>
              <w:spacing w:after="0"/>
              <w:rPr>
                <w:sz w:val="20"/>
                <w:szCs w:val="20"/>
                <w:color w:val="auto"/>
              </w:rPr>
            </w:pPr>
            <w:r>
              <w:rPr>
                <w:rFonts w:ascii="Arial" w:cs="Arial" w:eastAsia="Arial" w:hAnsi="Arial"/>
                <w:sz w:val="14"/>
                <w:szCs w:val="14"/>
                <w:b w:val="1"/>
                <w:bCs w:val="1"/>
                <w:color w:val="auto"/>
                <w:w w:val="91"/>
              </w:rPr>
              <w:t>(dollars in millions except shares in thousands and per share data)</w:t>
            </w:r>
          </w:p>
        </w:tc>
        <w:tc>
          <w:tcPr>
            <w:tcW w:w="0" w:type="dxa"/>
            <w:vAlign w:val="bottom"/>
          </w:tcPr>
          <w:p>
            <w:pPr>
              <w:spacing w:after="0"/>
              <w:rPr>
                <w:sz w:val="1"/>
                <w:szCs w:val="1"/>
                <w:color w:val="auto"/>
              </w:rPr>
            </w:pPr>
          </w:p>
        </w:tc>
      </w:tr>
      <w:tr>
        <w:trPr>
          <w:trHeight w:val="215"/>
        </w:trPr>
        <w:tc>
          <w:tcPr>
            <w:tcW w:w="54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(139.1)</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 — net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46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 net</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27" w:right="239" w:bottom="1440" w:gutter="0" w:footer="0" w:header="0"/>
        </w:sectPr>
      </w:pPr>
    </w:p>
    <w:p>
      <w:pPr>
        <w:spacing w:after="0" w:line="29"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color w:val="auto"/>
        </w:rPr>
        <w:t>Basic earnings (loss) per share attributable to income (loss) from continuing operations</w:t>
      </w:r>
    </w:p>
    <w:p>
      <w:pPr>
        <w:spacing w:after="0" w:line="1"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Basic loss per share attributable to loss from discontinued operations, net of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(loss)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Basic weighted average shares</w:t>
      </w:r>
    </w:p>
    <w:p>
      <w:pPr>
        <w:spacing w:after="0" w:line="251"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Diluted earnings (loss) per share attributable to income (loss) from continuing operations</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Diluted loss per share attributable to loss from discontinued operations, net of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(loss)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Diluted weighted average shares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Note: Items may not sum due to rounding.</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20"/>
                <w:szCs w:val="20"/>
                <w:color w:val="auto"/>
              </w:rPr>
            </w:pPr>
          </w:p>
        </w:tc>
      </w:tr>
      <w:tr>
        <w:trPr>
          <w:trHeight w:val="446"/>
        </w:trPr>
        <w:tc>
          <w:tcPr>
            <w:tcW w:w="4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4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5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(0.20)</w:t>
            </w:r>
          </w:p>
        </w:tc>
      </w:tr>
      <w:tr>
        <w:trPr>
          <w:trHeight w:val="108"/>
        </w:trPr>
        <w:tc>
          <w:tcPr>
            <w:tcW w:w="48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58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r>
      <w:tr>
        <w:trPr>
          <w:trHeight w:val="222"/>
        </w:trPr>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19"/>
                <w:szCs w:val="19"/>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w:t>
            </w:r>
          </w:p>
        </w:tc>
        <w:tc>
          <w:tcPr>
            <w:tcW w:w="60" w:type="dxa"/>
            <w:vAlign w:val="bottom"/>
          </w:tcPr>
          <w:p>
            <w:pPr>
              <w:spacing w:after="0"/>
              <w:rPr>
                <w:sz w:val="20"/>
                <w:szCs w:val="20"/>
                <w:color w:val="auto"/>
              </w:rPr>
            </w:pPr>
          </w:p>
        </w:tc>
      </w:tr>
      <w:tr>
        <w:trPr>
          <w:trHeight w:val="567"/>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4"/>
                <w:szCs w:val="24"/>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24"/>
                <w:szCs w:val="24"/>
                <w:color w:val="auto"/>
              </w:rPr>
            </w:pPr>
          </w:p>
        </w:tc>
      </w:tr>
      <w:tr>
        <w:trPr>
          <w:trHeight w:val="446"/>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(0.20)</w:t>
            </w:r>
          </w:p>
        </w:tc>
      </w:tr>
      <w:tr>
        <w:trPr>
          <w:trHeight w:val="108"/>
        </w:trPr>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r>
      <w:tr>
        <w:trPr>
          <w:trHeight w:val="222"/>
        </w:trPr>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19"/>
                <w:szCs w:val="19"/>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-1877695</wp:posOffset>
            </wp:positionV>
            <wp:extent cx="7246620" cy="2832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-1311275</wp:posOffset>
            </wp:positionV>
            <wp:extent cx="72466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-1011555</wp:posOffset>
            </wp:positionV>
            <wp:extent cx="72466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-582295</wp:posOffset>
            </wp:positionV>
            <wp:extent cx="7246620"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-145415</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2">
            <w:col w:w="5140" w:space="320"/>
            <w:col w:w="5960"/>
          </w:cols>
          <w:pgMar w:left="240" w:top="427"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type w:val="continuous"/>
        </w:sectPr>
      </w:pPr>
    </w:p>
    <w:bookmarkStart w:id="45" w:name="page46"/>
    <w:bookmarkEnd w:id="45"/>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0" w:firstLine="518"/>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w:t>
      </w:r>
    </w:p>
    <w:p>
      <w:pPr>
        <w:ind w:right="60"/>
        <w:spacing w:after="0" w:line="254" w:lineRule="auto"/>
        <w:rPr>
          <w:sz w:val="20"/>
          <w:szCs w:val="20"/>
          <w:color w:val="auto"/>
        </w:rPr>
      </w:pPr>
      <w:r>
        <w:rPr>
          <w:rFonts w:ascii="Arial" w:cs="Arial" w:eastAsia="Arial" w:hAnsi="Arial"/>
          <w:sz w:val="18"/>
          <w:szCs w:val="18"/>
          <w:color w:val="auto"/>
        </w:rPr>
        <w:t>2019.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0" w:lineRule="exact"/>
        <w:rPr>
          <w:sz w:val="20"/>
          <w:szCs w:val="20"/>
          <w:color w:val="auto"/>
        </w:rPr>
      </w:pPr>
    </w:p>
    <w:p>
      <w:pPr>
        <w:ind w:right="400" w:firstLine="518"/>
        <w:spacing w:after="0" w:line="259" w:lineRule="auto"/>
        <w:rPr>
          <w:sz w:val="20"/>
          <w:szCs w:val="20"/>
          <w:color w:val="auto"/>
        </w:rPr>
      </w:pPr>
      <w:r>
        <w:rPr>
          <w:rFonts w:ascii="Arial" w:cs="Arial" w:eastAsia="Arial" w:hAnsi="Arial"/>
          <w:sz w:val="18"/>
          <w:szCs w:val="18"/>
          <w:color w:val="auto"/>
        </w:rPr>
        <w:t>Based on that evaluation, the Chief Executive Officer and the Chief Financial Officer have concluded that the Company’s disclosure controls and procedures, as designed and implemented, were effective as of December 31, 2019. Notwithstanding the foregoing, a control system, no matter how well designed, implemented and operated can provide only reasonable, not absolute, assurance that it will detect or uncover failures within the Company to disclose material information otherwise required to be set forth in our periodic reports.</w:t>
      </w:r>
    </w:p>
    <w:p>
      <w:pPr>
        <w:spacing w:after="0" w:line="295"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during the fiscal quarter ended December 31, 2019 that have materially affected, or are reasonably likely to materially affect, our internal control over financial reporting.</w:t>
      </w:r>
    </w:p>
    <w:p>
      <w:pPr>
        <w:spacing w:after="0" w:line="23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published by the Committee of Sponsoring Organizations of the Treadway Commission (“COSO”) to evaluate the effectiveness of the Company’s internal control over financial reporting.</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1040" w:right="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040" w:right="52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89"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Our independent registered public accounting firm, Deloitte &amp; Touche LLP, who audited Great Lakes’ consolidated financial statements included in this Annual Report on Form 10-K, has issued a report on Great Lakes’ internal control over financial reporting, which is included herein.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has concluded that our internal control over financial reporting was effective as of December 31,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Great Lakes Dredge &amp; Dock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Great Lakes Dredge &amp; Dock Corporation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2019, of the Company and our report dated February 26, 2020, expressed an unqualified opinion on those financial statements and financial statement schedule and included an explanatory paragraph related to the Company’s change in method of accounting for leases in the year ended December 31, 2019, due to the adoption of Accounting Standard Update No. 2016-02.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Information regarding our executive officers is incorporated by reference herein from the discussion under Item 1. “Business—Information about our Executive Officers” in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has adopted a written code of business conduct and ethics that applies to all of our employees, including our principal executive officer, principal financial officer, controller, and persons performing similar functions. The Company’s code of ethics can be found on our website at www.gldd.com. We will post on our website any amendments to or waivers of the code of business conduct and ethics for executive officers or directors, in accordance with applicable laws and regulations.</w:t>
      </w:r>
    </w:p>
    <w:p>
      <w:pPr>
        <w:spacing w:after="0" w:line="18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remaining information called for by this Item 10 is incorporated by reference herein from the discussions under the headings “Election of Directors,” “Corporate Governance,” “Security Ownership of Certain Beneficial Owners and Management” and “Delinquent Section 16(a) Reports” in the definitive Proxy Statement for the 2020 Annual Meeting of Stockholders.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information required by Item 11 of Form 10-K is incorporated by reference herein from the discussions under the headings “Executive Compensation Tables,” “Compensation Discussion and Analysis,” “Corporate Governance” and “CEO Pay Ratio” in the definitive Proxy Statement for the 2020 Annual Meeting of Stockholders.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information required by Item 12 of Form 10-K is incorporated by reference herein from the discussion under the headings “Security Ownership of Certain Beneficial Owners and Management” and “Equity Compensation Plan Information” in our definitive Proxy Statement for the 2020 Annual Meeting of Stockholders.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information required by Item 13 of Form 10-K is incorporated by reference herein from the discussions under the headings “Corporate Governance” and “Potential Payments Upon Termination or Change of Control” and “Certain Relationships and Related Transactions” in the definitive Proxy Statement for the 2020 Annual Meeting of Stockholders.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The information required by Item 14 of Form 10-K is incorporated by reference herein from the discussion under the heading “Matters Related to Independent Registered Public Accounting Firm” in the definitive Proxy Statement for the 2020 Annual Meeting of Stockholders.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8" w:name="page49"/>
    <w:bookmarkEnd w:id="48"/>
    <w:p>
      <w:pPr>
        <w:jc w:val="center"/>
        <w:ind w:right="-3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17" w:lineRule="exact"/>
        <w:rPr>
          <w:sz w:val="20"/>
          <w:szCs w:val="20"/>
          <w:color w:val="auto"/>
        </w:rPr>
      </w:pPr>
    </w:p>
    <w:p>
      <w:pPr>
        <w:ind w:right="7920" w:firstLine="8"/>
        <w:spacing w:after="0" w:line="378" w:lineRule="auto"/>
        <w:tabs>
          <w:tab w:leader="none" w:pos="25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 1. Financial Statements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are set forth on pages 51 to 76 of this Report and are incorporated by reference in Item 8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All other schedules, except Schedule II—Valuation and Qualifying Accounts on page 77, are omitted because they are not required or the required information is shown in the financial statements or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exhibits required to be filed by Item 601 of Regulation S-K are listed in the “Exhibit Index” which is attached hereto and incorporated by reference herein.</w:t>
      </w:r>
    </w:p>
    <w:p>
      <w:pPr>
        <w:spacing w:after="0" w:line="31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121" w:right="59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9"/>
            <w:vMerge w:val="restart"/>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w:t>
              </w:r>
            </w:hyperlink>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9"/>
            <w:vMerge w:val="continue"/>
          </w:tcPr>
          <w:p>
            <w:pPr>
              <w:spacing w:after="0"/>
              <w:rPr>
                <w:sz w:val="14"/>
                <w:szCs w:val="14"/>
                <w:color w:val="auto"/>
              </w:rPr>
            </w:pPr>
          </w:p>
        </w:tc>
        <w:tc>
          <w:tcPr>
            <w:tcW w:w="7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60" w:type="dxa"/>
            <w:vAlign w:val="bottom"/>
            <w:gridSpan w:val="9"/>
          </w:tcPr>
          <w:p>
            <w:pPr>
              <w:spacing w:after="0"/>
              <w:rPr>
                <w:sz w:val="20"/>
                <w:szCs w:val="20"/>
                <w:color w:val="auto"/>
              </w:rPr>
            </w:pPr>
            <w:r>
              <w:rPr>
                <w:rFonts w:ascii="Arial" w:cs="Arial" w:eastAsia="Arial" w:hAnsi="Arial"/>
                <w:sz w:val="18"/>
                <w:szCs w:val="18"/>
                <w:color w:val="auto"/>
                <w:w w:val="96"/>
              </w:rPr>
              <w:t>CONSOLIDATED FINANCIAL STATEMENTS AS OF DECEMBER 31, 2019 AND 2018, AND FOR THE YEARS ENDED DECEMBER 31,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660" w:type="dxa"/>
            <w:vAlign w:val="bottom"/>
            <w:gridSpan w:val="9"/>
          </w:tcPr>
          <w:p>
            <w:pPr>
              <w:ind w:left="220"/>
              <w:spacing w:after="0"/>
              <w:rPr>
                <w:sz w:val="20"/>
                <w:szCs w:val="20"/>
                <w:color w:val="auto"/>
              </w:rPr>
            </w:pPr>
            <w:r>
              <w:rPr>
                <w:rFonts w:ascii="Arial" w:cs="Arial" w:eastAsia="Arial" w:hAnsi="Arial"/>
                <w:sz w:val="18"/>
                <w:szCs w:val="18"/>
                <w:color w:val="auto"/>
              </w:rPr>
              <w:t>2019, 2018 AND 2017</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0400" w:type="dxa"/>
            <w:vAlign w:val="bottom"/>
            <w:gridSpan w:val="8"/>
          </w:tcPr>
          <w:p>
            <w:pPr>
              <w:spacing w:after="0" w:line="190"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Balance Sheets</w:t>
              </w:r>
            </w:hyperlink>
          </w:p>
        </w:tc>
        <w:tc>
          <w:tcPr>
            <w:tcW w:w="7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400" w:type="dxa"/>
            <w:vAlign w:val="bottom"/>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Operations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400" w:type="dxa"/>
            <w:vAlign w:val="bottom"/>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Comprehensive Income (Loss</w:t>
              </w:r>
            </w:hyperlink>
            <w:r>
              <w:rPr>
                <w:rFonts w:ascii="Arial" w:cs="Arial" w:eastAsia="Arial" w:hAnsi="Arial"/>
                <w:sz w:val="18"/>
                <w:szCs w:val="18"/>
                <w:u w:val="single" w:color="auto"/>
                <w:color w:val="000000"/>
              </w:rPr>
              <w:t>)</w:t>
            </w: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Equity</w:t>
              </w:r>
            </w:hyperlink>
          </w:p>
        </w:tc>
        <w:tc>
          <w:tcPr>
            <w:tcW w:w="1680" w:type="dxa"/>
            <w:vAlign w:val="bottom"/>
            <w:tcBorders>
              <w:top w:val="single" w:sz="8" w:color="0000EE"/>
            </w:tcBorders>
            <w:gridSpan w:val="4"/>
          </w:tcPr>
          <w:p>
            <w:pPr>
              <w:spacing w:after="0"/>
              <w:rPr>
                <w:sz w:val="17"/>
                <w:szCs w:val="17"/>
                <w:color w:val="auto"/>
              </w:rPr>
            </w:pPr>
          </w:p>
        </w:tc>
        <w:tc>
          <w:tcPr>
            <w:tcW w:w="6220" w:type="dxa"/>
            <w:vAlign w:val="bottom"/>
            <w:gridSpan w:val="2"/>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400" w:type="dxa"/>
            <w:vAlign w:val="bottom"/>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400" w:type="dxa"/>
            <w:vAlign w:val="bottom"/>
            <w:gridSpan w:val="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871"/>
        </w:trPr>
        <w:tc>
          <w:tcPr>
            <w:tcW w:w="26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Great Lakes Dredge &amp; Dock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Great Lakes Dredge &amp; Dock Corporation and subsidiaries (the "Company") as of December 31, 2019 and 2018, the related consolidated statements of operations, comprehensive income (loss), equity, and cash flows for each of the three years in the period ended December 31, 2019, and the related notes and the schedule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2020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discussed in Note 1 to the financial statements, the Company has changed its method of accounting for leases in year ended December 31, 2019 due to the adoption of Accounting Standard Update No</w:t>
      </w:r>
      <w:r>
        <w:rPr>
          <w:rFonts w:ascii="Arial" w:cs="Arial" w:eastAsia="Arial" w:hAnsi="Arial"/>
          <w:sz w:val="18"/>
          <w:szCs w:val="18"/>
          <w:i w:val="1"/>
          <w:iCs w:val="1"/>
          <w:color w:val="auto"/>
        </w:rPr>
        <w:t>. 2016-02, Leases (Topic 842)</w:t>
      </w:r>
      <w:r>
        <w:rPr>
          <w:rFonts w:ascii="Arial" w:cs="Arial" w:eastAsia="Arial" w:hAnsi="Arial"/>
          <w:sz w:val="18"/>
          <w:szCs w:val="18"/>
          <w:color w:val="auto"/>
        </w:rPr>
        <w:t xml:space="preserve"> and the Company changed its method of accounting for revenue from contracts with customers in the year ended December 31, 2018 due to the adoption of Accounting Standard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As of December 31, 2019 and 2018</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7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186,995</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Assets held for sale</w:t>
            </w: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300,712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374,596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76,576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INVENTORIES—Noncurrent</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ASSETS HELD FOR SALE— Noncurrent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897,552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730,271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76,091</w:t>
            </w:r>
          </w:p>
        </w:tc>
        <w:tc>
          <w:tcPr>
            <w:tcW w:w="16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Revolving credit facility</w:t>
            </w:r>
          </w:p>
        </w:tc>
        <w:tc>
          <w:tcPr>
            <w:tcW w:w="9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Liabilities held for sale</w:t>
            </w: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203,933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LONG-TERM DEBT</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322,843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LIABILITIES—Noncurrent</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LIABILITIES HELD FOR SALE— Noncurrent</w:t>
            </w: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618,153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EQUITY:</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Common stock—$.0001 par value; 90,000 authorized, 64,283 and 62,830 shares issued; 64,283 and</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62,552 outstanding at December 31, 2019 and December 31, 2018, respectively.</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Treasury stock, at cost</w:t>
            </w:r>
          </w:p>
        </w:tc>
        <w:tc>
          <w:tcPr>
            <w:tcW w:w="9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302,189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(23,091)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(74,971)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equity</w:t>
            </w: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279,399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897,552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730,271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711,518</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620,795</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557,761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509,335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LOSS OF USE CLAIM</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SALE OF ASSETS—Net</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income (loss)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(27,524)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(33,578)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Equity in loss of joint ventures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w w:val="99"/>
              </w:rPr>
              <w:t>INCOME (LOSS) FROM CONTINUING OPERATIONS BEFORE INCOME TAXES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(6,329)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(17,309)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49,339</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(6,293)</w:t>
            </w: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w w:val="94"/>
              </w:rPr>
              <w:t>Basic earnings (loss) per share attributable to income (loss) from continuing operations</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w w:val="93"/>
              </w:rPr>
              <w:t>Basic loss per share attributable to loss on discontinued operations, net of income taxes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earnings (loss) per share</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w w:val="93"/>
              </w:rPr>
              <w:t>Diluted earnings (loss) per share attributable to income (loss) from continuing operations</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0.86</w:t>
            </w:r>
          </w:p>
        </w:tc>
        <w:tc>
          <w:tcPr>
            <w:tcW w:w="160" w:type="dxa"/>
            <w:vAlign w:val="bottom"/>
          </w:tcPr>
          <w:p>
            <w:pPr>
              <w:spacing w:after="0"/>
              <w:rPr>
                <w:sz w:val="19"/>
                <w:szCs w:val="19"/>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w w:val="92"/>
              </w:rPr>
              <w:t>Diluted loss per share attributable to loss on discontinued operations, net of income taxes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49,339</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(6,293)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adjustment—net of tax (1)</w:t>
            </w: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unrealized (gain) loss on derivatives—net of tax (2)</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(5,325)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 (loss)—net of tax</w:t>
            </w:r>
          </w:p>
        </w:tc>
        <w:tc>
          <w:tcPr>
            <w:tcW w:w="13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3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53,443</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of income tax (provision) benefit of $(1,017) and $44 for the years ended December 31, 2018 and 2017, respectively.</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of income tax (provision) benefit of $(421), $775 and $1,048 for the years ended December 31, 2019, 2018 and 2017,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12"/>
          </w:tcPr>
          <w:p>
            <w:pPr>
              <w:jc w:val="right"/>
              <w:ind w:right="460"/>
              <w:spacing w:after="0"/>
              <w:rPr>
                <w:sz w:val="20"/>
                <w:szCs w:val="20"/>
                <w:color w:val="auto"/>
              </w:rPr>
            </w:pPr>
            <w:r>
              <w:rPr>
                <w:rFonts w:ascii="Arial" w:cs="Arial" w:eastAsia="Arial" w:hAnsi="Arial"/>
                <w:sz w:val="14"/>
                <w:szCs w:val="14"/>
                <w:b w:val="1"/>
                <w:bCs w:val="1"/>
                <w:color w:val="auto"/>
                <w:w w:val="96"/>
              </w:rPr>
              <w:t>Great Lakes Dredge &amp; Dock Corporation shareholders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3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Shares of</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Common</w:t>
            </w:r>
          </w:p>
        </w:tc>
        <w:tc>
          <w:tcPr>
            <w:tcW w:w="16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CFF0FC"/>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BALANCE—January 1, 2017</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61,240</w:t>
            </w:r>
          </w:p>
        </w:tc>
        <w:tc>
          <w:tcPr>
            <w:tcW w:w="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286,303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(35,841)</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(1,145)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247,890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80" w:type="dxa"/>
            <w:vAlign w:val="bottom"/>
          </w:tcPr>
          <w:p>
            <w:pPr>
              <w:spacing w:after="0"/>
              <w:rPr>
                <w:sz w:val="20"/>
                <w:szCs w:val="20"/>
                <w:color w:val="auto"/>
              </w:rPr>
            </w:pPr>
            <w:r>
              <w:rPr>
                <w:rFonts w:ascii="Arial" w:cs="Arial" w:eastAsia="Arial" w:hAnsi="Arial"/>
                <w:sz w:val="16"/>
                <w:szCs w:val="16"/>
                <w:color w:val="auto"/>
                <w:w w:val="92"/>
              </w:rPr>
              <w:t>Vesting of restricted stock units, including impact of shares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6"/>
                <w:szCs w:val="16"/>
                <w:color w:val="auto"/>
              </w:rPr>
              <w:t>withheld for taxes</w:t>
            </w:r>
          </w:p>
        </w:tc>
        <w:tc>
          <w:tcPr>
            <w:tcW w:w="70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(328)</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w w:val="97"/>
              </w:rPr>
              <w:t>Exercise of stock options and purchases from employee</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stock plans</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Net loss</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(31,260)</w:t>
            </w:r>
          </w:p>
        </w:tc>
        <w:tc>
          <w:tcPr>
            <w:tcW w:w="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(31,260)</w:t>
            </w: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income—net of tax</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80" w:type="dxa"/>
            <w:vAlign w:val="bottom"/>
          </w:tcPr>
          <w:p>
            <w:pPr>
              <w:spacing w:after="0"/>
              <w:rPr>
                <w:sz w:val="20"/>
                <w:szCs w:val="20"/>
                <w:color w:val="auto"/>
              </w:rPr>
            </w:pPr>
            <w:r>
              <w:rPr>
                <w:rFonts w:ascii="Arial" w:cs="Arial" w:eastAsia="Arial" w:hAnsi="Arial"/>
                <w:sz w:val="16"/>
                <w:szCs w:val="16"/>
                <w:color w:val="auto"/>
              </w:rPr>
              <w:t>BALANCE—December 31, 2017</w:t>
            </w:r>
          </w:p>
        </w:tc>
        <w:tc>
          <w:tcPr>
            <w:tcW w:w="700" w:type="dxa"/>
            <w:vAlign w:val="bottom"/>
          </w:tcPr>
          <w:p>
            <w:pPr>
              <w:jc w:val="right"/>
              <w:spacing w:after="0"/>
              <w:rPr>
                <w:sz w:val="20"/>
                <w:szCs w:val="20"/>
                <w:color w:val="auto"/>
              </w:rPr>
            </w:pPr>
            <w:r>
              <w:rPr>
                <w:rFonts w:ascii="Arial" w:cs="Arial" w:eastAsia="Arial" w:hAnsi="Arial"/>
                <w:sz w:val="16"/>
                <w:szCs w:val="16"/>
                <w:color w:val="auto"/>
              </w:rPr>
              <w:t>61,897</w:t>
            </w: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000" w:type="dxa"/>
            <w:vAlign w:val="bottom"/>
            <w:gridSpan w:val="3"/>
          </w:tcPr>
          <w:p>
            <w:pPr>
              <w:jc w:val="right"/>
              <w:ind w:right="80"/>
              <w:spacing w:after="0"/>
              <w:rPr>
                <w:sz w:val="20"/>
                <w:szCs w:val="20"/>
                <w:color w:val="auto"/>
              </w:rPr>
            </w:pPr>
            <w:r>
              <w:rPr>
                <w:rFonts w:ascii="Arial" w:cs="Arial" w:eastAsia="Arial" w:hAnsi="Arial"/>
                <w:sz w:val="16"/>
                <w:szCs w:val="16"/>
                <w:color w:val="auto"/>
              </w:rPr>
              <w:t>(278)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(1,433)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289,821</w:t>
            </w:r>
          </w:p>
        </w:tc>
        <w:tc>
          <w:tcPr>
            <w:tcW w:w="16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(67,101)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221,296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8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w w:val="97"/>
              </w:rPr>
              <w:t>Cumulative effect of recent accounting pronouncements</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(1,577)</w:t>
            </w:r>
          </w:p>
        </w:tc>
        <w:tc>
          <w:tcPr>
            <w:tcW w:w="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80" w:type="dxa"/>
            <w:vAlign w:val="bottom"/>
          </w:tcPr>
          <w:p>
            <w:pPr>
              <w:spacing w:after="0"/>
              <w:rPr>
                <w:sz w:val="20"/>
                <w:szCs w:val="20"/>
                <w:color w:val="auto"/>
              </w:rPr>
            </w:pPr>
            <w:r>
              <w:rPr>
                <w:rFonts w:ascii="Arial" w:cs="Arial" w:eastAsia="Arial" w:hAnsi="Arial"/>
                <w:sz w:val="16"/>
                <w:szCs w:val="16"/>
                <w:color w:val="auto"/>
                <w:w w:val="92"/>
              </w:rPr>
              <w:t>Vesting of restricted stock units, including impact of shares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6"/>
                <w:szCs w:val="16"/>
                <w:color w:val="auto"/>
              </w:rPr>
              <w:t>withheld for taxes</w:t>
            </w:r>
          </w:p>
        </w:tc>
        <w:tc>
          <w:tcPr>
            <w:tcW w:w="700" w:type="dxa"/>
            <w:vAlign w:val="bottom"/>
          </w:tcPr>
          <w:p>
            <w:pPr>
              <w:jc w:val="right"/>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(1,205)</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w w:val="97"/>
              </w:rPr>
              <w:t>Exercise of stock options and purchases from employee</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stock purchase plan</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Net loss</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(6,293)</w:t>
            </w:r>
          </w:p>
        </w:tc>
        <w:tc>
          <w:tcPr>
            <w:tcW w:w="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(6,293)</w:t>
            </w: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loss—net of tax</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(3,812)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6"/>
                <w:szCs w:val="16"/>
                <w:color w:val="auto"/>
              </w:rPr>
              <w:t>BALANCE—December 31, 2018</w:t>
            </w: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880" w:type="dxa"/>
            <w:vAlign w:val="bottom"/>
            <w:vMerge w:val="continue"/>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62,830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(1,433)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295,135</w:t>
            </w:r>
          </w:p>
        </w:tc>
        <w:tc>
          <w:tcPr>
            <w:tcW w:w="16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(74,971)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(3,809)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214,928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8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w w:val="97"/>
              </w:rPr>
              <w:t>Cumulative effect of recent accounting pronouncements</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80" w:type="dxa"/>
            <w:vAlign w:val="bottom"/>
          </w:tcPr>
          <w:p>
            <w:pPr>
              <w:spacing w:after="0"/>
              <w:rPr>
                <w:sz w:val="20"/>
                <w:szCs w:val="20"/>
                <w:color w:val="auto"/>
              </w:rPr>
            </w:pPr>
            <w:r>
              <w:rPr>
                <w:rFonts w:ascii="Arial" w:cs="Arial" w:eastAsia="Arial" w:hAnsi="Arial"/>
                <w:sz w:val="16"/>
                <w:szCs w:val="16"/>
                <w:color w:val="auto"/>
                <w:w w:val="92"/>
              </w:rPr>
              <w:t>Vesting of restricted stock units, including impact of shares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6"/>
                <w:szCs w:val="16"/>
                <w:color w:val="auto"/>
              </w:rPr>
              <w:t>withheld for taxes</w:t>
            </w:r>
          </w:p>
        </w:tc>
        <w:tc>
          <w:tcPr>
            <w:tcW w:w="700" w:type="dxa"/>
            <w:vAlign w:val="bottom"/>
          </w:tcPr>
          <w:p>
            <w:pPr>
              <w:jc w:val="right"/>
              <w:spacing w:after="0"/>
              <w:rPr>
                <w:sz w:val="20"/>
                <w:szCs w:val="20"/>
                <w:color w:val="auto"/>
              </w:rPr>
            </w:pPr>
            <w:r>
              <w:rPr>
                <w:rFonts w:ascii="Arial" w:cs="Arial" w:eastAsia="Arial" w:hAnsi="Arial"/>
                <w:sz w:val="16"/>
                <w:szCs w:val="16"/>
                <w:color w:val="auto"/>
              </w:rPr>
              <w:t>873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(5,008)</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w w:val="97"/>
              </w:rPr>
              <w:t>Exercise of stock options and purchases from employee</w:t>
            </w: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stock purchase plan</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4,839</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Cancellation of treasury stock</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(1,172)</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comprehensive income—net of tax</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4,104</w:t>
            </w: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4,104</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64,283</w:t>
            </w:r>
          </w:p>
        </w:tc>
        <w:tc>
          <w:tcPr>
            <w:tcW w:w="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302,189</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(23,091)</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279,399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00"/>
          </w:cols>
          <w:pgMar w:left="240" w:top="121" w:right="159" w:bottom="1440" w:gutter="0" w:footer="0" w:header="0"/>
        </w:sectPr>
      </w:pPr>
    </w:p>
    <w:bookmarkStart w:id="55" w:name="page56"/>
    <w:bookmarkEnd w:id="55"/>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49,339</w:t>
            </w:r>
          </w:p>
        </w:tc>
        <w:tc>
          <w:tcPr>
            <w:tcW w:w="28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(6,293)</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(31,260)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Loss from discontinued operations, net of income taxes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(6,329)</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(17,309)</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(15,892)</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6"/>
                <w:szCs w:val="16"/>
                <w:color w:val="auto"/>
              </w:rPr>
              <w:t>Income (loss) from continuing operations</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55,668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11,016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(15,368)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w w:val="94"/>
              </w:rPr>
              <w:t>Adjustments to reconcile net income (loss) to net cash flows provided by operating activities: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37,145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50,389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55,962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Equity in loss of joint ventures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6"/>
                <w:szCs w:val="16"/>
                <w:color w:val="auto"/>
              </w:rPr>
              <w:t>Loss on extinguishment of 7 3/8% senior subordinated notes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distributions from joint ventures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15,134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5,760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(32,836)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 on dispositions of property and equipment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6"/>
                <w:szCs w:val="16"/>
                <w:color w:val="auto"/>
              </w:rPr>
              <w:t>Other non-cash restructuring items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deferred financing fees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6"/>
                <w:szCs w:val="16"/>
                <w:color w:val="auto"/>
              </w:rPr>
              <w:t>Unrealized foreign currency gain</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(231)</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Unrealized net loss from mark-to-market valuations of derivatives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6"/>
                <w:szCs w:val="16"/>
                <w:color w:val="auto"/>
              </w:rPr>
              <w:t>Share-based compensation expense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6,908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44,994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(8,364)</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Contract revenues in excess of billings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(4,607)</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54,881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(1,939)</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(921)</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(2,163)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(8,539)</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48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12,546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(1,480)</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(16,179)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Billings in excess of contract revenues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37,473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480"/>
              <w:spacing w:after="0"/>
              <w:rPr>
                <w:sz w:val="20"/>
                <w:szCs w:val="20"/>
                <w:color w:val="auto"/>
              </w:rPr>
            </w:pPr>
            <w:r>
              <w:rPr>
                <w:rFonts w:ascii="Arial" w:cs="Arial" w:eastAsia="Arial" w:hAnsi="Arial"/>
                <w:sz w:val="16"/>
                <w:szCs w:val="16"/>
                <w:color w:val="auto"/>
              </w:rPr>
              <w:t>Other noncurrent assets and liabilities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(3,093)</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Net cash flows provided by operating activities of continuing operations</w:t>
            </w:r>
          </w:p>
        </w:tc>
        <w:tc>
          <w:tcPr>
            <w:tcW w:w="1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201,787</w:t>
            </w: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141,672</w:t>
            </w: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33,975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6"/>
                <w:szCs w:val="16"/>
                <w:color w:val="auto"/>
              </w:rPr>
              <w:t>Net cash flows used in operating activities of discontinued operations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(9,238)</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(4,019)</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(12,457)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Cash provided by operating activities</w:t>
            </w:r>
          </w:p>
        </w:tc>
        <w:tc>
          <w:tcPr>
            <w:tcW w:w="1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192,549</w:t>
            </w: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137,653</w:t>
            </w:r>
          </w:p>
        </w:tc>
        <w:tc>
          <w:tcPr>
            <w:tcW w:w="2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21,518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(49,412)</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(49,422)</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(65,996)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dispositions of property and equipment</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5,592</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13,880</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20" w:type="dxa"/>
            <w:vAlign w:val="bottom"/>
          </w:tcPr>
          <w:p>
            <w:pPr>
              <w:ind w:left="240"/>
              <w:spacing w:after="0"/>
              <w:rPr>
                <w:sz w:val="20"/>
                <w:szCs w:val="20"/>
                <w:color w:val="auto"/>
              </w:rPr>
            </w:pPr>
            <w:r>
              <w:rPr>
                <w:rFonts w:ascii="Arial" w:cs="Arial" w:eastAsia="Arial" w:hAnsi="Arial"/>
                <w:sz w:val="16"/>
                <w:szCs w:val="16"/>
                <w:color w:val="auto"/>
              </w:rPr>
              <w:t>Net cash flows used in investing activities of continuing operations</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(43,820)</w:t>
            </w: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(35,542)</w:t>
            </w: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(57,410)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flows (used in) provided by investing activities of discontinued operations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18,056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240"/>
              <w:spacing w:after="0"/>
              <w:rPr>
                <w:sz w:val="20"/>
                <w:szCs w:val="20"/>
                <w:color w:val="auto"/>
              </w:rPr>
            </w:pPr>
            <w:r>
              <w:rPr>
                <w:rFonts w:ascii="Arial" w:cs="Arial" w:eastAsia="Arial" w:hAnsi="Arial"/>
                <w:sz w:val="16"/>
                <w:szCs w:val="16"/>
                <w:color w:val="auto"/>
              </w:rPr>
              <w:t>Cash used in investing activities</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(25,764)</w:t>
            </w: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(35,117)</w:t>
            </w: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(58,152)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Proceeds from issuance of debt</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Repayments of debt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(298)</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(276,148)</w:t>
            </w: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7 3/8% senior notes tender premium</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fees</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(2,388)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(5,022)</w:t>
            </w: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Taxes paid on settlement of vested share awards</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(5,008)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(1,205)</w:t>
            </w: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 and purchases from employee stock plans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Borrowings under revolving loans</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29,000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Repayments of revolving loans</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(11,500)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(112,500)</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240"/>
              <w:spacing w:after="0"/>
              <w:rPr>
                <w:sz w:val="20"/>
                <w:szCs w:val="20"/>
                <w:color w:val="auto"/>
              </w:rPr>
            </w:pPr>
            <w:r>
              <w:rPr>
                <w:rFonts w:ascii="Arial" w:cs="Arial" w:eastAsia="Arial" w:hAnsi="Arial"/>
                <w:sz w:val="16"/>
                <w:szCs w:val="16"/>
                <w:color w:val="auto"/>
              </w:rPr>
              <w:t>Net cash flows (used in) provided by financing activities of continuing operations</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4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(14,057)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(83,909)</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34,530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flows used in financing activities of discontinued operations</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(1,547)</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240"/>
              <w:spacing w:after="0"/>
              <w:rPr>
                <w:sz w:val="20"/>
                <w:szCs w:val="20"/>
                <w:color w:val="auto"/>
              </w:rPr>
            </w:pPr>
            <w:r>
              <w:rPr>
                <w:rFonts w:ascii="Arial" w:cs="Arial" w:eastAsia="Arial" w:hAnsi="Arial"/>
                <w:sz w:val="16"/>
                <w:szCs w:val="16"/>
                <w:color w:val="auto"/>
              </w:rPr>
              <w:t>Cash (used in) provided by financing activities</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4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(14,248)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(85,456)</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40" w:type="dxa"/>
            <w:vAlign w:val="bottom"/>
            <w:gridSpan w:val="2"/>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152,537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17,106</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34,458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17,352</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44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186,995</w:t>
            </w:r>
          </w:p>
        </w:tc>
        <w:tc>
          <w:tcPr>
            <w:tcW w:w="160" w:type="dxa"/>
            <w:vAlign w:val="bottom"/>
          </w:tcPr>
          <w:p>
            <w:pPr>
              <w:spacing w:after="0"/>
              <w:rPr>
                <w:sz w:val="21"/>
                <w:szCs w:val="21"/>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34,458</w:t>
            </w:r>
          </w:p>
        </w:tc>
        <w:tc>
          <w:tcPr>
            <w:tcW w:w="260" w:type="dxa"/>
            <w:vAlign w:val="bottom"/>
          </w:tcPr>
          <w:p>
            <w:pPr>
              <w:spacing w:after="0"/>
              <w:rPr>
                <w:sz w:val="21"/>
                <w:szCs w:val="21"/>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17,352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4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186,995</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34,458</w:t>
            </w:r>
          </w:p>
        </w:tc>
        <w:tc>
          <w:tcPr>
            <w:tcW w:w="26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 included in other long-term assets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44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186,995</w:t>
            </w:r>
          </w:p>
        </w:tc>
        <w:tc>
          <w:tcPr>
            <w:tcW w:w="160" w:type="dxa"/>
            <w:vAlign w:val="bottom"/>
          </w:tcPr>
          <w:p>
            <w:pPr>
              <w:spacing w:after="0"/>
              <w:rPr>
                <w:sz w:val="21"/>
                <w:szCs w:val="21"/>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34,458</w:t>
            </w:r>
          </w:p>
        </w:tc>
        <w:tc>
          <w:tcPr>
            <w:tcW w:w="260" w:type="dxa"/>
            <w:vAlign w:val="bottom"/>
          </w:tcPr>
          <w:p>
            <w:pPr>
              <w:spacing w:after="0"/>
              <w:rPr>
                <w:sz w:val="21"/>
                <w:szCs w:val="21"/>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17,352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24,942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30,855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6"/>
                <w:szCs w:val="16"/>
                <w:color w:val="auto"/>
              </w:rPr>
              <w:t>Cash paid for income taxes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gridSpan w:val="2"/>
            <w:vMerge w:val="continue"/>
          </w:tcPr>
          <w:p>
            <w:pPr>
              <w:spacing w:after="0"/>
              <w:rPr>
                <w:sz w:val="20"/>
                <w:szCs w:val="20"/>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366</w:t>
            </w:r>
          </w:p>
        </w:tc>
        <w:tc>
          <w:tcPr>
            <w:tcW w:w="160" w:type="dxa"/>
            <w:vAlign w:val="bottom"/>
          </w:tcPr>
          <w:p>
            <w:pPr>
              <w:spacing w:after="0"/>
              <w:rPr>
                <w:sz w:val="20"/>
                <w:szCs w:val="20"/>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290</w:t>
            </w:r>
          </w:p>
        </w:tc>
        <w:tc>
          <w:tcPr>
            <w:tcW w:w="260" w:type="dxa"/>
            <w:vAlign w:val="bottom"/>
          </w:tcPr>
          <w:p>
            <w:pPr>
              <w:spacing w:after="0"/>
              <w:rPr>
                <w:sz w:val="20"/>
                <w:szCs w:val="20"/>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4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purchased but not yet paid</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6"/>
                <w:szCs w:val="16"/>
                <w:color w:val="auto"/>
              </w:rPr>
              <w:t>Repayments of debt with proceeds from sale-leaseback transactions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gridSpan w:val="2"/>
            <w:vMerge w:val="continue"/>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13,034</w:t>
            </w:r>
          </w:p>
        </w:tc>
        <w:tc>
          <w:tcPr>
            <w:tcW w:w="26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57" w:name="page58"/>
    <w:bookmarkEnd w:id="57"/>
    <w:p>
      <w:pPr>
        <w:jc w:val="center"/>
        <w:ind w:left="300" w:right="2640"/>
        <w:spacing w:after="0" w:line="383" w:lineRule="auto"/>
        <w:rPr>
          <w:sz w:val="20"/>
          <w:szCs w:val="20"/>
          <w:color w:val="auto"/>
        </w:rPr>
      </w:pPr>
      <w:r>
        <w:rPr>
          <w:rFonts w:ascii="Arial" w:cs="Arial" w:eastAsia="Arial" w:hAnsi="Arial"/>
          <w:sz w:val="18"/>
          <w:szCs w:val="18"/>
          <w:b w:val="1"/>
          <w:bCs w:val="1"/>
          <w:color w:val="auto"/>
        </w:rPr>
        <w:t>GREAT LAKES DREDGE &amp; DOCK CORPORATION AND SUBSIDIARIES NOTES TO CONSOLIDATED FINANCIAL STATEMENTS AS OF December 31, 2019 AND 2018 AND FOR THE YEARS ENDED December 31, 2019, 2018 AND 2017 (In thousands, except per share amounts or as otherwise noted)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117" w:lineRule="exact"/>
        <w:rPr>
          <w:sz w:val="20"/>
          <w:szCs w:val="20"/>
          <w:color w:val="auto"/>
        </w:rPr>
      </w:pPr>
    </w:p>
    <w:p>
      <w:pPr>
        <w:ind w:right="560" w:firstLine="518"/>
        <w:spacing w:after="0" w:line="347"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—Great Lakes Dredge &amp; Dock Corporation and its subsidiaries (the “Company” or “Great Lakes”) are in the business of marine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primarily dredging. The Company’s primary customers are domestic and foreign government agencies, as well as private entities.</w:t>
      </w:r>
    </w:p>
    <w:p>
      <w:pPr>
        <w:spacing w:after="0" w:line="116" w:lineRule="exact"/>
        <w:rPr>
          <w:sz w:val="20"/>
          <w:szCs w:val="20"/>
          <w:color w:val="auto"/>
        </w:rPr>
      </w:pPr>
    </w:p>
    <w:p>
      <w:pPr>
        <w:ind w:firstLine="518"/>
        <w:spacing w:after="0" w:line="261" w:lineRule="auto"/>
        <w:rPr>
          <w:sz w:val="20"/>
          <w:szCs w:val="20"/>
          <w:color w:val="auto"/>
        </w:rPr>
      </w:pPr>
      <w:r>
        <w:rPr>
          <w:rFonts w:ascii="Arial" w:cs="Arial" w:eastAsia="Arial" w:hAnsi="Arial"/>
          <w:sz w:val="18"/>
          <w:szCs w:val="18"/>
          <w:b w:val="1"/>
          <w:bCs w:val="1"/>
          <w:color w:val="auto"/>
        </w:rPr>
        <w:t>Principles of Consolidation and Basis of Presentation</w:t>
      </w:r>
      <w:r>
        <w:rPr>
          <w:rFonts w:ascii="Arial" w:cs="Arial" w:eastAsia="Arial" w:hAnsi="Arial"/>
          <w:sz w:val="18"/>
          <w:szCs w:val="18"/>
          <w:color w:val="auto"/>
        </w:rPr>
        <w:t>—The consolidated financial statements include the accounts of Great Lakes Dredge &amp; Dock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180" w:lineRule="exact"/>
        <w:rPr>
          <w:sz w:val="20"/>
          <w:szCs w:val="20"/>
          <w:color w:val="auto"/>
        </w:rPr>
      </w:pPr>
    </w:p>
    <w:p>
      <w:pPr>
        <w:ind w:firstLine="518"/>
        <w:spacing w:after="0" w:line="26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 requires management to make estimates and assumptions that affect certain reported amounts and disclosures. Accordingly, actual results could differ from those estimates.</w:t>
      </w:r>
    </w:p>
    <w:p>
      <w:pPr>
        <w:spacing w:after="0" w:line="176"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b w:val="1"/>
          <w:bCs w:val="1"/>
          <w:color w:val="auto"/>
        </w:rPr>
        <w:t>Revenue and Cost Recognition on Contracts</w:t>
      </w:r>
      <w:r>
        <w:rPr>
          <w:rFonts w:ascii="Arial" w:cs="Arial" w:eastAsia="Arial" w:hAnsi="Arial"/>
          <w:sz w:val="16"/>
          <w:szCs w:val="16"/>
          <w:color w:val="auto"/>
        </w:rPr>
        <w:t>— Prior to January 1, 2018, the Company measured completion based on engineering estimates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physical percentage completed for dredging contracts. Under the new accounting principle, revenue is recognized using contract fulfillment costs incurred to date compared to total estimated costs at completion, also known as cost-to-cost, to measure progress towards completion. Additionally, the Company capitalizes certain pre-contract and pre-construction costs, and defers recognition over the life of the contract.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 The Company’s performance obligations are satisfied over time and revenue is recognized using the cost-to-cost method, described above. Contract modifications are changes in the scope or price (or both) of a contract that are approved by the parties to the contract. The Company recognizes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spacing w:after="0" w:line="16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its relationships with its unionized hourly workforce.</w:t>
      </w:r>
    </w:p>
    <w:p>
      <w:pPr>
        <w:spacing w:after="0" w:line="177" w:lineRule="exact"/>
        <w:rPr>
          <w:sz w:val="20"/>
          <w:szCs w:val="20"/>
          <w:color w:val="auto"/>
        </w:rPr>
      </w:pPr>
    </w:p>
    <w:p>
      <w:pPr>
        <w:ind w:right="420" w:firstLine="518"/>
        <w:spacing w:after="0" w:line="282" w:lineRule="auto"/>
        <w:rPr>
          <w:sz w:val="20"/>
          <w:szCs w:val="20"/>
          <w:color w:val="auto"/>
        </w:rPr>
      </w:pPr>
      <w:r>
        <w:rPr>
          <w:rFonts w:ascii="Arial" w:cs="Arial" w:eastAsia="Arial" w:hAnsi="Arial"/>
          <w:sz w:val="18"/>
          <w:szCs w:val="18"/>
          <w:b w:val="1"/>
          <w:bCs w:val="1"/>
          <w:color w:val="auto"/>
        </w:rPr>
        <w:t>Classification of Current Assets and Liabilities</w:t>
      </w:r>
      <w:r>
        <w:rPr>
          <w:rFonts w:ascii="Arial" w:cs="Arial" w:eastAsia="Arial" w:hAnsi="Arial"/>
          <w:sz w:val="18"/>
          <w:szCs w:val="18"/>
          <w:color w:val="auto"/>
        </w:rPr>
        <w:t>—The Company includes in current assets and liabilities amounts realizable and payable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normal course of contract completion, unless completion of such contracts extends significantly beyond one year.</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Cash Equivalents</w:t>
      </w:r>
      <w:r>
        <w:rPr>
          <w:rFonts w:ascii="Arial" w:cs="Arial" w:eastAsia="Arial" w:hAnsi="Arial"/>
          <w:sz w:val="16"/>
          <w:szCs w:val="16"/>
          <w:color w:val="auto"/>
        </w:rPr>
        <w:t>—The Company considers all highly liquid investments with a maturity at purchase of three months or less to be cash equivalents.</w:t>
      </w:r>
    </w:p>
    <w:p>
      <w:pPr>
        <w:spacing w:after="0" w:line="248" w:lineRule="exact"/>
        <w:rPr>
          <w:sz w:val="20"/>
          <w:szCs w:val="20"/>
          <w:color w:val="auto"/>
        </w:rPr>
      </w:pPr>
    </w:p>
    <w:p>
      <w:pPr>
        <w:jc w:val="both"/>
        <w:ind w:firstLine="518"/>
        <w:spacing w:after="0" w:line="314"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—Accounts receivable represent amounts due or billable under the terms of contracts with customers, including amounts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to retainage. The Company anticipates collection of retainage generally within one year, and accordingly presents retainage as a current asset. The Company provides an allowance for estimated uncollectible accounts receivable when events or conditions indicate that amounts outstanding are not recoverable.</w:t>
      </w:r>
    </w:p>
    <w:p>
      <w:pPr>
        <w:spacing w:after="0" w:line="142" w:lineRule="exact"/>
        <w:rPr>
          <w:sz w:val="20"/>
          <w:szCs w:val="20"/>
          <w:color w:val="auto"/>
        </w:rPr>
      </w:pPr>
    </w:p>
    <w:p>
      <w:pPr>
        <w:ind w:right="140" w:firstLine="518"/>
        <w:spacing w:after="0" w:line="261"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of pipe and spare parts used in the Company’s dredging operations. Pipe and spare parts are purchased in large</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therefore, a certain amount of pipe and spare part inventories is not anticipated to be used within the current year and is classified as long-term. Spare part inventories are stated at weighted average historical cost, and are charged to expense when used in operations. Pipe inventory is recorded at cost and amortized to expense over the period of its use.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8" w:name="page59"/>
    <w:bookmarkEnd w:id="58"/>
    <w:p>
      <w:pPr>
        <w:ind w:right="180" w:firstLine="518"/>
        <w:spacing w:after="0" w:line="261"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—Capital additions, improvements, and major renewals are classified as property and equipment and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depreciated 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186" w:lineRule="exact"/>
        <w:rPr>
          <w:sz w:val="20"/>
          <w:szCs w:val="20"/>
          <w:color w:val="auto"/>
        </w:rPr>
      </w:pPr>
    </w:p>
    <w:tbl>
      <w:tblPr>
        <w:tblLayout w:type="fixed"/>
        <w:tblInd w:w="2300" w:type="dxa"/>
        <w:tblCellMar>
          <w:top w:w="0" w:type="dxa"/>
          <w:left w:w="0" w:type="dxa"/>
          <w:bottom w:w="0" w:type="dxa"/>
          <w:right w:w="0" w:type="dxa"/>
        </w:tblCellMar>
      </w:tblPr>
      <w:tr>
        <w:trPr>
          <w:trHeight w:val="18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53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Arial" w:cs="Arial" w:eastAsia="Arial" w:hAnsi="Arial"/>
                <w:sz w:val="14"/>
                <w:szCs w:val="14"/>
                <w:b w:val="1"/>
                <w:bCs w:val="1"/>
                <w:color w:val="auto"/>
                <w:w w:val="95"/>
              </w:rPr>
              <w:t>Useful Life (years)</w:t>
            </w:r>
          </w:p>
        </w:tc>
      </w:tr>
      <w:tr>
        <w:trPr>
          <w:trHeight w:val="217"/>
        </w:trPr>
        <w:tc>
          <w:tcPr>
            <w:tcW w:w="5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5-10</w:t>
            </w: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Vehicles, dozers, and other light operating equipment and systems</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3-5</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Heavy operating equipment (dredges and barges)</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10-30</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Leasehold improvements are amortized over the shorter of their remaining useful lives or the remaining terms of the leases.</w:t>
      </w:r>
    </w:p>
    <w:p>
      <w:pPr>
        <w:spacing w:after="0" w:line="221" w:lineRule="exact"/>
        <w:rPr>
          <w:sz w:val="20"/>
          <w:szCs w:val="20"/>
          <w:color w:val="auto"/>
        </w:rPr>
      </w:pPr>
    </w:p>
    <w:p>
      <w:pPr>
        <w:ind w:right="180" w:firstLine="518"/>
        <w:spacing w:after="0" w:line="258" w:lineRule="auto"/>
        <w:rPr>
          <w:sz w:val="20"/>
          <w:szCs w:val="20"/>
          <w:color w:val="auto"/>
        </w:rPr>
      </w:pPr>
      <w:r>
        <w:rPr>
          <w:rFonts w:ascii="Arial" w:cs="Arial" w:eastAsia="Arial" w:hAnsi="Arial"/>
          <w:sz w:val="18"/>
          <w:szCs w:val="18"/>
          <w:b w:val="1"/>
          <w:bCs w:val="1"/>
          <w:color w:val="auto"/>
        </w:rPr>
        <w:t>Goodwill and Other Intangible Assets</w:t>
      </w:r>
      <w:r>
        <w:rPr>
          <w:rFonts w:ascii="Arial" w:cs="Arial" w:eastAsia="Arial" w:hAnsi="Arial"/>
          <w:sz w:val="18"/>
          <w:szCs w:val="18"/>
          <w:color w:val="auto"/>
        </w:rPr>
        <w:t>—Goodwill represents the excess of acquisition cost over fair value of the net assets acquired.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identifiable intangible assets may represent developed technology and databases, customer relationships, and customer contracts acquired in business combinations. Goodwill is tested annually for impairment 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8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assesses the fair values of its reporting unit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93"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analyzes companies that performed similar services or are considered peers. Due to the fact that there are no public companies that are direct competitors, the Company weighs the results of this approach less than the income approach.</w:t>
      </w:r>
    </w:p>
    <w:p>
      <w:pPr>
        <w:spacing w:after="0" w:line="17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Company has one operating segment which is also the Company’s one reportable segment and reporting unit of which the Company tests goodwill for impairment. The historical environmental &amp; infrastructure segment, which the Company sold during the second quarter of 2019, has been retrospectively presented as discontinued operations and assets and liabilities held for sale and is no longer reflected in continuing operations. The Company performed its most recent annual test of impairment as of July 1, 2019 with no indication of impairment as of the test date. The Company will perform its next scheduled annual test of goodwill in the third quarter of 2020 should no triggering events occur which would require a test prior to the next annual test.</w:t>
      </w:r>
    </w:p>
    <w:p>
      <w:pPr>
        <w:spacing w:after="0" w:line="154" w:lineRule="exact"/>
        <w:rPr>
          <w:sz w:val="20"/>
          <w:szCs w:val="20"/>
          <w:color w:val="auto"/>
        </w:rPr>
      </w:pPr>
    </w:p>
    <w:p>
      <w:pPr>
        <w:ind w:right="20" w:firstLine="518"/>
        <w:spacing w:after="0" w:line="298" w:lineRule="auto"/>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16"/>
          <w:szCs w:val="16"/>
          <w:color w:val="auto"/>
        </w:rPr>
        <w:t>—Long-lived assets are comprised of property and equipment and intangible assets subject to amortization. Long-lived assets to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No triggering events were identified in 2019 or 2018. If long-lived assets are to be disposed, depreciation is discontinued, if applicable, and the assets are reclassified as held for sale at the lower of their carrying amounts or fair values less estimated costs to sell.</w:t>
      </w:r>
    </w:p>
    <w:p>
      <w:pPr>
        <w:spacing w:after="0" w:line="154" w:lineRule="exact"/>
        <w:rPr>
          <w:sz w:val="20"/>
          <w:szCs w:val="20"/>
          <w:color w:val="auto"/>
        </w:rPr>
      </w:pPr>
    </w:p>
    <w:p>
      <w:pPr>
        <w:ind w:right="100" w:firstLine="518"/>
        <w:spacing w:after="0" w:line="258" w:lineRule="auto"/>
        <w:rPr>
          <w:sz w:val="20"/>
          <w:szCs w:val="20"/>
          <w:color w:val="auto"/>
        </w:rPr>
      </w:pPr>
      <w:r>
        <w:rPr>
          <w:rFonts w:ascii="Arial" w:cs="Arial" w:eastAsia="Arial" w:hAnsi="Arial"/>
          <w:sz w:val="18"/>
          <w:szCs w:val="18"/>
          <w:b w:val="1"/>
          <w:bCs w:val="1"/>
          <w:color w:val="auto"/>
        </w:rPr>
        <w:t>Self-insurance Reserves</w:t>
      </w:r>
      <w:r>
        <w:rPr>
          <w:rFonts w:ascii="Arial" w:cs="Arial" w:eastAsia="Arial" w:hAnsi="Arial"/>
          <w:sz w:val="18"/>
          <w:szCs w:val="18"/>
          <w:color w:val="auto"/>
        </w:rPr>
        <w:t>—The Company self-insures costs associated with its seagoing employees covered by the provisions of Jones Act,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84" w:lineRule="exact"/>
        <w:rPr>
          <w:sz w:val="20"/>
          <w:szCs w:val="20"/>
          <w:color w:val="auto"/>
        </w:rPr>
      </w:pPr>
    </w:p>
    <w:p>
      <w:pPr>
        <w:ind w:right="160" w:firstLine="518"/>
        <w:spacing w:after="0" w:line="266"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provision for income taxes includes federal, foreign, and state income taxes currently payable and those deferred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differences between the financial statement and tax basis of assets and liabilities. Recorded deferred income tax assets and liabilities are based on the estimated future tax effects of differences between the financial and tax basis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ind w:right="40"/>
        <w:spacing w:after="0" w:line="277" w:lineRule="auto"/>
        <w:rPr>
          <w:sz w:val="20"/>
          <w:szCs w:val="20"/>
          <w:color w:val="auto"/>
        </w:rPr>
      </w:pPr>
      <w:r>
        <w:rPr>
          <w:rFonts w:ascii="Arial" w:cs="Arial" w:eastAsia="Arial" w:hAnsi="Arial"/>
          <w:sz w:val="18"/>
          <w:szCs w:val="18"/>
          <w:color w:val="auto"/>
        </w:rPr>
        <w:t>assets and liabilities, given the effect of currently enacted tax laws. In 2017, the U.S. government enacted comprehensive tax legislation referred to as the Tax Cuts and Jobs Act. Refer to Note 8, Income Taxes.</w:t>
      </w:r>
    </w:p>
    <w:p>
      <w:pPr>
        <w:spacing w:after="0" w:line="166"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Hedging Instruments</w:t>
      </w:r>
      <w:r>
        <w:rPr>
          <w:rFonts w:ascii="Arial" w:cs="Arial" w:eastAsia="Arial" w:hAnsi="Arial"/>
          <w:sz w:val="18"/>
          <w:szCs w:val="18"/>
          <w:color w:val="auto"/>
        </w:rPr>
        <w:t>—At times, the Company designates certain derivative contracts as a cash flow hedge as defined by GAAP. Accordingly,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formally documents, at the inception of each hedge, all relationships between hedging instruments and hedged items, as well as its risk-management objective and strategy for undertaking hedge transactions. This process includes linking all derivatives to highly-probable forecasted transactions.</w:t>
      </w:r>
    </w:p>
    <w:p>
      <w:pPr>
        <w:spacing w:after="0" w:line="184"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spacing w:after="0" w:line="161" w:lineRule="exact"/>
        <w:rPr>
          <w:sz w:val="20"/>
          <w:szCs w:val="20"/>
          <w:color w:val="auto"/>
        </w:rPr>
      </w:pPr>
    </w:p>
    <w:p>
      <w:pPr>
        <w:ind w:right="20" w:firstLine="518"/>
        <w:spacing w:after="0" w:line="274" w:lineRule="auto"/>
        <w:rPr>
          <w:sz w:val="20"/>
          <w:szCs w:val="20"/>
          <w:color w:val="auto"/>
        </w:rPr>
      </w:pPr>
      <w:r>
        <w:rPr>
          <w:rFonts w:ascii="Arial" w:cs="Arial" w:eastAsia="Arial" w:hAnsi="Arial"/>
          <w:sz w:val="17"/>
          <w:szCs w:val="17"/>
          <w:b w:val="1"/>
          <w:bCs w:val="1"/>
          <w:color w:val="auto"/>
        </w:rPr>
        <w:t>Foreign Currency Translation</w:t>
      </w:r>
      <w:r>
        <w:rPr>
          <w:rFonts w:ascii="Arial" w:cs="Arial" w:eastAsia="Arial" w:hAnsi="Arial"/>
          <w:sz w:val="17"/>
          <w:szCs w:val="17"/>
          <w:color w:val="auto"/>
        </w:rPr>
        <w:t>—The financial statements of the Company’s foreign subsidiaries where the operations are primarily denominated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foreign currency are translated into U.S. dollars for reporting. Balance sheet accounts are translated at the current foreign exchange rate at the end of each period and income statement accounts are translated at the average foreign exchange rate for each period. Gains and losses on foreign currency translations are reflected as a currency translation adjustment, net of tax, in accumulated other comprehensive income (loss). Foreign currency transaction gains and losses are included in other income (expense). During 2018, the Company substantially completed the liquidation of the investment in its Brazil and Australia operations. Refer to Note 7, Fair Value Measurements, for further discussion of the closeout.</w:t>
      </w:r>
    </w:p>
    <w:p>
      <w:pPr>
        <w:spacing w:after="0" w:line="174"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—In January 2017, the Financial Accounting Standards Board (“FASB” issued Accounting Standard Update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 2017-04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The amendment removes the requirement to compare the implied fair value of goodwill with its carrying amount as part of step 2 of the goodwill impairment test. The guidance is effective for fiscal years beginning after December 15, 2019. The Company does not anticipate that the adoption of ASU 2017-04 will have a material effect on the Company’s consolidated financial statements.</w:t>
      </w:r>
    </w:p>
    <w:p>
      <w:pPr>
        <w:spacing w:after="0" w:line="18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February 2016, the FASB issued Accounting Standard Update No. 2016-02 (“ASU 2016-02”), Leases (Topic 842) and subsequently issued other Accounting Standard Updates related to the Accounting Standards Codification Topic 842 (collectively, “ASC 842”). The FASB issued ASC 842 to increase the transparency and comparability among organizations by recognizing lease assets and lease liabilities on the balance sheet and disclosing key information about leasing arrangements. The guidance is effective for fiscal years beginning after December 15, 2018, including interim periods within those annual periods. The Company adopted ASC 842 as of January 1, 2019 using the package of practical expedients that allow entities to retain the classification of lease contracts existing as of the date of adoption. Further, the Company adopted ASC 842 using the transition method under which entities initially apply ASC 842 at the adoption date and recognize a cumulative-effect adjustment to the opening balance of retained earnings in the period of adoption. Under this method, the comparative periods presented in the financial statements prior to the adoption date would not be adjusted to apply ASC 842. Additionally, the Company elected to combine lease and non-lease components, such as common area maintenance costs, in calculating the operating lease assets and operating lease liabilities for all asset groups except for the Company’s dredges. Upon the adoption of the new lease guidance, the Company recorded a cumulative net adjustment of $2,802 to the beginning retained earnings balance. Refer to Note 4, Leases, for further discussion of the adoption of ASC 842.</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ind w:left="520"/>
        <w:spacing w:after="0"/>
        <w:rPr>
          <w:sz w:val="20"/>
          <w:szCs w:val="20"/>
          <w:color w:val="auto"/>
        </w:rPr>
      </w:pPr>
      <w:r>
        <w:rPr>
          <w:rFonts w:ascii="Arial" w:cs="Arial" w:eastAsia="Arial" w:hAnsi="Arial"/>
          <w:sz w:val="17"/>
          <w:szCs w:val="17"/>
          <w:color w:val="auto"/>
        </w:rPr>
        <w:t>The computations for basic and diluted earnings (loss) per share for the years ended December 31, 2019, 2018 and 2017 are as follows: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00" w:type="dxa"/>
            <w:vAlign w:val="bottom"/>
            <w:tcBorders>
              <w:bottom w:val="single" w:sz="8" w:color="CFF0FC"/>
            </w:tcBorders>
          </w:tcPr>
          <w:p>
            <w:pPr>
              <w:spacing w:after="0"/>
              <w:rPr>
                <w:sz w:val="12"/>
                <w:szCs w:val="12"/>
                <w:color w:val="auto"/>
              </w:rPr>
            </w:pPr>
          </w:p>
        </w:tc>
        <w:tc>
          <w:tcPr>
            <w:tcW w:w="3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Loss on discontinued operations, net of income taxes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(6,329)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(17,309)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Effect of stock options and restricted stock units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diluted</w:t>
            </w:r>
          </w:p>
        </w:tc>
        <w:tc>
          <w:tcPr>
            <w:tcW w:w="3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65,042</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63,607</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61,365</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Earnings (loss) per share from continuing operations — basic</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w w:val="97"/>
              </w:rPr>
              <w:t>Earnings (loss) per share from continuing operations — diluted</w:t>
            </w:r>
          </w:p>
        </w:tc>
        <w:tc>
          <w:tcPr>
            <w:tcW w:w="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For the year ended December 31, 2017 the dilutive effect of 716 stock options (“NQSO”) and restricted stock units (“RSU”) were excluded from the diluted weighted-average common shares outstanding as the Company incurred a loss during the period.</w:t>
      </w:r>
    </w:p>
    <w:p>
      <w:pPr>
        <w:spacing w:after="0" w:line="197"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For the years ended December 31, 2019, 2018 and 2017 the following amounts of NQSOs and RSUs were excluded from the calculation of diluted earnings per share based on the application of the treasury stock method, as such NQSOs and RSUs were determined to be anti-dilutive: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gridSpan w:val="3"/>
          </w:tcPr>
          <w:p>
            <w:pPr>
              <w:ind w:left="1140"/>
              <w:spacing w:after="0"/>
              <w:rPr>
                <w:sz w:val="20"/>
                <w:szCs w:val="20"/>
                <w:color w:val="auto"/>
              </w:rPr>
            </w:pPr>
            <w:r>
              <w:rPr>
                <w:rFonts w:ascii="Arial" w:cs="Arial" w:eastAsia="Arial" w:hAnsi="Arial"/>
                <w:sz w:val="14"/>
                <w:szCs w:val="14"/>
                <w:b w:val="1"/>
                <w:bCs w:val="1"/>
                <w:color w:val="auto"/>
              </w:rPr>
              <w:t>(shares in thousands)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84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2019</w:t>
            </w:r>
          </w:p>
        </w:tc>
        <w:tc>
          <w:tcPr>
            <w:tcW w:w="1620" w:type="dxa"/>
            <w:vAlign w:val="bottom"/>
            <w:gridSpan w:val="6"/>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13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560" w:type="dxa"/>
            <w:vAlign w:val="bottom"/>
            <w:tcBorders>
              <w:bottom w:val="single" w:sz="8" w:color="CFF0FC"/>
            </w:tcBorders>
          </w:tcPr>
          <w:p>
            <w:pPr>
              <w:spacing w:after="0"/>
              <w:rPr>
                <w:sz w:val="2"/>
                <w:szCs w:val="2"/>
                <w:color w:val="auto"/>
              </w:rPr>
            </w:pPr>
          </w:p>
        </w:tc>
        <w:tc>
          <w:tcPr>
            <w:tcW w:w="4740" w:type="dxa"/>
            <w:vAlign w:val="bottom"/>
            <w:tcBorders>
              <w:bottom w:val="single" w:sz="8" w:color="CFF0FC"/>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of stock options and restricted stock units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1,285</w:t>
            </w:r>
          </w:p>
        </w:tc>
        <w:tc>
          <w:tcPr>
            <w:tcW w:w="1360" w:type="dxa"/>
            <w:vAlign w:val="bottom"/>
            <w:gridSpan w:val="5"/>
            <w:shd w:val="clear" w:color="auto" w:fill="CFF0FC"/>
          </w:tcPr>
          <w:p>
            <w:pPr>
              <w:jc w:val="right"/>
              <w:ind w:right="100"/>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581"/>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3. PROPERTY AND EQUIPMENT</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60" w:type="dxa"/>
            <w:vAlign w:val="bottom"/>
            <w:gridSpan w:val="3"/>
          </w:tcPr>
          <w:p>
            <w:pPr>
              <w:ind w:left="520"/>
              <w:spacing w:after="0"/>
              <w:rPr>
                <w:sz w:val="20"/>
                <w:szCs w:val="20"/>
                <w:color w:val="auto"/>
              </w:rPr>
            </w:pPr>
            <w:r>
              <w:rPr>
                <w:rFonts w:ascii="Arial" w:cs="Arial" w:eastAsia="Arial" w:hAnsi="Arial"/>
                <w:sz w:val="18"/>
                <w:szCs w:val="18"/>
                <w:color w:val="auto"/>
              </w:rPr>
              <w:t>Property and equipment at December 31, 2019 and 2018 are as follows: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5300" w:type="dxa"/>
            <w:vAlign w:val="bottom"/>
            <w:gridSpan w:val="2"/>
            <w:vMerge w:val="restart"/>
          </w:tcPr>
          <w:p>
            <w:pPr>
              <w:ind w:left="560"/>
              <w:spacing w:after="0"/>
              <w:rPr>
                <w:sz w:val="20"/>
                <w:szCs w:val="20"/>
                <w:color w:val="auto"/>
              </w:rPr>
            </w:pPr>
            <w:r>
              <w:rPr>
                <w:rFonts w:ascii="Arial" w:cs="Arial" w:eastAsia="Arial" w:hAnsi="Arial"/>
                <w:sz w:val="18"/>
                <w:szCs w:val="18"/>
                <w:color w:val="auto"/>
              </w:rPr>
              <w:t>Land</w:t>
            </w:r>
          </w:p>
        </w:tc>
        <w:tc>
          <w:tcPr>
            <w:tcW w:w="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0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9,992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9,992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5,071</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16,299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14,087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equipment</w:t>
            </w:r>
          </w:p>
        </w:tc>
        <w:tc>
          <w:tcPr>
            <w:tcW w:w="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738,375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710,128</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769,737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739,278</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(395,141)</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5"/>
              </w:rPr>
              <w:t>(369,415)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 net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374,596</w:t>
            </w:r>
          </w:p>
        </w:tc>
        <w:tc>
          <w:tcPr>
            <w:tcW w:w="1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369,863</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Operating equipment of $3,970 and $3,537 was classified as held for sale, excluded from property and equipment, as of December 31, 2019 and 2018, respectively.</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$37,145, $50,389 and $55,962, for the years ended December 31, 2019, 2018 and 2017, respectively.</w:t>
      </w:r>
    </w:p>
    <w:p>
      <w:pPr>
        <w:spacing w:after="0" w:line="266"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For more information about changes in assets held for sale and depreciation expense related to the Company’s restructuring refer to Note 12, Restructuring Charges.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2025. Leases with an initial term greater than twelve months are recorded on the Company’s balance sheet as an operating lease asset and operating lease liability and are measured at the present value of lease payments over the lease term. Substantially all of the Company’s leases are classified as operating leases. Leases with an initial term of twelve months or less with purchase options or extension options that are not reasonably certain to be exercised are not recorded on the balance sheet. The Company recognizes lease expense for these leases on a straight-line basis over the lease term.</w:t>
      </w:r>
    </w:p>
    <w:p>
      <w:pPr>
        <w:spacing w:after="0" w:line="50"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6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exercise of lease renewal options is at the Company’s sole discretion and is considered in the measurement of operating lease assets and operating lease liabilities when it is reasonably certain the Company will exercise the option. Certain leases also include options to purchase the leased property. The depreciable life of assets and leasehold improvements are limited by the expected lease term, unless there is a transfer of title or purchase option reasonably certain of exercise.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Company’s lease costs are recorded in cost of contract revenues and general and administrative expenses. For the year ended December 31, 2019, lease costs are as follows:</w:t>
      </w:r>
    </w:p>
    <w:p>
      <w:pPr>
        <w:spacing w:after="0" w:line="176" w:lineRule="exact"/>
        <w:rPr>
          <w:sz w:val="20"/>
          <w:szCs w:val="20"/>
          <w:color w:val="auto"/>
        </w:rPr>
      </w:pPr>
    </w:p>
    <w:tbl>
      <w:tblPr>
        <w:tblLayout w:type="fixed"/>
        <w:tblInd w:w="298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920" w:type="dxa"/>
            <w:vAlign w:val="bottom"/>
            <w:vMerge w:val="restart"/>
          </w:tcPr>
          <w:p>
            <w:pPr>
              <w:spacing w:after="0"/>
              <w:rPr>
                <w:sz w:val="20"/>
                <w:szCs w:val="20"/>
                <w:color w:val="auto"/>
              </w:rPr>
            </w:pPr>
            <w:r>
              <w:rPr>
                <w:rFonts w:ascii="Arial" w:cs="Arial" w:eastAsia="Arial" w:hAnsi="Arial"/>
                <w:sz w:val="18"/>
                <w:szCs w:val="18"/>
                <w:color w:val="auto"/>
              </w:rPr>
              <w:t>Operating lease cost</w:t>
            </w:r>
          </w:p>
        </w:tc>
        <w:tc>
          <w:tcPr>
            <w:tcW w:w="360" w:type="dxa"/>
            <w:vAlign w:val="bottom"/>
          </w:tcPr>
          <w:p>
            <w:pPr>
              <w:spacing w:after="0"/>
              <w:rPr>
                <w:sz w:val="14"/>
                <w:szCs w:val="14"/>
                <w:color w:val="auto"/>
              </w:rPr>
            </w:pPr>
          </w:p>
        </w:tc>
        <w:tc>
          <w:tcPr>
            <w:tcW w:w="2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w:t>
            </w:r>
          </w:p>
        </w:tc>
        <w:tc>
          <w:tcPr>
            <w:tcW w:w="36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70,382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Total lease cost</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Total rent expense under long-term operating lease arrangements for the years ended December 31, 2018 and 2017 was $21,160 and $26,664, respectively. This excludes expenses for equipment and facilities rented on a short-term, as-needed basis. For more information about charges to rent expense during 2018 related to the Company’s restructuring refer to Note 12, Restructuring Charges.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terms and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recorded on the balance sheet, the Company’s maturity analysis of its operating lease liabilities as of December 31, 2019 is as follows: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3280" w:type="dxa"/>
            <w:vAlign w:val="bottom"/>
          </w:tcPr>
          <w:p>
            <w:pPr>
              <w:jc w:val="right"/>
              <w:ind w:right="2750"/>
              <w:spacing w:after="0"/>
              <w:rPr>
                <w:sz w:val="20"/>
                <w:szCs w:val="20"/>
                <w:color w:val="auto"/>
              </w:rPr>
            </w:pPr>
            <w:r>
              <w:rPr>
                <w:rFonts w:ascii="Arial" w:cs="Arial" w:eastAsia="Arial" w:hAnsi="Arial"/>
                <w:sz w:val="18"/>
                <w:szCs w:val="18"/>
                <w:color w:val="auto"/>
              </w:rPr>
              <w:t>2020</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25,585</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3280" w:type="dxa"/>
            <w:vAlign w:val="bottom"/>
            <w:shd w:val="clear" w:color="auto" w:fill="CFF0FC"/>
          </w:tcPr>
          <w:p>
            <w:pPr>
              <w:jc w:val="right"/>
              <w:ind w:right="2750"/>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FF0FC"/>
          </w:tcPr>
          <w:p>
            <w:pPr>
              <w:spacing w:after="0"/>
              <w:rPr>
                <w:sz w:val="19"/>
                <w:szCs w:val="19"/>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21,537</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3280" w:type="dxa"/>
            <w:vAlign w:val="bottom"/>
          </w:tcPr>
          <w:p>
            <w:pPr>
              <w:jc w:val="right"/>
              <w:ind w:right="2750"/>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15,620</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3280" w:type="dxa"/>
            <w:vAlign w:val="bottom"/>
            <w:shd w:val="clear" w:color="auto" w:fill="CFF0FC"/>
          </w:tcPr>
          <w:p>
            <w:pPr>
              <w:jc w:val="right"/>
              <w:ind w:right="2750"/>
              <w:spacing w:after="0"/>
              <w:rPr>
                <w:sz w:val="20"/>
                <w:szCs w:val="20"/>
                <w:color w:val="auto"/>
              </w:rPr>
            </w:pPr>
            <w:r>
              <w:rPr>
                <w:rFonts w:ascii="Arial" w:cs="Arial" w:eastAsia="Arial" w:hAnsi="Arial"/>
                <w:sz w:val="18"/>
                <w:szCs w:val="18"/>
                <w:color w:val="auto"/>
              </w:rPr>
              <w:t>2023</w:t>
            </w:r>
          </w:p>
        </w:tc>
        <w:tc>
          <w:tcPr>
            <w:tcW w:w="920" w:type="dxa"/>
            <w:vAlign w:val="bottom"/>
            <w:shd w:val="clear" w:color="auto" w:fill="CFF0FC"/>
          </w:tcPr>
          <w:p>
            <w:pPr>
              <w:spacing w:after="0"/>
              <w:rPr>
                <w:sz w:val="19"/>
                <w:szCs w:val="19"/>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9,752</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3280" w:type="dxa"/>
            <w:vAlign w:val="bottom"/>
          </w:tcPr>
          <w:p>
            <w:pPr>
              <w:jc w:val="right"/>
              <w:ind w:right="2750"/>
              <w:spacing w:after="0"/>
              <w:rPr>
                <w:sz w:val="20"/>
                <w:szCs w:val="20"/>
                <w:color w:val="auto"/>
              </w:rPr>
            </w:pPr>
            <w:r>
              <w:rPr>
                <w:rFonts w:ascii="Arial" w:cs="Arial" w:eastAsia="Arial" w:hAnsi="Arial"/>
                <w:sz w:val="18"/>
                <w:szCs w:val="18"/>
                <w:color w:val="auto"/>
              </w:rPr>
              <w:t>2024</w:t>
            </w: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7,052</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3280" w:type="dxa"/>
            <w:vAlign w:val="bottom"/>
          </w:tcPr>
          <w:p>
            <w:pPr>
              <w:jc w:val="right"/>
              <w:ind w:right="1210"/>
              <w:spacing w:after="0"/>
              <w:rPr>
                <w:sz w:val="20"/>
                <w:szCs w:val="20"/>
                <w:color w:val="auto"/>
              </w:rPr>
            </w:pPr>
            <w:r>
              <w:rPr>
                <w:rFonts w:ascii="Arial" w:cs="Arial" w:eastAsia="Arial" w:hAnsi="Arial"/>
                <w:sz w:val="18"/>
                <w:szCs w:val="18"/>
                <w:color w:val="auto"/>
                <w:w w:val="96"/>
              </w:rPr>
              <w:t>Minimum lease payments</w:t>
            </w: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82,398</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Imputed interest</w:t>
            </w:r>
          </w:p>
        </w:tc>
        <w:tc>
          <w:tcPr>
            <w:tcW w:w="9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9,916</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6"/>
              </w:rPr>
              <w:t>Present value of minimum operating lease</w:t>
            </w: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payments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72,482</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280" w:type="dxa"/>
            <w:vAlign w:val="bottom"/>
            <w:vMerge w:val="restart"/>
          </w:tcPr>
          <w:p>
            <w:pPr>
              <w:jc w:val="right"/>
              <w:ind w:right="310"/>
              <w:spacing w:after="0"/>
              <w:rPr>
                <w:sz w:val="20"/>
                <w:szCs w:val="20"/>
                <w:color w:val="auto"/>
              </w:rPr>
            </w:pPr>
            <w:r>
              <w:rPr>
                <w:rFonts w:ascii="Arial" w:cs="Arial" w:eastAsia="Arial" w:hAnsi="Arial"/>
                <w:sz w:val="18"/>
                <w:szCs w:val="18"/>
                <w:color w:val="auto"/>
              </w:rPr>
              <w:t>61</w:t>
            </w: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9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62" w:name="page63"/>
    <w:bookmarkEnd w:id="62"/>
    <w:tbl>
      <w:tblPr>
        <w:tblLayout w:type="fixed"/>
        <w:tblInd w:w="520" w:type="dxa"/>
        <w:tblCellMar>
          <w:top w:w="0" w:type="dxa"/>
          <w:left w:w="0" w:type="dxa"/>
          <w:bottom w:w="0" w:type="dxa"/>
          <w:right w:w="0" w:type="dxa"/>
        </w:tblCellMar>
      </w:tblPr>
      <w:tr>
        <w:trPr>
          <w:trHeight w:val="230"/>
        </w:trPr>
        <w:tc>
          <w:tcPr>
            <w:tcW w:w="6740" w:type="dxa"/>
            <w:vAlign w:val="bottom"/>
            <w:gridSpan w:val="2"/>
          </w:tcPr>
          <w:p>
            <w:pPr>
              <w:jc w:val="right"/>
              <w:ind w:right="670"/>
              <w:spacing w:after="0"/>
              <w:rPr>
                <w:sz w:val="20"/>
                <w:szCs w:val="20"/>
                <w:color w:val="auto"/>
              </w:rPr>
            </w:pPr>
            <w:r>
              <w:rPr>
                <w:rFonts w:ascii="Arial" w:cs="Arial" w:eastAsia="Arial" w:hAnsi="Arial"/>
                <w:sz w:val="18"/>
                <w:szCs w:val="18"/>
                <w:color w:val="auto"/>
                <w:w w:val="89"/>
              </w:rPr>
              <w:t>Future minimum operating lease payments at December 31, 2018, were as follows: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vMerge w:val="continue"/>
          </w:tcPr>
          <w:p>
            <w:pPr>
              <w:spacing w:after="0"/>
              <w:rPr>
                <w:sz w:val="19"/>
                <w:szCs w:val="19"/>
                <w:color w:val="auto"/>
              </w:rPr>
            </w:pPr>
          </w:p>
        </w:tc>
        <w:tc>
          <w:tcPr>
            <w:tcW w:w="4040" w:type="dxa"/>
            <w:vAlign w:val="bottom"/>
            <w:shd w:val="clear" w:color="auto" w:fill="CFF0FC"/>
          </w:tcPr>
          <w:p>
            <w:pPr>
              <w:jc w:val="right"/>
              <w:ind w:right="351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4040" w:type="dxa"/>
            <w:vAlign w:val="bottom"/>
          </w:tcPr>
          <w:p>
            <w:pPr>
              <w:jc w:val="right"/>
              <w:ind w:right="35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4040" w:type="dxa"/>
            <w:vAlign w:val="bottom"/>
            <w:shd w:val="clear" w:color="auto" w:fill="CFF0FC"/>
          </w:tcPr>
          <w:p>
            <w:pPr>
              <w:jc w:val="right"/>
              <w:ind w:right="351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4040" w:type="dxa"/>
            <w:vAlign w:val="bottom"/>
          </w:tcPr>
          <w:p>
            <w:pPr>
              <w:jc w:val="right"/>
              <w:ind w:right="351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4040" w:type="dxa"/>
            <w:vAlign w:val="bottom"/>
            <w:shd w:val="clear" w:color="auto" w:fill="CFF0FC"/>
          </w:tcPr>
          <w:p>
            <w:pPr>
              <w:jc w:val="right"/>
              <w:ind w:right="351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4040" w:type="dxa"/>
            <w:vAlign w:val="bottom"/>
            <w:tcBorders>
              <w:bottom w:val="single" w:sz="8" w:color="CFF0FC"/>
            </w:tcBorders>
          </w:tcPr>
          <w:p>
            <w:pPr>
              <w:jc w:val="right"/>
              <w:ind w:right="3190"/>
              <w:spacing w:after="0"/>
              <w:rPr>
                <w:sz w:val="20"/>
                <w:szCs w:val="20"/>
                <w:color w:val="auto"/>
              </w:rPr>
            </w:pPr>
            <w:r>
              <w:rPr>
                <w:rFonts w:ascii="Arial" w:cs="Arial" w:eastAsia="Arial" w:hAnsi="Arial"/>
                <w:sz w:val="18"/>
                <w:szCs w:val="18"/>
                <w:color w:val="auto"/>
                <w:w w:val="89"/>
              </w:rPr>
              <w:t>Thereafter</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jc w:val="right"/>
              <w:ind w:right="850"/>
              <w:spacing w:after="0"/>
              <w:rPr>
                <w:sz w:val="20"/>
                <w:szCs w:val="20"/>
                <w:color w:val="auto"/>
              </w:rPr>
            </w:pPr>
            <w:r>
              <w:rPr>
                <w:rFonts w:ascii="Arial" w:cs="Arial" w:eastAsia="Arial" w:hAnsi="Arial"/>
                <w:sz w:val="18"/>
                <w:szCs w:val="18"/>
                <w:color w:val="auto"/>
                <w:w w:val="93"/>
              </w:rPr>
              <w:t>Total minimum operating lease payments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98,623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As most of the Company’s leases do not provide an implicit rate, the Company used its incremental borrowing rate based on the information available at commencement date in determining the present value of lease payments. At the date of adoption of ASC 842, the Company used the incremental borrowing rate as of December 31, 2018, for operating leases that commenced prior to that date.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 information related to the Company’s leases as of December 31, 2019 is as follows:</w:t>
      </w:r>
    </w:p>
    <w:p>
      <w:pPr>
        <w:spacing w:after="0" w:line="298" w:lineRule="exact"/>
        <w:rPr>
          <w:sz w:val="20"/>
          <w:szCs w:val="20"/>
          <w:color w:val="auto"/>
        </w:rPr>
      </w:pPr>
    </w:p>
    <w:tbl>
      <w:tblPr>
        <w:tblLayout w:type="fixed"/>
        <w:tblInd w:w="28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4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information related to leases during the year ended December 31,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(27,235)</w:t>
            </w:r>
          </w:p>
        </w:tc>
        <w:tc>
          <w:tcPr>
            <w:tcW w:w="8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Operating lease liabilities arising from obtaining new</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440" w:type="dxa"/>
            <w:vAlign w:val="bottom"/>
            <w:gridSpan w:val="2"/>
          </w:tcPr>
          <w:p>
            <w:pPr>
              <w:ind w:left="380"/>
              <w:spacing w:after="0"/>
              <w:rPr>
                <w:sz w:val="20"/>
                <w:szCs w:val="20"/>
                <w:color w:val="auto"/>
              </w:rPr>
            </w:pPr>
            <w:r>
              <w:rPr>
                <w:rFonts w:ascii="Arial" w:cs="Arial" w:eastAsia="Arial" w:hAnsi="Arial"/>
                <w:sz w:val="18"/>
                <w:szCs w:val="18"/>
                <w:color w:val="auto"/>
              </w:rPr>
              <w:t>operating lease assets</w:t>
            </w:r>
          </w:p>
        </w:tc>
        <w:tc>
          <w:tcPr>
            <w:tcW w:w="10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13,149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5. ACCRUED EXPENSES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60" w:type="dxa"/>
            <w:vAlign w:val="bottom"/>
            <w:gridSpan w:val="3"/>
          </w:tcPr>
          <w:p>
            <w:pPr>
              <w:ind w:left="520"/>
              <w:spacing w:after="0"/>
              <w:rPr>
                <w:sz w:val="20"/>
                <w:szCs w:val="20"/>
                <w:color w:val="auto"/>
              </w:rPr>
            </w:pPr>
            <w:r>
              <w:rPr>
                <w:rFonts w:ascii="Arial" w:cs="Arial" w:eastAsia="Arial" w:hAnsi="Arial"/>
                <w:sz w:val="18"/>
                <w:szCs w:val="18"/>
                <w:color w:val="auto"/>
              </w:rPr>
              <w:t>Accrued expenses at December 31, 2019 and 2018 were as follows: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60" w:type="dxa"/>
            <w:vAlign w:val="bottom"/>
            <w:gridSpan w:val="3"/>
            <w:vMerge w:val="restart"/>
          </w:tcPr>
          <w:p>
            <w:pPr>
              <w:ind w:left="1720"/>
              <w:spacing w:after="0"/>
              <w:rPr>
                <w:sz w:val="20"/>
                <w:szCs w:val="20"/>
                <w:color w:val="auto"/>
              </w:rPr>
            </w:pPr>
            <w:r>
              <w:rPr>
                <w:rFonts w:ascii="Arial" w:cs="Arial" w:eastAsia="Arial" w:hAnsi="Arial"/>
                <w:sz w:val="18"/>
                <w:szCs w:val="18"/>
                <w:color w:val="auto"/>
              </w:rPr>
              <w:t>Payroll and employee benefits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60" w:type="dxa"/>
            <w:vAlign w:val="bottom"/>
            <w:gridSpan w:val="3"/>
            <w:vMerge w:val="continue"/>
          </w:tcPr>
          <w:p>
            <w:pPr>
              <w:spacing w:after="0"/>
              <w:rPr>
                <w:sz w:val="19"/>
                <w:szCs w:val="19"/>
                <w:color w:val="auto"/>
              </w:rPr>
            </w:pPr>
          </w:p>
        </w:tc>
        <w:tc>
          <w:tcPr>
            <w:tcW w:w="10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16,859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15,298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Insurance</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15,702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13,724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Contract reserves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6,248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1,709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3,448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Income and other taxes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1,597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1,175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Fuel hedge contracts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4,710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Accrued rent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496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7,535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7,791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gridSpan w:val="3"/>
          </w:tcPr>
          <w:p>
            <w:pPr>
              <w:ind w:left="1720"/>
              <w:spacing w:after="0"/>
              <w:rPr>
                <w:sz w:val="20"/>
                <w:szCs w:val="20"/>
                <w:color w:val="auto"/>
              </w:rPr>
            </w:pPr>
            <w:r>
              <w:rPr>
                <w:rFonts w:ascii="Arial" w:cs="Arial" w:eastAsia="Arial" w:hAnsi="Arial"/>
                <w:sz w:val="18"/>
                <w:szCs w:val="18"/>
                <w:color w:val="auto"/>
              </w:rPr>
              <w:t>Total accrued expenses</w:t>
            </w:r>
          </w:p>
        </w:tc>
        <w:tc>
          <w:tcPr>
            <w:tcW w:w="10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51,225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48,351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1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60" w:type="dxa"/>
            <w:vAlign w:val="bottom"/>
            <w:gridSpan w:val="3"/>
          </w:tcPr>
          <w:p>
            <w:pPr>
              <w:ind w:left="520"/>
              <w:spacing w:after="0"/>
              <w:rPr>
                <w:sz w:val="20"/>
                <w:szCs w:val="20"/>
                <w:color w:val="auto"/>
              </w:rPr>
            </w:pPr>
            <w:r>
              <w:rPr>
                <w:rFonts w:ascii="Arial" w:cs="Arial" w:eastAsia="Arial" w:hAnsi="Arial"/>
                <w:sz w:val="18"/>
                <w:szCs w:val="18"/>
                <w:color w:val="auto"/>
              </w:rPr>
              <w:t>Long-term debt at December 31, 2019 and 2018 were as follows: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160" w:type="dxa"/>
            <w:vAlign w:val="bottom"/>
            <w:gridSpan w:val="3"/>
            <w:vMerge w:val="restart"/>
          </w:tcPr>
          <w:p>
            <w:pPr>
              <w:ind w:left="17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60" w:type="dxa"/>
            <w:vAlign w:val="bottom"/>
            <w:gridSpan w:val="3"/>
            <w:vMerge w:val="continue"/>
          </w:tcPr>
          <w:p>
            <w:pPr>
              <w:spacing w:after="0"/>
              <w:rPr>
                <w:sz w:val="19"/>
                <w:szCs w:val="19"/>
                <w:color w:val="auto"/>
              </w:rPr>
            </w:pPr>
          </w:p>
        </w:tc>
        <w:tc>
          <w:tcPr>
            <w:tcW w:w="1000" w:type="dxa"/>
            <w:vAlign w:val="bottom"/>
            <w:gridSpan w:val="2"/>
          </w:tcPr>
          <w:p>
            <w:pPr>
              <w:spacing w:after="0"/>
              <w:rPr>
                <w:sz w:val="19"/>
                <w:szCs w:val="19"/>
                <w:color w:val="auto"/>
              </w:rPr>
            </w:pPr>
          </w:p>
        </w:tc>
        <w:tc>
          <w:tcPr>
            <w:tcW w:w="200" w:type="dxa"/>
            <w:vAlign w:val="bottom"/>
            <w:gridSpan w:val="2"/>
          </w:tcPr>
          <w:p>
            <w:pPr>
              <w:jc w:val="right"/>
              <w:ind w:right="2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11,500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8% Senior Notes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322,843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321,950</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gridSpan w:val="3"/>
          </w:tcPr>
          <w:p>
            <w:pPr>
              <w:ind w:left="17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322,843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333,450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4440" w:type="dxa"/>
            <w:vAlign w:val="bottom"/>
            <w:gridSpan w:val="2"/>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Current portion of revolving credit facility</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(11,500)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322,843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321,950</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ind w:left="562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6" w:right="21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i w:val="1"/>
          <w:iCs w:val="1"/>
          <w:color w:val="auto"/>
        </w:rPr>
        <w:t>Credit agreement</w:t>
      </w:r>
    </w:p>
    <w:p>
      <w:pPr>
        <w:spacing w:after="0" w:line="131"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On May 3, 2019, the Company, Great Lakes Dredge &amp; Dock Company, LLC, NASDI Holdings, LLC, Great Lakes Dredge &amp; Dock Environmental, Inc., Great Lakes Environmental &amp; Infrastructure Solutions, LLC, Great Lakes U.S. Fleet Management, LLC, and Drews Services LLC (collectively, the “Credit Parties”) entered into an amended and restated revolving credit and security agreement (as amended, supplemented or otherwise modified from time to time, the “Amended Credit Agreement”) with certain financial institutions from time to time party thereto as lenders, PNC Bank, National Association, as Agent (the “Agent”), PNC Capital Markets, CIBC Bank USA, Suntrust Robinson Humphrey, Inc. and Bank of America, N.A., as Joint Lead Arrangers and Joint Bookrunners, and HSBC USA, N.A., as Documentation Agent. The Amended Credit Agreement amends and restates the prior Revolving Credit and Security Agreement dated as of December 30, 2016 (as amended, the “Prior Credit Agreement”)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terms of the Amended Credit Agreement are summarized below.</w:t>
      </w:r>
    </w:p>
    <w:p>
      <w:pPr>
        <w:spacing w:after="0" w:line="218"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The Amended Credit Agreement provides for a senior secured revolving credit facility in an aggregate principal amount of up to $200,000 of which the full amount is available for the issuance of standby letters of credit. The maximum borrowing capacity under the Amended Credit Agreement is determined by a formula and may fluctuate depending on the value of the collateral included in such formula at the time of determination. The Amended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216"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and for other general corporate purposes. The Amended Credit Agreement matures on May 3, 2024; provided that the maturity date shall be accelerated to the date that is ninety-one days prior to the scheduled maturity date of the Company’s unsecured senior notes if the Company fails to refinance its unsecured senior notes prior to their scheduled maturity date. The refinanced 8% Senior Notes must have a maturity on or after the date that is 180 days after the maturity date of the Amended Credit Agreement.</w:t>
      </w:r>
    </w:p>
    <w:p>
      <w:pPr>
        <w:spacing w:after="0" w:line="228"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The obligations under the Amended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227"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Interest on the senior secured revolving credit facility of the Amended Credit Agreement is equal to either a Domestic Rate option or LIBOR option, at the Company’s election. As of the Closing Date, (a) the Domestic Rate option is the highest of (1) the base commercial lending rate of PNC Bank, National Association, as publicly announced, (2) the sum of the federal funds open rate plus 0.5% and (3) the sum of the daily LIBOR rate plus 1.0%, so long as a daily LIBOR rate is offered, ascertainable and not unlawful plus an interest margin of 0.5%; and (b) the LIBOR Rate option is the rate that applies for the applicable interest period on the Bloomberg page BBAMI (or such other substitute page or alternate source as agreed) plus an interest margin of 1.5%. After the date on which a borrowing base certificate is required to be delivered under Section 9.2 of the Amended Credit Agreement (commencing with the fiscal quarter ended September 30, 2019, the “Adjustment Date”), the Domestic Rate option will be the Domestic Rate plus an interest margin ranging between</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0.5% and 1.0% and the LIBOR Rate option will be the LIBOR Rate plus an interest margin ranging between 1.5% and 2.0%, in each case, depending on the quarterly average undrawn availability on the Amended Credit Agreement.</w:t>
      </w:r>
    </w:p>
    <w:p>
      <w:pPr>
        <w:spacing w:after="0" w:line="21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As of December 31, 2019, the Company had no borrowings on the revolver, $35,779 of letters of credit outstanding and $163,729 of availability under the Amended Credit Agreement. The availability under the Amended Credit Agreement is suppressed by $492 as of December 31, 2019 as a result of certain limitations set forth in the Amended Credit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64" w:name="page65"/>
    <w:bookmarkEnd w:id="64"/>
    <w:p>
      <w:pPr>
        <w:ind w:left="520"/>
        <w:spacing w:after="0"/>
        <w:rPr>
          <w:sz w:val="20"/>
          <w:szCs w:val="20"/>
          <w:color w:val="auto"/>
        </w:rPr>
      </w:pPr>
      <w:r>
        <w:rPr>
          <w:rFonts w:ascii="Arial" w:cs="Arial" w:eastAsia="Arial" w:hAnsi="Arial"/>
          <w:sz w:val="18"/>
          <w:szCs w:val="18"/>
          <w:i w:val="1"/>
          <w:iCs w:val="1"/>
          <w:color w:val="auto"/>
        </w:rPr>
        <w:t>Prior revolving credit agreement</w:t>
      </w:r>
    </w:p>
    <w:p>
      <w:pPr>
        <w:spacing w:after="0" w:line="131"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The Prior Credit Agreement was entered into on December 30, 2016 and before amended provided for a senior secured revolving credit facility in an aggregate principal amount of up to $250,000. Previous borrowings under the revolving credit facility bore interest at the option of the Company at either a LIBOR rate plus a margin of between 2.5% to 3.0% per annum or a base rate plus a margin of between 1.5% to 2.0% per annum.</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notes and subsidiary guarantors</w:t>
      </w:r>
    </w:p>
    <w:p>
      <w:pPr>
        <w:spacing w:after="0" w:line="131" w:lineRule="exact"/>
        <w:rPr>
          <w:sz w:val="20"/>
          <w:szCs w:val="20"/>
          <w:color w:val="auto"/>
        </w:rPr>
      </w:pPr>
    </w:p>
    <w:p>
      <w:pPr>
        <w:jc w:val="both"/>
        <w:ind w:right="180" w:firstLine="518"/>
        <w:spacing w:after="0" w:line="302" w:lineRule="auto"/>
        <w:rPr>
          <w:sz w:val="20"/>
          <w:szCs w:val="20"/>
          <w:color w:val="auto"/>
        </w:rPr>
      </w:pPr>
      <w:r>
        <w:rPr>
          <w:rFonts w:ascii="Arial" w:cs="Arial" w:eastAsia="Arial" w:hAnsi="Arial"/>
          <w:sz w:val="16"/>
          <w:szCs w:val="16"/>
          <w:color w:val="auto"/>
        </w:rPr>
        <w:t>The Company has outstanding $325,000 of 8.000% senior notes (“8% Senior Notes”) due May 15, 2022. In May 2017, the Company issued the 8% Senior Notes at 100% of face value resulting in net proceeds of $321,653, net of underwriting fees. In connection with the issuance of the 8% Senior Notes, the Company retired all of its $275,000 of 7.375% senior notes due February 2019 for $282,638, which included a tender premium and accrued and unpaid interest. The Company used the remaining net proceeds from the debt offering to reduce the Company’s indebtedness under its prior Credit Agreement.</w:t>
      </w:r>
    </w:p>
    <w:p>
      <w:pPr>
        <w:spacing w:after="0" w:line="19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The Company enters into note arrangements to finance certain vessels and ancillary equipment. In February 2018, the Company completed a sale-leaseback of a vessel yielding net proceeds of $4,500. Included in this transaction was the retirement of the asset and related equipment note.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scheduled principal payments through the maturity date of the Company’s long-term debt at December 31, 2019, are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Company incurred amortization of deferred financing fees for its long term debt of $2,231, $3,504 and $3,280 for each of the years ended December 31, 2019, 2018 and 2017. Such amortization is recorded as a component of interest expense.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does not hold or issue derivatives for speculative or trading purposes. The fair values of these financial instruments are summarized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7"/>
          </w:tcPr>
          <w:p>
            <w:pPr>
              <w:jc w:val="right"/>
              <w:ind w:right="23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35"/>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At December 31,</w:t>
            </w: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20" w:type="dxa"/>
            <w:vAlign w:val="bottom"/>
          </w:tcPr>
          <w:p>
            <w:pPr>
              <w:jc w:val="center"/>
              <w:ind w:left="135"/>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9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23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35"/>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At December 31,</w:t>
            </w: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20" w:type="dxa"/>
            <w:vAlign w:val="bottom"/>
          </w:tcPr>
          <w:p>
            <w:pPr>
              <w:jc w:val="center"/>
              <w:ind w:left="135"/>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9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eligible fuel requirements for work in domestic backlog.</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of December 31, 2019, the Company was party to various swap arrangements to hedge the price of a portion of its diesel fuel purchase requirements for work in its backlog to be performed through December 2020. As of December 31, 2019, there were 10.5 million gallons remaining on these contracts which represent approximately 80% of the Company’s forecasted domestic fuel purchases through December 2020. Under these swap agreements, the Company will pay fixed prices ranging from $1.79 to $2.05 per gallon.</w:t>
      </w:r>
    </w:p>
    <w:p>
      <w:pPr>
        <w:spacing w:after="0" w:line="18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At December 31, 2019, the fair value asset of the fuel hedge contracts was estimated to be $849 and is recorded in other current assets. At December 31, 2018, the fair value liability of the fuel hedge contracts was estimated to be $4,710, and is recorded in accrued liabilities. For fuel hedge contracts considered to be highly effective, the losses reclassified to earnings from changes in fair value of derivatives, net of cash settlements and taxes, for the year ended December 31, 2019 were $1,458. The remaining gains and losses included in the accumulated other comprehensive income (loss) at December 31, 2019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 of fuel hedges are corroborated using inputs that are readily observable in public markets; therefore, the Company determines fair values of these fuel hedges using Level 2 inputs.</w:t>
      </w:r>
    </w:p>
    <w:p>
      <w:pPr>
        <w:spacing w:after="0" w:line="192"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fuel hedge contracts outstanding as of December 31, 2019 and 2018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0" w:type="dxa"/>
            <w:vAlign w:val="bottom"/>
            <w:gridSpan w:val="2"/>
          </w:tcPr>
          <w:p>
            <w:pPr>
              <w:ind w:left="4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ind w:left="240"/>
              <w:spacing w:after="0"/>
              <w:rPr>
                <w:sz w:val="20"/>
                <w:szCs w:val="20"/>
                <w:color w:val="auto"/>
              </w:rPr>
            </w:pPr>
            <w:r>
              <w:rPr>
                <w:rFonts w:ascii="Arial" w:cs="Arial" w:eastAsia="Arial" w:hAnsi="Arial"/>
                <w:sz w:val="14"/>
                <w:szCs w:val="14"/>
                <w:b w:val="1"/>
                <w:bCs w:val="1"/>
                <w:color w:val="auto"/>
              </w:rPr>
              <w:t>Fair Value at 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760" w:type="dxa"/>
            <w:vAlign w:val="bottom"/>
            <w:tcBorders>
              <w:top w:val="single" w:sz="8" w:color="auto"/>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4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Derivatives designated as hedging instruments</w:t>
            </w: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Other current assets</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Liability derivatives:</w:t>
            </w:r>
          </w:p>
        </w:tc>
        <w:tc>
          <w:tcPr>
            <w:tcW w:w="4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Derivatives designated as hedging instruments</w:t>
            </w: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2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Accrued liabilities</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bottom w:val="single" w:sz="8" w:color="CFF0FC"/>
            </w:tcBorders>
            <w:gridSpan w:val="2"/>
            <w:vMerge w:val="restart"/>
          </w:tcPr>
          <w:p>
            <w:pPr>
              <w:jc w:val="right"/>
              <w:ind w:right="1560"/>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All other nonfinancial assets and liabilities measured at fair value in the financial statements on a nonrecurring basis are subject to fair value measurements and disclosures. Nonfinancial assets and liabilities included in the consolidated balance sheets and measured on a nonrecurring basis consist of goodwill and long-lived assets. Assets included within assets held for sale are reclassified from property and equipment at fair value less cost to sell. Goodwill and long-lived assets are measured at fair value to test for and measure impairment, if any, at least annually for goodwill or when necessary for both goodwill and long-lived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Cumulative translation adjustments—net of tax</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w w:val="94"/>
              </w:rPr>
              <w:t>Reclassification of derivative (gains) losses to earnings—net of tax</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(3,756)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Net unrealized (gain) loss on derivatives—net of tax</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80" w:type="dxa"/>
            <w:vAlign w:val="bottom"/>
            <w:gridSpan w:val="2"/>
          </w:tcPr>
          <w:p>
            <w:pPr>
              <w:ind w:left="320"/>
              <w:spacing w:after="0"/>
              <w:rPr>
                <w:sz w:val="20"/>
                <w:szCs w:val="20"/>
                <w:color w:val="auto"/>
              </w:rPr>
            </w:pPr>
            <w:r>
              <w:rPr>
                <w:rFonts w:ascii="Arial" w:cs="Arial" w:eastAsia="Arial" w:hAnsi="Arial"/>
                <w:sz w:val="14"/>
                <w:szCs w:val="14"/>
                <w:b w:val="1"/>
                <w:bCs w:val="1"/>
                <w:color w:val="auto"/>
              </w:rPr>
              <w:t>Statement of Operations Location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320" w:type="dxa"/>
            <w:vAlign w:val="bottom"/>
            <w:tcBorders>
              <w:top w:val="single" w:sz="8" w:color="CFF0FC"/>
            </w:tcBorders>
            <w:shd w:val="clear" w:color="auto" w:fill="CFF0FC"/>
          </w:tcPr>
          <w:p>
            <w:pPr>
              <w:spacing w:after="0"/>
              <w:rPr>
                <w:sz w:val="19"/>
                <w:szCs w:val="19"/>
                <w:color w:val="auto"/>
              </w:rPr>
            </w:pPr>
          </w:p>
        </w:tc>
        <w:tc>
          <w:tcPr>
            <w:tcW w:w="2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04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3280" w:type="dxa"/>
            <w:vAlign w:val="bottom"/>
            <w:gridSpan w:val="2"/>
          </w:tcPr>
          <w:p>
            <w:pPr>
              <w:ind w:left="320"/>
              <w:spacing w:after="0"/>
              <w:rPr>
                <w:sz w:val="20"/>
                <w:szCs w:val="20"/>
                <w:color w:val="auto"/>
              </w:rPr>
            </w:pPr>
            <w:r>
              <w:rPr>
                <w:rFonts w:ascii="Arial" w:cs="Arial" w:eastAsia="Arial" w:hAnsi="Arial"/>
                <w:sz w:val="18"/>
                <w:szCs w:val="18"/>
                <w:color w:val="auto"/>
              </w:rPr>
              <w:t>Costs of contract revenues</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1,975</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(2,125)</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r>
      <w:tr>
        <w:trPr>
          <w:trHeight w:val="230"/>
        </w:trPr>
        <w:tc>
          <w:tcPr>
            <w:tcW w:w="20" w:type="dxa"/>
            <w:vAlign w:val="bottom"/>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32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Company substantially completed the liquidation of the investment in its Brazil and Australia operations during 2018. This liquidation resulted in the reversal of the Company’s cumulative translation adjustment. Adjustments reclassified from accumulated balances of other comprehensive income (loss) to earnings are as follows:</w:t>
      </w:r>
    </w:p>
    <w:p>
      <w:pPr>
        <w:spacing w:after="0" w:line="25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3440" w:type="dxa"/>
            <w:vAlign w:val="bottom"/>
            <w:gridSpan w:val="2"/>
          </w:tcPr>
          <w:p>
            <w:pPr>
              <w:ind w:left="340"/>
              <w:spacing w:after="0"/>
              <w:rPr>
                <w:sz w:val="20"/>
                <w:szCs w:val="20"/>
                <w:color w:val="auto"/>
              </w:rPr>
            </w:pPr>
            <w:r>
              <w:rPr>
                <w:rFonts w:ascii="Arial" w:cs="Arial" w:eastAsia="Arial" w:hAnsi="Arial"/>
                <w:sz w:val="14"/>
                <w:szCs w:val="14"/>
                <w:b w:val="1"/>
                <w:bCs w:val="1"/>
                <w:color w:val="auto"/>
              </w:rPr>
              <w:t>Statement of Operations Location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rPr>
              <w:t>2018</w:t>
            </w: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340" w:type="dxa"/>
            <w:vAlign w:val="bottom"/>
            <w:tcBorders>
              <w:top w:val="single" w:sz="8" w:color="CFF0FC"/>
            </w:tcBorders>
            <w:shd w:val="clear" w:color="auto" w:fill="CFF0FC"/>
          </w:tcPr>
          <w:p>
            <w:pPr>
              <w:spacing w:after="0"/>
              <w:rPr>
                <w:sz w:val="19"/>
                <w:szCs w:val="19"/>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w:t>
            </w:r>
          </w:p>
        </w:tc>
      </w:tr>
      <w:tr>
        <w:trPr>
          <w:trHeight w:val="230"/>
        </w:trPr>
        <w:tc>
          <w:tcPr>
            <w:tcW w:w="2860" w:type="dxa"/>
            <w:vAlign w:val="bottom"/>
            <w:tcBorders>
              <w:bottom w:val="single" w:sz="8" w:color="CFF0FC"/>
            </w:tcBorders>
          </w:tcPr>
          <w:p>
            <w:pPr>
              <w:spacing w:after="0"/>
              <w:rPr>
                <w:sz w:val="19"/>
                <w:szCs w:val="19"/>
                <w:color w:val="auto"/>
              </w:rPr>
            </w:pPr>
          </w:p>
        </w:tc>
        <w:tc>
          <w:tcPr>
            <w:tcW w:w="3440" w:type="dxa"/>
            <w:vAlign w:val="bottom"/>
            <w:tcBorders>
              <w:bottom w:val="single" w:sz="8" w:color="CFF0FC"/>
            </w:tcBorders>
            <w:gridSpan w:val="2"/>
          </w:tcPr>
          <w:p>
            <w:pPr>
              <w:ind w:left="34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612</w:t>
            </w:r>
          </w:p>
        </w:tc>
      </w:tr>
      <w:tr>
        <w:trPr>
          <w:trHeight w:val="223"/>
        </w:trPr>
        <w:tc>
          <w:tcPr>
            <w:tcW w:w="28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r>
      <w:tr>
        <w:trPr>
          <w:trHeight w:val="20"/>
        </w:trPr>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the senior revolving credit agreement approximates fair value. In May 2017, the Company issued a total of $325,000 of 8.000% senior notes due May 15, 2022, which were outstanding at December 31, 2019 (See Note 5, Long-Term Debt). The 8% Senior Notes are senior unsecured obligations of the Company and its subsidiaries that guarantee the Senior Notes. The fair value of the senior notes was $343,688 at December 31, 2019,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Company’s income tax provision (benefit) from continuing and discontinued operations for the year ended December 31, 2019 is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Income tax provision (benefit) from continuing operations</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280"/>
              <w:spacing w:after="0"/>
              <w:rPr>
                <w:sz w:val="20"/>
                <w:szCs w:val="20"/>
                <w:color w:val="auto"/>
              </w:rPr>
            </w:pPr>
            <w:r>
              <w:rPr>
                <w:rFonts w:ascii="Arial" w:cs="Arial" w:eastAsia="Arial" w:hAnsi="Arial"/>
                <w:sz w:val="18"/>
                <w:szCs w:val="18"/>
                <w:color w:val="auto"/>
                <w:w w:val="83"/>
              </w:rPr>
              <w:t>(33,761)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discontinued operations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(4,556)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(6,162)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w w:val="95"/>
              </w:rPr>
              <w:t>(10,052)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3"/>
              </w:rPr>
              <w:t>(43,813)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Company’s income (loss) from continuing operations before income tax from domestic and foreign continuing operations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r>
      <w:tr>
        <w:trPr>
          <w:trHeight w:val="26"/>
        </w:trPr>
        <w:tc>
          <w:tcPr>
            <w:tcW w:w="5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operations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89,344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83"/>
              </w:rPr>
              <w:t>(12,263)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Foreign operations</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(18,423)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(10,425)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w w:val="95"/>
              </w:rPr>
              <w:t>(36,866)</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(loss) from continuing operations before income tax</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83"/>
              </w:rPr>
              <w:t>(49,129)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(benefit) for income taxes from continuing operations as of December 31, 2019, 2018 and 2017 is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r>
      <w:tr>
        <w:trPr>
          <w:trHeight w:val="26"/>
        </w:trPr>
        <w:tc>
          <w:tcPr>
            <w:tcW w:w="314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w:t>
            </w:r>
          </w:p>
        </w:tc>
        <w:tc>
          <w:tcPr>
            <w:tcW w:w="2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Arial" w:cs="Arial" w:eastAsia="Arial" w:hAnsi="Arial"/>
                <w:sz w:val="18"/>
                <w:szCs w:val="18"/>
                <w:color w:val="auto"/>
              </w:rPr>
              <w:t>Current</w:t>
            </w:r>
          </w:p>
        </w:tc>
        <w:tc>
          <w:tcPr>
            <w:tcW w:w="2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(31,957)</w:t>
            </w: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State:</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Arial" w:cs="Arial" w:eastAsia="Arial" w:hAnsi="Arial"/>
                <w:sz w:val="18"/>
                <w:szCs w:val="18"/>
                <w:color w:val="auto"/>
              </w:rPr>
              <w:t>Deferred</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(1,598)</w:t>
            </w: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Arial" w:cs="Arial" w:eastAsia="Arial" w:hAnsi="Arial"/>
                <w:sz w:val="18"/>
                <w:szCs w:val="18"/>
                <w:color w:val="auto"/>
              </w:rPr>
              <w:t>Current</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Company’s income tax provision (benefit) from continuing operations reconciles to the provision at the statutory U.S. federal income tax rate of 21% for the years ended December 31, 2019 and 2018, and 35% for the year ended December 31, 2017 as follows:</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6"/>
        </w:trPr>
        <w:tc>
          <w:tcPr>
            <w:tcW w:w="56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Tax provision (benefit) at statutory U.S. federal income tax rate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(17,194)</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State income tax — net of federal income tax benefit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Impact of Tax Cuts and Job Act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(15,720)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Change in state law regarding NOL carryforwards</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Change in deferred state tax rate</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(1,835)</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(1,266)</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Nondeductible officer compensation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Changes in unrecognized tax benefits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Changes in valuation allowance</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15,253</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(33,761)</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referred to as the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(6) creating the base erosion anti-abuse tax (BEAT), a new minimum tax; (7) creating a new limitation on deductible interest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expense; and (8) changing rules related to uses and limitations of net operating loss carryforwards created in tax years beginning after December 31, 2017.</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completed its calculation of the income tax effect of the Tax Act for the year ended December 31, 2017, from continuing operations.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was in a net deferred tax liability position as of the date of enactment of the Tax Act, the impact to it was a deferred income tax benefit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$15,720, primarily as a result of the reduction in the U.S. federal income tax rate. The other changes in tax law do not materially impact the Company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At December 31, 2019 and 2018, the Company had loss carryforwards for federal income tax purposes of $137,100 and $168,650 respectively, which expire between 2034 and 2037.</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December 31, 2019 and 2018, the Company had gross net operating loss carryforwards for state income tax purposes totaling $223,634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$190,901, respectively, which expire between 2023 and 2029. Due to changes in state tax law enacted during 2016 in a certain state, a valuation allowance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established. In 2017, the valuation allowance was increased by $1,152 and by $116 in 2018. However, in 2019 the valuation allowance decreased by $3.</w:t>
      </w:r>
    </w:p>
    <w:p>
      <w:pPr>
        <w:spacing w:after="0" w:line="234"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Company also has foreign gross net operating loss carryforwards of approximately $6,777 and $9,533 as of December 31, 2019 and 2018, of which $2,407 expires between 2019 and 2029. The remaining amount of $4,370 may be carried forward indefinitely. At December 31, 2019 and 2018, a full valuation allowance has been established for the deferred tax asset of $1,717 and $2,338 related to foreign net operating loss carryforwards, respectively, as the Company believes it is more likely than not that the net operating loss carryforwards will not be realized.</w:t>
      </w:r>
    </w:p>
    <w:p>
      <w:pPr>
        <w:spacing w:after="0" w:line="17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does not expect that total unrecognized tax benefits will significantly increase or decrease within the next 12 months. Below is a tabular reconciliation of the total amounts of unrecognized tax benefits at the beginning and end of each period.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r>
      <w:tr>
        <w:trPr>
          <w:trHeight w:val="26"/>
        </w:trPr>
        <w:tc>
          <w:tcPr>
            <w:tcW w:w="44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benefits — January 1</w:t>
            </w:r>
          </w:p>
        </w:tc>
        <w:tc>
          <w:tcPr>
            <w:tcW w:w="9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Gross increases — current period tax positions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Gross decreases — expirations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Gross decreases — tax positions in prior period</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(157)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Unrecognized tax benefits — December 31,</w:t>
            </w:r>
          </w:p>
        </w:tc>
        <w:tc>
          <w:tcPr>
            <w:tcW w:w="9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December 31, 2019 the Company had no interest and penalties recorded and as of December 31, 2018 and December 31, 2017 it had approximately $71 and $53 of interest and penalties recorded, respectively.</w:t>
      </w:r>
    </w:p>
    <w:p>
      <w:pPr>
        <w:spacing w:after="0" w:line="181"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The Company files income tax returns at the U.S. federal level and in various state and foreign jurisdictions. U.S. federal income tax years prior to 2016 are closed and no longer subject to examination. With few exceptions, the statute of limitations in state taxing jurisdictions in which the Company operates has expired for all years prior to 2015. In foreign jurisdictions in which the Company operates, years prior to 2014 are closed and are no longer subject to examination.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69" w:name="page70"/>
    <w:bookmarkEnd w:id="69"/>
    <w:p>
      <w:pPr>
        <w:ind w:left="520"/>
        <w:spacing w:after="0"/>
        <w:rPr>
          <w:sz w:val="20"/>
          <w:szCs w:val="20"/>
          <w:color w:val="auto"/>
        </w:rPr>
      </w:pPr>
      <w:r>
        <w:rPr>
          <w:rFonts w:ascii="Arial" w:cs="Arial" w:eastAsia="Arial" w:hAnsi="Arial"/>
          <w:sz w:val="18"/>
          <w:szCs w:val="18"/>
          <w:color w:val="auto"/>
        </w:rPr>
        <w:t>The Company’s deferred tax assets (liabilities) at December 31, 2019 and 2018 are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18,301</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Federal NOLs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28,791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NOLs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State NOLs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 credit carryforwards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Charitable contribution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(3,495)</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64,931</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(82,115)</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(78,967)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(18,334)</w:t>
            </w: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(100,671)</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noncurrent deferred tax liabilities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(35,740)</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Deferred tax assets relate primarily to reserves and other liabilities for costs and expenses not currently deductible for tax purposes as well as net operating loss and other carryforwards. Deferred tax liabilities relate primarily to the cumulative difference between book depreciation and amounts deducted for tax purposes. The Company evaluates its ability to realize deferred tax assets by considering all available positive and negative evidence. This evidence includes its cumulative earnings or losses in recent years. The Company further considers the impact on these cumulative earnings or losses of discontinued operations and other divested operations and joint ventures, restructuring charges and other nonrecurring adjustments that are not indicative of its ability to generate taxable income in future periods. The Company also considers sources of taxable income, such as the amount and timing of realization of its deferred tax liabilities relative to the timing of expiration of loss carryforwards. When it is estimated to be more likely than not that all or some portion of deferred tax assets will not be realized, the Company establishes a valuation allowance for the amount of such deferred tax assets considered to be unrealizable. After evaluating the positive and negative evidence for future realization of deferred tax assets, the Company recorded valuation allowances for foreign net operating loss carryforwards and certain state net operating loss carryforwards to reduce the balance of these deferred tax assets at December 31, 2019 and 2018 as it was more likely than not that the balance of these tax items would not be realized. By contrast, after evaluating the positive and negative evidence, the Company concluded that it was more likely than not that the deferred federal income tax asset and remaining state net operating loss carryforwards recorded at December 31, 2019 and 2018 would ultimately be realized and determined that no valuation allowance was required.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Company’s 2017 Long-Term Incentive Plan (“Incentive Plan”) permits the granting of stock options, stock appreciation rights, restricted stock and restricted stock units to its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Board of Directors.</w:t>
      </w:r>
    </w:p>
    <w:p>
      <w:pPr>
        <w:spacing w:after="0" w:line="18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Compensation cost charged to expense related to share-based compensation arrangements was $6,908, $4,643 and $2,917, for the years ended December 31, 2019, 2018 and 2017,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Non-qualified stock options</w:t>
      </w:r>
    </w:p>
    <w:p>
      <w:pPr>
        <w:spacing w:after="0" w:line="11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16"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from historical exercise data providing a reasonable basis upon which to estimate the expected life. The volatility assumptions were based on historical volatility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180"/>
        <w:spacing w:after="0" w:line="257" w:lineRule="auto"/>
        <w:rPr>
          <w:sz w:val="20"/>
          <w:szCs w:val="20"/>
          <w:color w:val="auto"/>
        </w:rPr>
      </w:pPr>
      <w:r>
        <w:rPr>
          <w:rFonts w:ascii="Arial" w:cs="Arial" w:eastAsia="Arial" w:hAnsi="Arial"/>
          <w:sz w:val="18"/>
          <w:szCs w:val="18"/>
          <w:color w:val="auto"/>
        </w:rPr>
        <w:t>Great Lakes. There is not an active market for options on the Company’s common stock and, as such, implied volatility for the Company’s stock was not considered. Additionally, the Company’s general policy is to issue new shares of registered common stock to satisfy stock option exercises or grants of restricted stock. No NQSO awards were granted in 2019, 2018 and 2017. The aggregate intrinsic value of stock options represents the difference between market value on the date of exercise and the option price. The aggregate intrinsic value of stock options exercised during 2019, 2018 and 2017 was $2,534, $116 and $6, respectively.</w:t>
      </w:r>
    </w:p>
    <w:p>
      <w:pPr>
        <w:spacing w:after="0" w:line="229"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A summary of stock option activity under the Incentive Plan as of December 31, 2019, and changes during the year ended December 31, 2019, is presented below:</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vMerge w:val="restart"/>
          </w:tcPr>
          <w:p>
            <w:pPr>
              <w:ind w:left="202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4"/>
                <w:szCs w:val="14"/>
                <w:color w:val="auto"/>
              </w:rPr>
            </w:pPr>
          </w:p>
        </w:tc>
        <w:tc>
          <w:tcPr>
            <w:tcW w:w="13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5"/>
              </w:rPr>
              <w:t>Contract Term (yrs)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as of January 1, 2019</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Forfeited or Expired</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spacing w:after="0"/>
              <w:rPr>
                <w:sz w:val="20"/>
                <w:szCs w:val="20"/>
                <w:color w:val="auto"/>
              </w:rPr>
            </w:pPr>
            <w:r>
              <w:rPr>
                <w:rFonts w:ascii="Arial" w:cs="Arial" w:eastAsia="Arial" w:hAnsi="Arial"/>
                <w:sz w:val="18"/>
                <w:szCs w:val="18"/>
                <w:color w:val="auto"/>
              </w:rPr>
              <w:t>Outstanding as of December 31, 2019</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Vested at December 31, 2019</w:t>
            </w: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6.87</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RSUs can either vest in equal portions over the three year vesting period or vest in one installment on the third anniversary of the grant date. The fair value of RSUs was based upon the Company’s stock price on the date of grant. A summary of the status of the Company’s non-vested RSUs as of December 31, 2019, and changes during the year ended December 31, 2019, is presented below:</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Nonvested Restricted Stock Units</w:t>
            </w: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as of January 1, 2019</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to vest at December 31, 2019</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2019, there was $4,984 of total unrecognized compensation cost related to non-vested RSUs granted under the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cost for non-vested RSUs is expected to be recognized over a weighted-average period of 1.5 years.</w:t>
      </w:r>
    </w:p>
    <w:p>
      <w:pPr>
        <w:spacing w:after="0" w:line="25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$5,008 and $1,205 for the years ended December 31, 2019 and 2018, respectively.</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Director compensation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uses a combination of cash and share-based compensation to attract and retain qualified candidates to serve on its Board of Directors. Compensation is paid to non-employee directors. Directors who are employees receive no additional compensation for services as members of the Board or any of its committees. Share-based compensation is paid pursuant to the Incentive Plan. Each non-employee director of the Company receives an annual retainer of $155, payable quarterly in arrears, and is generally paid 50% in cash and 50% in common stock or deferred restricted stock units of the Company. Directors may elect to receive some or all of the cash retainer in common stock or deferred restricted stock units. In 2018, the Chairman of the Board received an additional $100 of annual compensation, paid 100% in common stock.</w:t>
      </w:r>
    </w:p>
    <w:p>
      <w:pPr>
        <w:spacing w:after="0" w:line="193"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 the years ended December 31, 2019, 2018 and 2017, 78 thousand, 156 thousand and 207 thousand shares, respectively, of the Company’s common stock or restricted stock units were issued to non-employee directors under the Incentive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10. REVENUE</w:t>
      </w:r>
    </w:p>
    <w:p>
      <w:pPr>
        <w:spacing w:after="0" w:line="135"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The Company’s revenue is derived from contracts for services with federal, state, local and foreign governmental entities and private customers. Revenues are generally derived from the enhancement or preservation of navigability of waterways or the protection of shorelines through the removal or replenishment of soil, sand or rock.</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3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upon which the Company’s revenue is calculated. A contract’s transaction price is allocated to each distinct performance obligation and recognized as revenue as the performance obligation is satisfied.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w:t>
      </w:r>
    </w:p>
    <w:p>
      <w:pPr>
        <w:spacing w:after="0" w:line="22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capitalizes certain pre-contract and pre-construction costs, and defers recognition over the life of the contract. The Company’s performance obligations are satisfied over time and revenue is recognized using contract fulfillment costs incurred to date compared to total estimated costs at completion, also known as cost-to-cost, to measure progress towards completion. As the Company’s performance creates an asset that the customer controls, this method provides a faithful depiction of the transfer of an asset to the customer. Generally, the Company has an enforceable right to payment for performance completed to date.</w:t>
      </w:r>
    </w:p>
    <w:p>
      <w:pPr>
        <w:spacing w:after="0" w:line="215"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The Company typically satisfies its performance obligations upon completion of service. The majority of the Company’s contracts are completed in a year or less. At December 31, 2019, the Company had $589,406 of remaining performance obligations, which the Company refers to as total backlog. Approximately 96% of the Company’s backlog will be completed in 2020 with the remaining balance expected to be completed by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w:t>
      </w:r>
    </w:p>
    <w:p>
      <w:pPr>
        <w:spacing w:after="0" w:line="131" w:lineRule="exact"/>
        <w:rPr>
          <w:sz w:val="20"/>
          <w:szCs w:val="20"/>
          <w:color w:val="auto"/>
        </w:rPr>
      </w:pPr>
    </w:p>
    <w:p>
      <w:pPr>
        <w:ind w:right="620" w:firstLine="518"/>
        <w:spacing w:after="0" w:line="342" w:lineRule="auto"/>
        <w:rPr>
          <w:sz w:val="20"/>
          <w:szCs w:val="20"/>
          <w:color w:val="auto"/>
        </w:rPr>
      </w:pPr>
      <w:r>
        <w:rPr>
          <w:rFonts w:ascii="Arial" w:cs="Arial" w:eastAsia="Arial" w:hAnsi="Arial"/>
          <w:sz w:val="16"/>
          <w:szCs w:val="16"/>
          <w:color w:val="auto"/>
        </w:rPr>
        <w:t>The transaction price is calculated using the Company’s estimated costs to complete a project. These costs are based on the types of equipment required to perform the specified service, project site conditions, the estimated project duration, seasonality, location and complexity of a project.</w:t>
      </w:r>
    </w:p>
    <w:p>
      <w:pPr>
        <w:spacing w:after="0" w:line="164"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pay on quantity dredged for dredging projects and dredging project contract modifications. Estimated pay quantity is the amount of material the Company expects to dredge for which it will receive payment. Estimated quantity to be dredged is calculated using engineering estimates based on current survey data and the Company’s knowledge based on historical project experience. Contract modifications are changes in the scope or price (or both) of a contract that are approved by the parties to the contract. The Company recognizes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Contract modifications are routine in the performance of the Company’s contracts. In most instances, contract modifications are for services that are not distinct, and, therefore, are accounted for as part of the existing contract.</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31"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Domestically, the Company’s work generally is performed in coastal waterways and deep water ports. The U.S. dredging market consists of four primary types of work: capital, coastal protection, maintenance and rivers &amp; lakes. Foreign projects typically involve capital work.</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72" w:name="page73"/>
    <w:bookmarkEnd w:id="72"/>
    <w:p>
      <w:pPr>
        <w:ind w:left="520"/>
        <w:spacing w:after="0"/>
        <w:rPr>
          <w:sz w:val="20"/>
          <w:szCs w:val="20"/>
          <w:color w:val="auto"/>
        </w:rPr>
      </w:pPr>
      <w:r>
        <w:rPr>
          <w:rFonts w:ascii="Arial" w:cs="Arial" w:eastAsia="Arial" w:hAnsi="Arial"/>
          <w:sz w:val="17"/>
          <w:szCs w:val="17"/>
          <w:color w:val="auto"/>
        </w:rPr>
        <w:t>The following table sets forth, by type of work, the Company’s contract revenues for the years ended December 31, 2019, 2018 and 2017:</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Capital—U.S.</w:t>
            </w:r>
          </w:p>
        </w:tc>
        <w:tc>
          <w:tcPr>
            <w:tcW w:w="1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299,706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333,037</w:t>
            </w: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Capital—foreign</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48,619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Coastal protection</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182,369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Maintenance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104,753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134,923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Rivers &amp; lakes</w:t>
            </w:r>
          </w:p>
        </w:tc>
        <w:tc>
          <w:tcPr>
            <w:tcW w:w="1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76,071</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711,518</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620,795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by type of customer, the Company’s contract revenues for the years ended December 31, 2019, 2018 and 2017:</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w:t>
            </w:r>
          </w:p>
        </w:tc>
        <w:tc>
          <w:tcPr>
            <w:tcW w:w="11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581,157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468,421</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375,276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State and local government</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71,398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93,499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Private</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44,787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8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48,619</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711,518</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620,795</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592,159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Billings on contracts are generally submitted after verification with the customers of physical progress and are recognized as accounts receivable in the balance sheet. For billings that do not match the timing of revenue recognition, the difference between amounts billed and recognized as revenue is reflected in the balance sheet as either contract revenues in excess of billings or billings in excess of contract revenues. Certain pre-contract and pre-construction costs are capitalized and reflected as contract assets in the balance sheet. Customer advances, deposits and commissions are reflected in the balance sheet as contract liabilities.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at December 31, 2019 and December 31, 2018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60" w:type="dxa"/>
            <w:vAlign w:val="bottom"/>
            <w:gridSpan w:val="2"/>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2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Contracts in progress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9,490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48,418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2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20,349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64,979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(564)</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vMerge w:val="restart"/>
          </w:tcPr>
          <w:p>
            <w:pPr>
              <w:spacing w:after="0"/>
              <w:rPr>
                <w:sz w:val="19"/>
                <w:szCs w:val="19"/>
                <w:color w:val="auto"/>
              </w:rPr>
            </w:pPr>
          </w:p>
        </w:tc>
        <w:tc>
          <w:tcPr>
            <w:tcW w:w="3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25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64,779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bottom w:val="single" w:sz="8" w:color="CFF0FC"/>
            </w:tcBorders>
            <w:vMerge w:val="restart"/>
          </w:tcPr>
          <w:p>
            <w:pPr>
              <w:jc w:val="right"/>
              <w:ind w:right="1270"/>
              <w:spacing w:after="0"/>
              <w:rPr>
                <w:sz w:val="20"/>
                <w:szCs w:val="20"/>
                <w:color w:val="auto"/>
              </w:rPr>
            </w:pPr>
            <w:r>
              <w:rPr>
                <w:rFonts w:ascii="Arial" w:cs="Arial" w:eastAsia="Arial" w:hAnsi="Arial"/>
                <w:sz w:val="18"/>
                <w:szCs w:val="18"/>
                <w:color w:val="auto"/>
              </w:rPr>
              <w:t>72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3" w:name="page74"/>
    <w:bookmarkEnd w:id="73"/>
    <w:p>
      <w:pPr>
        <w:ind w:left="520"/>
        <w:spacing w:after="0"/>
        <w:rPr>
          <w:sz w:val="20"/>
          <w:szCs w:val="20"/>
          <w:color w:val="auto"/>
        </w:rPr>
      </w:pPr>
      <w:r>
        <w:rPr>
          <w:rFonts w:ascii="Arial" w:cs="Arial" w:eastAsia="Arial" w:hAnsi="Arial"/>
          <w:sz w:val="18"/>
          <w:szCs w:val="18"/>
          <w:color w:val="auto"/>
        </w:rPr>
        <w:t>The components of contracts in progress at December 31, 2019 and December 31, 2018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104,620</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433,093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(86,074)</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(416,956)</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18,546</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2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22,560</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2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(628,491)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(260,691)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573,225</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242,898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(55,266)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At December 31, 2019 and 2018, costs to fulfill contracts with customers recognized as an asset were $10,300 and $13,129, respectively, and are recorded in other current assets and other noncurrent assets. These costs relate to pre-contract and pre-construction activities. During the years ended December 31, 2019 and 2018, the company amortized pre-contract and pre-construction costs of $11,468 and $15,411, respectively.</w:t>
      </w:r>
    </w:p>
    <w:p>
      <w:pPr>
        <w:spacing w:after="0" w:line="14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Company’s largest domestic customer is the U.S. Army Corps of Engineers (the “Corps”), which has responsibility for federally funded projects related to navigation and flood control of U.S. waterways. In 2019, 2018 and 2017, 81.7%, 75.5% and 63.4%, respectively, of contract revenues were earned from contracts with federal government agencies, including the Corps, as well as other federal entities such as the U.S. Coast Guard and U.S. Navy. During the year ended December 31, 2019, the Company recognized $2,103 of revenue related to the use of equipment by a customer working on a federal government contract. At December 31, 2019 and 2018, approximately 54.6% and 65.3%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derived revenues and gross profit from foreign project operations for the years ended December 31, 2019, 2018, and 2017, as follows:</w:t>
      </w:r>
    </w:p>
    <w:p>
      <w:pPr>
        <w:spacing w:after="0" w:line="280" w:lineRule="exact"/>
        <w:rPr>
          <w:sz w:val="20"/>
          <w:szCs w:val="20"/>
          <w:color w:val="auto"/>
        </w:rPr>
      </w:pPr>
    </w:p>
    <w:tbl>
      <w:tblPr>
        <w:tblLayout w:type="fixed"/>
        <w:tblInd w:w="168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2500" w:type="dxa"/>
            <w:vAlign w:val="bottom"/>
            <w:vMerge w:val="restart"/>
          </w:tcPr>
          <w:p>
            <w:pPr>
              <w:spacing w:after="0"/>
              <w:rPr>
                <w:sz w:val="20"/>
                <w:szCs w:val="20"/>
                <w:color w:val="auto"/>
              </w:rPr>
            </w:pPr>
            <w:r>
              <w:rPr>
                <w:rFonts w:ascii="Arial" w:cs="Arial" w:eastAsia="Arial" w:hAnsi="Arial"/>
                <w:sz w:val="18"/>
                <w:szCs w:val="18"/>
                <w:color w:val="auto"/>
              </w:rPr>
              <w:t>Contract revenues</w:t>
            </w:r>
          </w:p>
        </w:tc>
        <w:tc>
          <w:tcPr>
            <w:tcW w:w="15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48,619</w:t>
            </w: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42,306</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6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(66,347)</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(19,866)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(73,958)</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19"/>
                <w:szCs w:val="19"/>
                <w:color w:val="auto"/>
              </w:rPr>
            </w:pPr>
          </w:p>
        </w:tc>
        <w:tc>
          <w:tcPr>
            <w:tcW w:w="92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(17,728)</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2019, 2018 and 2017, foreign revenues were primarily from work done in the Middle East. The majority of the Company’s long-lived assets are marine vessels and related equipment. At any point in time, the Company may employ certain assets outside of the U.S., as needed, to perform work on the Company’s foreign projects. As of December 31, 2019 and 2018, long-lived assets with a net book value of $31,872 and $30,601, respectively, were located outside of the U.S. Revenue from foreign projects has been concentrated in the Middle East which comprised less than 10% in 2019, 2018 and 2017. At December 31, 2019 and 2018, approximately 29% and less than 10%, respectively, of total accounts receivable, including retainage and contract revenues in excess of billings, were due on contracts in the Middle East.</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66"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11. RETIREMENT PLANS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sponsors two 401(k) savings plans, one covering substantially all non-union salaried employees (“Salaried Plan”), a second covering its hourly employees (“Hourly Plan”). Under the Salaried Plan and the Hourly Plan, individual employees may contribute a percentage of compensation and the Company will match a portion of the employees’ contributions. The Salaried Plan also includes a discretionary profit-sharing component, permitting the Company to make discretionary employer contributions to all eligible employees of these plans. Additionally, the Company sponsors a Supplemental Savings Plan in which the Company makes contributions for certain key executives. The Company’s expense for matching, discretionary and Supplemental Savings Plan contributions for 2019, 2018 and 2017, was $5,168, $5,060 and $2,616, respectively.</w:t>
      </w:r>
    </w:p>
    <w:p>
      <w:pPr>
        <w:spacing w:after="0" w:line="17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also contributes to various multiemployer pension plans pursuant to collective bargaining agreements. In 2019, 2018 and 2017, the Company contributed $4,517, $4,207 and $4,699 respectively to all of the multiemployer plans that provide pension benefits in its continuing operations.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contributions to these plans were less than 5% of each plan’s total contributions.</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CHARGES</w:t>
      </w:r>
    </w:p>
    <w:p>
      <w:pPr>
        <w:spacing w:after="0" w:line="13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2017, a strategic review was begun to improve the Company's financial results in both domestic and international operations enabling debt reduction, improvements in return on capital and the continued renewal of its extensive fleet with new and efficient dredges to best serve its domestic and international clients. Management executed a plan to reduce general and administrative and overhead expenses, retire certain underperforming and underutilized assets, write-off pre-contract costs on a project that was never formally awarded and that the Company no longer intends to pursue and closeout the Company’s Brazil operations. The cumulative amounts incurred to date as a result of this plan, including amounts presented in discontinued operations, including severance costs of $3,549, asset retirements of $32,309, pre-contract costs of $6,441 and closeout costs of $4,194. Restructuring activities were completed in 2018.</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Restructuring charges recognized for the above actions for the years ended December 31, 2018 and 2017 are summarized as follows:</w:t>
      </w:r>
    </w:p>
    <w:p>
      <w:pPr>
        <w:spacing w:after="0" w:line="200" w:lineRule="exact"/>
        <w:rPr>
          <w:sz w:val="20"/>
          <w:szCs w:val="20"/>
          <w:color w:val="auto"/>
        </w:rPr>
      </w:pPr>
    </w:p>
    <w:p>
      <w:pPr>
        <w:spacing w:after="0" w:line="327"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2017</w:t>
            </w:r>
          </w:p>
        </w:tc>
      </w:tr>
      <w:tr>
        <w:trPr>
          <w:trHeight w:val="453"/>
        </w:trPr>
        <w:tc>
          <w:tcPr>
            <w:tcW w:w="3380" w:type="dxa"/>
            <w:vAlign w:val="bottom"/>
          </w:tcPr>
          <w:p>
            <w:pPr>
              <w:spacing w:after="0"/>
              <w:rPr>
                <w:sz w:val="20"/>
                <w:szCs w:val="20"/>
                <w:color w:val="auto"/>
              </w:rPr>
            </w:pPr>
            <w:r>
              <w:rPr>
                <w:rFonts w:ascii="Arial" w:cs="Arial" w:eastAsia="Arial" w:hAnsi="Arial"/>
                <w:sz w:val="18"/>
                <w:szCs w:val="18"/>
                <w:color w:val="auto"/>
              </w:rPr>
              <w:t>Costs of contract revenues—depreciation</w:t>
            </w:r>
          </w:p>
        </w:tc>
        <w:tc>
          <w:tcPr>
            <w:tcW w:w="1740" w:type="dxa"/>
            <w:vAlign w:val="bottom"/>
            <w:gridSpan w:val="2"/>
          </w:tcPr>
          <w:p>
            <w:pPr>
              <w:jc w:val="right"/>
              <w:ind w:right="118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6,759</w:t>
            </w:r>
          </w:p>
        </w:tc>
        <w:tc>
          <w:tcPr>
            <w:tcW w:w="12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6,859</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revenues—other</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16,102</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assets—net</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w:t>
            </w:r>
          </w:p>
        </w:tc>
        <w:tc>
          <w:tcPr>
            <w:tcW w:w="38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16,145</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28,841</w:t>
            </w:r>
          </w:p>
        </w:tc>
      </w:tr>
    </w:tbl>
    <w:p>
      <w:pPr>
        <w:spacing w:after="0" w:line="200" w:lineRule="exact"/>
        <w:rPr>
          <w:sz w:val="20"/>
          <w:szCs w:val="20"/>
          <w:color w:val="auto"/>
        </w:rPr>
      </w:pPr>
    </w:p>
    <w:p>
      <w:pPr>
        <w:spacing w:after="0" w:line="25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 accrued severance expense of $662 at December 31, 2018, respectively, which has been settled in 2019. Accrued severance is included in accrued expenses.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5" w:name="page76"/>
    <w:bookmarkEnd w:id="75"/>
    <w:p>
      <w:pPr>
        <w:ind w:left="260" w:right="7680" w:hanging="252"/>
        <w:spacing w:after="0" w:line="378" w:lineRule="auto"/>
        <w:tabs>
          <w:tab w:leader="none" w:pos="271"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Commercial commitments</w:t>
      </w:r>
    </w:p>
    <w:p>
      <w:pPr>
        <w:ind w:right="40" w:firstLine="518"/>
        <w:spacing w:after="0" w:line="291"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and Surety Company of America and Zurich American Insurance Company (“Zurich”). Bid bonds are generally obtained for a percentage of bid value and amounts outstanding typically range from $1,000 to $10,000. At December 31, 2019, the Company had outstanding performance bonds with a notional amount of approximately $1,278,902, of which $17,401 relates to projects from the Company’s historical environmental &amp; infrastructure businesses. The revenue value remaining in backlog related to the projects of continuing operations totaled approximately $553,692.</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sale of its historical demolition business, the Company was obligated to keep in place the surety bonds on pending demolition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projects for the period required under the respective contract for a project and issued Zurich a letter of credit related to this exposure. In February 2017,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was notified by Zurich of an alleged default triggered on a historical demolition surety performance bond in the aggregate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 for failure of the contractor to perform in accordance with the terms of a project. In May 2017, Zurich drew upon the letter of credit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$20,881. In order to fund the draw on the letter of credit in May 2017, the Company had to increase the borrowings on its revolving credit facility. As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outstanding letters of credit previously reduced the Company’s availability under the revolving credit facility, this draw down on the Company’s letter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credit did not impact its liquidity or capital availability.</w:t>
      </w:r>
    </w:p>
    <w:p>
      <w:pPr>
        <w:spacing w:after="0" w:line="21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Pursuant to the terms of sale of its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 and is discussed in Note 14, Business Combinations and Dispositions.</w:t>
      </w:r>
    </w:p>
    <w:p>
      <w:pPr>
        <w:spacing w:after="0" w:line="188" w:lineRule="exact"/>
        <w:rPr>
          <w:sz w:val="20"/>
          <w:szCs w:val="20"/>
          <w:color w:val="auto"/>
        </w:rPr>
      </w:pPr>
    </w:p>
    <w:p>
      <w:pPr>
        <w:ind w:right="480" w:firstLine="518"/>
        <w:spacing w:after="0" w:line="259" w:lineRule="auto"/>
        <w:rPr>
          <w:sz w:val="20"/>
          <w:szCs w:val="20"/>
          <w:color w:val="auto"/>
        </w:rPr>
      </w:pPr>
      <w:r>
        <w:rPr>
          <w:rFonts w:ascii="Arial" w:cs="Arial" w:eastAsia="Arial" w:hAnsi="Arial"/>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8"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Legal actions brought by the Company to enforce the buyer’s obligations under the sale agreement are described below.</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On January 14, 2015, the Company and its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76" w:name="page77"/>
    <w:bookmarkEnd w:id="76"/>
    <w:p>
      <w:pPr>
        <w:ind w:right="100" w:firstLine="518"/>
        <w:spacing w:after="0" w:line="259" w:lineRule="auto"/>
        <w:rPr>
          <w:sz w:val="20"/>
          <w:szCs w:val="20"/>
          <w:color w:val="auto"/>
        </w:rPr>
      </w:pPr>
      <w:r>
        <w:rPr>
          <w:rFonts w:ascii="Arial" w:cs="Arial" w:eastAsia="Arial" w:hAnsi="Arial"/>
          <w:sz w:val="18"/>
          <w:szCs w:val="18"/>
          <w:color w:val="auto"/>
        </w:rPr>
        <w:t>In June 2019, the U.S. Attorney’s Office for the Eastern District of Louisiana informed the Company that it intends to file criminal charges against the Company in connection with a September 2016 oil spill. The oil spill occurred during the Company’s Cheniere Ronquille project, allegedly resulting in the discharge of around 125 barrels of crude oil in Bay Long, Louisiana. The Company has cooperated with the U.S. Attorney’s Office in its investigation of the oil spill and believes that criminal charges are not warranted.</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September 27, 2019, the EPA Region 4 filed an administrative complaint against the Company relating to a project the Company performed at PortMiami from 2013-2015. The EPA is alleging violations of Section 103 of the Marine Protection, Research, and Sanctuaries Act (“MPRSA”) and failure to report violations of the MPRSA. The EPA seeks the statutory maximum penalty of $75 per violation of the MPRSA. The Company disagrees with the EPA on whether violations occurred and, if any violation did occur, the appropriate penalty calculation.</w:t>
      </w:r>
    </w:p>
    <w:p>
      <w:pPr>
        <w:spacing w:after="0" w:line="187"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DISPOSITIONS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During the second quarter of 2019, the Company completed the sale of the historical environmental &amp; infrastructure business. Under the terms of the agreement, the Company received cash of $17,500 in the second quarter of 2019 and received an additional $857 in the third quarter of 2019.</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results of the business have been reported in discontinued operations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25,040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76,843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112,607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8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(8,253)</w:t>
            </w:r>
          </w:p>
        </w:tc>
        <w:tc>
          <w:tcPr>
            <w:tcW w:w="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(9,361)</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Loss on disposal of assets held for sale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4,556</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6,162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10,052</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5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major classes of assets and liabilities of businesses reported as discontinued operations are shown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Assets:</w:t>
            </w:r>
          </w:p>
        </w:tc>
        <w:tc>
          <w:tcPr>
            <w:tcW w:w="3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gridSpan w:val="2"/>
            <w:vMerge w:val="continue"/>
          </w:tcPr>
          <w:p>
            <w:pPr>
              <w:spacing w:after="0"/>
              <w:rPr>
                <w:sz w:val="19"/>
                <w:szCs w:val="19"/>
                <w:color w:val="auto"/>
              </w:rPr>
            </w:pP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receivable—net</w:t>
            </w:r>
          </w:p>
        </w:tc>
        <w:tc>
          <w:tcPr>
            <w:tcW w:w="404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13,943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Contract revenues in excess of billings</w:t>
            </w: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9,971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36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865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362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24,779</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66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6,612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7,000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intangible assets—net</w:t>
            </w: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1,699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Reserve for loss on disposal</w:t>
            </w:r>
          </w:p>
        </w:tc>
        <w:tc>
          <w:tcPr>
            <w:tcW w:w="36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Assets held for sale—noncurrent</w:t>
            </w:r>
          </w:p>
        </w:tc>
        <w:tc>
          <w:tcPr>
            <w:tcW w:w="36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1,573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Liabilities:</w:t>
            </w:r>
          </w:p>
        </w:tc>
        <w:tc>
          <w:tcPr>
            <w:tcW w:w="3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20" w:type="dxa"/>
            <w:vAlign w:val="bottom"/>
            <w:gridSpan w:val="2"/>
            <w:vMerge w:val="continue"/>
          </w:tcPr>
          <w:p>
            <w:pPr>
              <w:spacing w:after="0"/>
              <w:rPr>
                <w:sz w:val="24"/>
                <w:szCs w:val="24"/>
                <w:color w:val="auto"/>
              </w:rPr>
            </w:pPr>
          </w:p>
        </w:tc>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04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8,343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Accrued expenses</w:t>
            </w: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4,380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36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1,217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Liabilities held for sale</w:t>
            </w: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13,940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6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146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Liabilities held for sale—noncurrent</w:t>
            </w:r>
          </w:p>
        </w:tc>
        <w:tc>
          <w:tcPr>
            <w:tcW w:w="362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20" w:type="dxa"/>
            <w:vAlign w:val="bottom"/>
            <w:vMerge w:val="restart"/>
          </w:tcPr>
          <w:p>
            <w:pPr>
              <w:jc w:val="right"/>
              <w:ind w:right="2550"/>
              <w:spacing w:after="0"/>
              <w:rPr>
                <w:sz w:val="20"/>
                <w:szCs w:val="20"/>
                <w:color w:val="auto"/>
              </w:rPr>
            </w:pPr>
            <w:r>
              <w:rPr>
                <w:rFonts w:ascii="Arial" w:cs="Arial" w:eastAsia="Arial" w:hAnsi="Arial"/>
                <w:sz w:val="18"/>
                <w:szCs w:val="18"/>
                <w:color w:val="auto"/>
              </w:rPr>
              <w:t>76</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7" w:name="page78"/>
    <w:bookmarkEnd w:id="77"/>
    <w:p>
      <w:pPr>
        <w:jc w:val="center"/>
        <w:ind w:right="1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Schedule II—Valuation and Qualifying Accounts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For the Years Ended December 31, 2019, 2018 and 2017</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13"/>
              <w:spacing w:after="0"/>
              <w:rPr>
                <w:sz w:val="20"/>
                <w:szCs w:val="20"/>
                <w:color w:val="auto"/>
              </w:rPr>
            </w:pPr>
            <w:r>
              <w:rPr>
                <w:rFonts w:ascii="Arial" w:cs="Arial" w:eastAsia="Arial" w:hAnsi="Arial"/>
                <w:sz w:val="14"/>
                <w:szCs w:val="14"/>
                <w:b w:val="1"/>
                <w:bCs w:val="1"/>
                <w:color w:val="auto"/>
              </w:rPr>
              <w:t>Beginning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Description</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Allowances deducted from assets to which they apply:</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Allowances for doubtful accounts</w:t>
            </w:r>
          </w:p>
        </w:tc>
        <w:tc>
          <w:tcPr>
            <w:tcW w:w="1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4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480"/>
              <w:spacing w:after="0"/>
              <w:rPr>
                <w:sz w:val="20"/>
                <w:szCs w:val="20"/>
                <w:color w:val="auto"/>
              </w:rPr>
            </w:pPr>
            <w:r>
              <w:rPr>
                <w:rFonts w:ascii="Arial" w:cs="Arial" w:eastAsia="Arial" w:hAnsi="Arial"/>
                <w:sz w:val="18"/>
                <w:szCs w:val="18"/>
                <w:color w:val="auto"/>
              </w:rPr>
              <w:t>Valuation allowance for deferred tax assets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2018</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Allowances deducted from assets to which they apply:</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Allowances for doubtful accounts</w:t>
            </w:r>
          </w:p>
        </w:tc>
        <w:tc>
          <w:tcPr>
            <w:tcW w:w="1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480"/>
              <w:spacing w:after="0"/>
              <w:rPr>
                <w:sz w:val="20"/>
                <w:szCs w:val="20"/>
                <w:color w:val="auto"/>
              </w:rPr>
            </w:pPr>
            <w:r>
              <w:rPr>
                <w:rFonts w:ascii="Arial" w:cs="Arial" w:eastAsia="Arial" w:hAnsi="Arial"/>
                <w:sz w:val="18"/>
                <w:szCs w:val="18"/>
                <w:color w:val="auto"/>
              </w:rPr>
              <w:t>Valuation allowance for deferred tax assets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Allowances deducted from assets to which they apply:</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Allowances for doubtful accounts</w:t>
            </w:r>
          </w:p>
        </w:tc>
        <w:tc>
          <w:tcPr>
            <w:tcW w:w="10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4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480"/>
              <w:spacing w:after="0"/>
              <w:rPr>
                <w:sz w:val="20"/>
                <w:szCs w:val="20"/>
                <w:color w:val="auto"/>
              </w:rPr>
            </w:pPr>
            <w:r>
              <w:rPr>
                <w:rFonts w:ascii="Arial" w:cs="Arial" w:eastAsia="Arial" w:hAnsi="Arial"/>
                <w:sz w:val="18"/>
                <w:szCs w:val="18"/>
                <w:color w:val="auto"/>
              </w:rPr>
              <w:t>Valuation allowance for deferred tax assets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77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ind w:left="3240"/>
              <w:spacing w:after="0"/>
              <w:rPr>
                <w:sz w:val="20"/>
                <w:szCs w:val="20"/>
                <w:color w:val="auto"/>
              </w:rPr>
            </w:pPr>
            <w:r>
              <w:rPr>
                <w:rFonts w:ascii="Arial" w:cs="Arial" w:eastAsia="Arial" w:hAnsi="Arial"/>
                <w:sz w:val="18"/>
                <w:szCs w:val="18"/>
                <w:b w:val="1"/>
                <w:bCs w:val="1"/>
                <w:color w:val="auto"/>
              </w:rPr>
              <w:t>I. EXHIBIT INDEX</w:t>
            </w:r>
          </w:p>
        </w:tc>
      </w:tr>
      <w:tr>
        <w:trPr>
          <w:trHeight w:val="43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w:t>
            </w:r>
          </w:p>
        </w:tc>
        <w:tc>
          <w:tcPr>
            <w:tcW w:w="9700" w:type="dxa"/>
            <w:vAlign w:val="bottom"/>
          </w:tcPr>
          <w:p>
            <w:pPr>
              <w:ind w:left="3980"/>
              <w:spacing w:after="0"/>
              <w:rPr>
                <w:sz w:val="20"/>
                <w:szCs w:val="20"/>
                <w:color w:val="auto"/>
              </w:rPr>
            </w:pPr>
            <w:r>
              <w:rPr>
                <w:rFonts w:ascii="Arial" w:cs="Arial" w:eastAsia="Arial" w:hAnsi="Arial"/>
                <w:sz w:val="18"/>
                <w:szCs w:val="18"/>
                <w:b w:val="1"/>
                <w:bCs w:val="1"/>
                <w:color w:val="auto"/>
              </w:rPr>
              <w:t>Document 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112">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7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w w:val="97"/>
              </w:rPr>
              <w:t>Amended and Restated Agreement and Plan of Merger dated as of December 22, 2003, among Great Lakes Dredge &amp; Dock</w:t>
            </w:r>
          </w:p>
        </w:tc>
      </w:tr>
      <w:tr>
        <w:trPr>
          <w:trHeight w:val="222"/>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Corporation, GLDD Acquisitions Corp., GLDD Merger Sub, Inc. and Vectura Holding Company LLC. (Incorporated by reference to</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Great Lakes Dredge &amp; Dock Corporation’s Current Report on Form 8-K filed with the Commission on January 6, 2004).</w:t>
            </w:r>
          </w:p>
        </w:tc>
      </w:tr>
      <w:tr>
        <w:trPr>
          <w:trHeight w:val="378"/>
        </w:trPr>
        <w:tc>
          <w:tcPr>
            <w:tcW w:w="240" w:type="dxa"/>
            <w:vAlign w:val="bottom"/>
            <w:gridSpan w:val="2"/>
          </w:tcPr>
          <w:p>
            <w:pPr>
              <w:spacing w:after="0"/>
              <w:rPr>
                <w:rFonts w:ascii="Arial" w:cs="Arial" w:eastAsia="Arial" w:hAnsi="Arial"/>
                <w:sz w:val="18"/>
                <w:szCs w:val="18"/>
                <w:color w:val="0000EE"/>
                <w:w w:val="87"/>
              </w:rPr>
            </w:pPr>
            <w:hyperlink r:id="rId113">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2"/>
              </w:rPr>
              <w:t>Agreement and Plan of Merger by and among GLDD Acquisitions Corp., Aldabra Acquisition Corporation, and certain shareholders</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4"/>
              </w:rPr>
              <w:t>of Aldabra Acquisition Corporation and GLDD Acquisitions Corp., dated as of June 20, 2006. (Incorporated by reference to Great</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Lakes Dredge &amp; Dock Corporation’s Current Report on Form 8-K filed with the Commission on June 22, 2006).</w:t>
            </w:r>
          </w:p>
        </w:tc>
      </w:tr>
      <w:tr>
        <w:trPr>
          <w:trHeight w:val="378"/>
        </w:trPr>
        <w:tc>
          <w:tcPr>
            <w:tcW w:w="240" w:type="dxa"/>
            <w:vAlign w:val="bottom"/>
            <w:gridSpan w:val="2"/>
          </w:tcPr>
          <w:p>
            <w:pPr>
              <w:spacing w:after="0"/>
              <w:rPr>
                <w:rFonts w:ascii="Arial" w:cs="Arial" w:eastAsia="Arial" w:hAnsi="Arial"/>
                <w:sz w:val="18"/>
                <w:szCs w:val="18"/>
                <w:color w:val="0000EE"/>
                <w:w w:val="87"/>
              </w:rPr>
            </w:pPr>
            <w:hyperlink r:id="rId11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4"/>
              </w:rPr>
              <w:t>Amended and Restated Certificate of Incorporation of Great Lakes Dredge &amp; Dock Holdings Corp., effective December 26, 2006</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(now renamed Great Lakes Dredge &amp; Dock Corporation). (Incorporated by reference to Great Lakes Dredge &amp; Dock Corporation’s</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Registration Statement on Form 8-A12B filed with the Commission on December 26, 2006).</w:t>
            </w:r>
          </w:p>
        </w:tc>
      </w:tr>
      <w:tr>
        <w:trPr>
          <w:trHeight w:val="378"/>
        </w:trPr>
        <w:tc>
          <w:tcPr>
            <w:tcW w:w="240" w:type="dxa"/>
            <w:vAlign w:val="bottom"/>
            <w:gridSpan w:val="2"/>
          </w:tcPr>
          <w:p>
            <w:pPr>
              <w:spacing w:after="0"/>
              <w:rPr>
                <w:rFonts w:ascii="Arial" w:cs="Arial" w:eastAsia="Arial" w:hAnsi="Arial"/>
                <w:sz w:val="18"/>
                <w:szCs w:val="18"/>
                <w:color w:val="0000EE"/>
                <w:w w:val="87"/>
              </w:rPr>
            </w:pPr>
            <w:hyperlink r:id="rId11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1"/>
              </w:rPr>
              <w:t>Amended and Restated Bylaws of Great Lakes Dredge &amp; Dock Corporation, dated as of May 14, 2015. (Incorporated by reference to</w:t>
            </w: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Great Lakes Dredge &amp; Dock Corporation’s Current Report on Form 8-K filed with the Commission on May 20, 2015).</w:t>
            </w:r>
          </w:p>
        </w:tc>
      </w:tr>
      <w:tr>
        <w:trPr>
          <w:trHeight w:val="378"/>
        </w:trPr>
        <w:tc>
          <w:tcPr>
            <w:tcW w:w="240" w:type="dxa"/>
            <w:vAlign w:val="bottom"/>
            <w:gridSpan w:val="2"/>
          </w:tcPr>
          <w:p>
            <w:pPr>
              <w:spacing w:after="0"/>
              <w:rPr>
                <w:rFonts w:ascii="Arial" w:cs="Arial" w:eastAsia="Arial" w:hAnsi="Arial"/>
                <w:sz w:val="18"/>
                <w:szCs w:val="18"/>
                <w:color w:val="0000EE"/>
                <w:w w:val="87"/>
              </w:rPr>
            </w:pPr>
            <w:hyperlink r:id="rId11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9"/>
              </w:rPr>
              <w:t>Certificate of Ownership and Merger of Great Lakes Dredge &amp; Dock Corporation with and into Great Lakes Dredge &amp; Dock</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Holdings Corp. (Incorporated by reference to Great Lakes Dredge &amp; Dock Corporation’s Current Report on Form 8-K filed with the</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Commission on December 29, 2006).</w:t>
            </w:r>
          </w:p>
        </w:tc>
      </w:tr>
      <w:tr>
        <w:trPr>
          <w:trHeight w:val="392"/>
        </w:trPr>
        <w:tc>
          <w:tcPr>
            <w:tcW w:w="2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8"/>
              </w:rPr>
              <w:t>Description of Great Lakes Dredge &amp; Dock Corporation Securities Registered Pursuant to Section 12 of the Exchange Act.*</w:t>
            </w:r>
          </w:p>
        </w:tc>
      </w:tr>
      <w:tr>
        <w:trPr>
          <w:trHeight w:val="399"/>
        </w:trPr>
        <w:tc>
          <w:tcPr>
            <w:tcW w:w="240" w:type="dxa"/>
            <w:vAlign w:val="bottom"/>
            <w:gridSpan w:val="2"/>
          </w:tcPr>
          <w:p>
            <w:pPr>
              <w:spacing w:after="0"/>
              <w:rPr>
                <w:rFonts w:ascii="Arial" w:cs="Arial" w:eastAsia="Arial" w:hAnsi="Arial"/>
                <w:sz w:val="18"/>
                <w:szCs w:val="18"/>
                <w:color w:val="0000EE"/>
                <w:w w:val="87"/>
              </w:rPr>
            </w:pPr>
            <w:hyperlink r:id="rId11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4"/>
              </w:rPr>
              <w:t>Indenture, dated May 24, 2017, by and among the Company, certain subsidiary guarantors named therein and Wells Fargo Bank,</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1"/>
              </w:rPr>
              <w:t>National Association, as trustee. (Incorporated by reference to Great Lakes Dredge &amp; Dock Corporation’s Current Report on Form 8-</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K filed with the Commission on May 24, 2017).</w:t>
            </w:r>
          </w:p>
        </w:tc>
      </w:tr>
      <w:tr>
        <w:trPr>
          <w:trHeight w:val="378"/>
        </w:trPr>
        <w:tc>
          <w:tcPr>
            <w:tcW w:w="240" w:type="dxa"/>
            <w:vAlign w:val="bottom"/>
            <w:gridSpan w:val="2"/>
          </w:tcPr>
          <w:p>
            <w:pPr>
              <w:spacing w:after="0"/>
              <w:rPr>
                <w:rFonts w:ascii="Arial" w:cs="Arial" w:eastAsia="Arial" w:hAnsi="Arial"/>
                <w:sz w:val="18"/>
                <w:szCs w:val="18"/>
                <w:color w:val="0000EE"/>
                <w:w w:val="87"/>
              </w:rPr>
            </w:pPr>
            <w:hyperlink r:id="rId11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7"/>
              </w:rPr>
              <w:t>Specimen Common Stock Certificate for Great Lakes Dredge &amp; Dock Corporation. (Incorporated by reference to Great Lakes</w:t>
            </w: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Dredge &amp; Dock Corporation’s Annual Report on Form 10-K filed with the Commission on March 22, 2007).</w:t>
            </w:r>
          </w:p>
        </w:tc>
      </w:tr>
      <w:tr>
        <w:trPr>
          <w:trHeight w:val="378"/>
        </w:trPr>
        <w:tc>
          <w:tcPr>
            <w:tcW w:w="1460" w:type="dxa"/>
            <w:vAlign w:val="bottom"/>
            <w:gridSpan w:val="4"/>
          </w:tcPr>
          <w:p>
            <w:pPr>
              <w:spacing w:after="0"/>
              <w:rPr>
                <w:rFonts w:ascii="Arial" w:cs="Arial" w:eastAsia="Arial" w:hAnsi="Arial"/>
                <w:sz w:val="18"/>
                <w:szCs w:val="18"/>
                <w:color w:val="0000EE"/>
              </w:rPr>
            </w:pPr>
            <w:hyperlink r:id="rId11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Agreement of Indemnity, dated as of April 7, 2015, by and among Great Lakes Dredge &amp; Dock Corporation, Great Lakes Dredge &amp;</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5"/>
              </w:rPr>
              <w:t>Dock Company, LLC, Great Lakes Environmental &amp; Infrastructure Solutions, LLC, Magnus Pacific, LLC, Terra Contracting, LLC,</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2"/>
              </w:rPr>
              <w:t>Terra Fluid Management, LLC and Liberty Mutual Insurance Company and its subsidiaries and affiliates. (Incorporated by reference</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to Great Lakes Dredge &amp; Dock Corporation’s Quarterly Report on Form 10-Q filed with the Commission on May 6, 2015).</w:t>
            </w:r>
          </w:p>
        </w:tc>
      </w:tr>
      <w:tr>
        <w:trPr>
          <w:trHeight w:val="378"/>
        </w:trPr>
        <w:tc>
          <w:tcPr>
            <w:tcW w:w="1460" w:type="dxa"/>
            <w:vAlign w:val="bottom"/>
            <w:gridSpan w:val="4"/>
          </w:tcPr>
          <w:p>
            <w:pPr>
              <w:spacing w:after="0"/>
              <w:rPr>
                <w:rFonts w:ascii="Arial" w:cs="Arial" w:eastAsia="Arial" w:hAnsi="Arial"/>
                <w:sz w:val="18"/>
                <w:szCs w:val="18"/>
                <w:color w:val="0000EE"/>
              </w:rPr>
            </w:pPr>
            <w:hyperlink r:id="rId120">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2"/>
              </w:rPr>
              <w:t>Agreement of Indemnity, dated as of April 13, 2015, by and among Great Lakes Dredge &amp; Dock Corporation, Great Lakes Dredge &amp;</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5"/>
              </w:rPr>
              <w:t>Dock Company, LLC, Great Lakes Environmental &amp; Infrastructure Solutions, LLC, Magnus Pacific, LLC, Terra Contracting, LLC,</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5"/>
              </w:rPr>
              <w:t>Terra Fluid Management, LLC and Berkley Insurance Company and/or Berkley Regional Insurance Company. (Incorporated by</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2"/>
              </w:rPr>
              <w:t>reference to Great Lakes Dredge &amp; Dock Corporation’s Quarterly Report on Form 10-Q filed with the Commission on May 6, 2015).</w:t>
            </w:r>
          </w:p>
        </w:tc>
      </w:tr>
      <w:tr>
        <w:trPr>
          <w:trHeight w:val="378"/>
        </w:trPr>
        <w:tc>
          <w:tcPr>
            <w:tcW w:w="1460" w:type="dxa"/>
            <w:vAlign w:val="bottom"/>
            <w:gridSpan w:val="4"/>
          </w:tcPr>
          <w:p>
            <w:pPr>
              <w:spacing w:after="0"/>
              <w:rPr>
                <w:rFonts w:ascii="Arial" w:cs="Arial" w:eastAsia="Arial" w:hAnsi="Arial"/>
                <w:sz w:val="18"/>
                <w:szCs w:val="18"/>
                <w:color w:val="0000EE"/>
              </w:rPr>
            </w:pPr>
            <w:hyperlink r:id="rId121">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Agreement of Indemnity, dated as of April 7, 2015, by and among Great Lakes Dredge &amp; Dock Corporation, Great Lakes Dredge &amp;</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5"/>
              </w:rPr>
              <w:t>Dock Company, LLC, Great Lakes Environmental &amp; Infrastructure Solutions, LLC, Magnus Pacific, LLC, Terra Contracting, LLC,</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7"/>
              </w:rPr>
              <w:t>Terra Fluid Management, LLC and Argonaut Insurance Company. (Incorporated by reference to Great Lakes Dredge &amp; Dock</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Corporation’s Quarterly Report on Form 10-Q filed with the Commission on May 6, 2015).</w:t>
            </w:r>
          </w:p>
        </w:tc>
      </w:tr>
      <w:tr>
        <w:trPr>
          <w:trHeight w:val="378"/>
        </w:trPr>
        <w:tc>
          <w:tcPr>
            <w:tcW w:w="1460" w:type="dxa"/>
            <w:vAlign w:val="bottom"/>
            <w:gridSpan w:val="4"/>
          </w:tcPr>
          <w:p>
            <w:pPr>
              <w:spacing w:after="0"/>
              <w:rPr>
                <w:rFonts w:ascii="Arial" w:cs="Arial" w:eastAsia="Arial" w:hAnsi="Arial"/>
                <w:sz w:val="18"/>
                <w:szCs w:val="18"/>
                <w:color w:val="0000EE"/>
              </w:rPr>
            </w:pPr>
            <w:hyperlink r:id="rId122">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Agreement of Indemnity, dated as of April 7, 2015, by and among Great Lakes Dredge &amp; Dock Corporation, Great Lakes Dredge &amp;</w:t>
            </w: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5"/>
              </w:rPr>
              <w:t>Dock Company, LLC, Great Lakes Environmental &amp; Infrastructure Solutions, LLC, Magnus Pacific, LLC, Terra Contracting, LLC,</w:t>
            </w:r>
          </w:p>
        </w:tc>
      </w:tr>
    </w:tbl>
    <w:p>
      <w:pPr>
        <w:ind w:left="1700" w:right="60"/>
        <w:spacing w:after="0" w:line="255" w:lineRule="auto"/>
        <w:rPr>
          <w:sz w:val="20"/>
          <w:szCs w:val="20"/>
          <w:color w:val="auto"/>
        </w:rPr>
      </w:pPr>
      <w:r>
        <w:rPr>
          <w:rFonts w:ascii="Arial" w:cs="Arial" w:eastAsia="Arial" w:hAnsi="Arial"/>
          <w:sz w:val="18"/>
          <w:szCs w:val="18"/>
          <w:color w:val="auto"/>
        </w:rPr>
        <w:t>Terra Fluid Management, LLC and Westchester Fire Insurance Company or any of its affiliates, including any other company that is part of or added to ACE Holdings, Inc. (Incorporated by reference to Great Lakes Dredge &amp; Dock Corporation’s Quarterly Report on Form 10-Q filed with the Commission on May 6, 2015).</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720" w:type="dxa"/>
            <w:vAlign w:val="bottom"/>
          </w:tcPr>
          <w:p>
            <w:pPr>
              <w:ind w:left="3980"/>
              <w:spacing w:after="0"/>
              <w:rPr>
                <w:sz w:val="20"/>
                <w:szCs w:val="20"/>
                <w:color w:val="auto"/>
              </w:rPr>
            </w:pPr>
            <w:r>
              <w:rPr>
                <w:rFonts w:ascii="Arial" w:cs="Arial" w:eastAsia="Arial" w:hAnsi="Arial"/>
                <w:sz w:val="18"/>
                <w:szCs w:val="18"/>
                <w:b w:val="1"/>
                <w:bCs w:val="1"/>
                <w:color w:val="auto"/>
              </w:rPr>
              <w:t>Document Description</w:t>
            </w:r>
          </w:p>
        </w:tc>
        <w:tc>
          <w:tcPr>
            <w:tcW w:w="20" w:type="dxa"/>
            <w:vAlign w:val="bottom"/>
          </w:tcPr>
          <w:p>
            <w:pPr>
              <w:spacing w:after="0"/>
              <w:rPr>
                <w:sz w:val="20"/>
                <w:szCs w:val="20"/>
                <w:color w:val="auto"/>
              </w:rPr>
            </w:pPr>
          </w:p>
        </w:tc>
      </w:tr>
      <w:tr>
        <w:trPr>
          <w:trHeight w:val="385"/>
        </w:trPr>
        <w:tc>
          <w:tcPr>
            <w:tcW w:w="400" w:type="dxa"/>
            <w:vAlign w:val="bottom"/>
            <w:tcBorders>
              <w:top w:val="single" w:sz="8" w:color="auto"/>
            </w:tcBorders>
            <w:gridSpan w:val="2"/>
          </w:tcPr>
          <w:p>
            <w:pPr>
              <w:spacing w:after="0"/>
              <w:rPr>
                <w:rFonts w:ascii="Arial" w:cs="Arial" w:eastAsia="Arial" w:hAnsi="Arial"/>
                <w:sz w:val="18"/>
                <w:szCs w:val="18"/>
                <w:color w:val="0000EE"/>
              </w:rPr>
            </w:pPr>
            <w:hyperlink r:id="rId12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Amended and Restated Management Equity Agreement dated December 26, 2006 by and among Aldabra Acquisition Corporation,</w:t>
            </w:r>
          </w:p>
        </w:tc>
        <w:tc>
          <w:tcPr>
            <w:tcW w:w="20" w:type="dxa"/>
            <w:vAlign w:val="bottom"/>
          </w:tcPr>
          <w:p>
            <w:pPr>
              <w:spacing w:after="0"/>
              <w:rPr>
                <w:sz w:val="24"/>
                <w:szCs w:val="24"/>
                <w:color w:val="auto"/>
              </w:rPr>
            </w:pPr>
          </w:p>
        </w:tc>
      </w:tr>
      <w:tr>
        <w:trPr>
          <w:trHeight w:val="222"/>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Great Lakes Dredge &amp; Dock Holdings Corp. and each of the other persons identified on the signature pages thereto. (Incorporated by</w:t>
            </w:r>
          </w:p>
        </w:tc>
        <w:tc>
          <w:tcPr>
            <w:tcW w:w="2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reference to Great Lakes Dredge &amp; Dock Corporation’s Current Report on Form 8-K filed with the Commission on December 29,</w:t>
            </w:r>
          </w:p>
        </w:tc>
        <w:tc>
          <w:tcPr>
            <w:tcW w:w="2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r>
      <w:tr>
        <w:trPr>
          <w:trHeight w:val="378"/>
        </w:trPr>
        <w:tc>
          <w:tcPr>
            <w:tcW w:w="400" w:type="dxa"/>
            <w:vAlign w:val="bottom"/>
            <w:gridSpan w:val="2"/>
          </w:tcPr>
          <w:p>
            <w:pPr>
              <w:spacing w:after="0"/>
              <w:rPr>
                <w:rFonts w:ascii="Arial" w:cs="Arial" w:eastAsia="Arial" w:hAnsi="Arial"/>
                <w:sz w:val="18"/>
                <w:szCs w:val="18"/>
                <w:color w:val="0000EE"/>
              </w:rPr>
            </w:pPr>
            <w:hyperlink r:id="rId125">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Amended and Restated Employment Agreement between Great Lakes Dredge &amp; Dock Corporation and David E. Simonelli, dated as</w:t>
            </w:r>
          </w:p>
        </w:tc>
        <w:tc>
          <w:tcPr>
            <w:tcW w:w="20" w:type="dxa"/>
            <w:vAlign w:val="bottom"/>
          </w:tcPr>
          <w:p>
            <w:pPr>
              <w:spacing w:after="0"/>
              <w:rPr>
                <w:sz w:val="24"/>
                <w:szCs w:val="24"/>
                <w:color w:val="auto"/>
              </w:rPr>
            </w:pPr>
          </w:p>
        </w:tc>
      </w:tr>
      <w:tr>
        <w:trPr>
          <w:trHeight w:val="222"/>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of May 8, 2014. (Incorporated by reference to Great Lakes Dredge &amp; Dock Corporation’s Quarterly Report on Form 10-Q filed with</w:t>
            </w:r>
          </w:p>
        </w:tc>
        <w:tc>
          <w:tcPr>
            <w:tcW w:w="2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the Commission on August 4, 2015).†</w:t>
            </w:r>
          </w:p>
        </w:tc>
        <w:tc>
          <w:tcPr>
            <w:tcW w:w="20" w:type="dxa"/>
            <w:vAlign w:val="bottom"/>
          </w:tcPr>
          <w:p>
            <w:pPr>
              <w:spacing w:after="0"/>
              <w:rPr>
                <w:sz w:val="20"/>
                <w:szCs w:val="20"/>
                <w:color w:val="auto"/>
              </w:rPr>
            </w:pPr>
          </w:p>
        </w:tc>
      </w:tr>
      <w:tr>
        <w:trPr>
          <w:trHeight w:val="378"/>
        </w:trPr>
        <w:tc>
          <w:tcPr>
            <w:tcW w:w="400" w:type="dxa"/>
            <w:vAlign w:val="bottom"/>
            <w:gridSpan w:val="2"/>
          </w:tcPr>
          <w:p>
            <w:pPr>
              <w:spacing w:after="0"/>
              <w:rPr>
                <w:rFonts w:ascii="Arial" w:cs="Arial" w:eastAsia="Arial" w:hAnsi="Arial"/>
                <w:sz w:val="18"/>
                <w:szCs w:val="18"/>
                <w:color w:val="0000EE"/>
              </w:rPr>
            </w:pPr>
            <w:hyperlink r:id="rId126">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Employment Agreement between Great Lakes Dredge &amp; Dock Corporation and Lasse Petterson, dated as of April 28,</w:t>
            </w:r>
          </w:p>
        </w:tc>
        <w:tc>
          <w:tcPr>
            <w:tcW w:w="20" w:type="dxa"/>
            <w:vAlign w:val="bottom"/>
          </w:tcPr>
          <w:p>
            <w:pPr>
              <w:spacing w:after="0"/>
              <w:rPr>
                <w:sz w:val="24"/>
                <w:szCs w:val="24"/>
                <w:color w:val="auto"/>
              </w:rPr>
            </w:pPr>
          </w:p>
        </w:tc>
      </w:tr>
      <w:tr>
        <w:trPr>
          <w:trHeight w:val="222"/>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2017. (Incorporated by reference to Great Lakes Dredge &amp; Dock Corporation’s Current Report on Form 8-K filed with the</w:t>
            </w:r>
          </w:p>
        </w:tc>
        <w:tc>
          <w:tcPr>
            <w:tcW w:w="2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Commission on May 1, 2017).†</w:t>
            </w:r>
          </w:p>
        </w:tc>
        <w:tc>
          <w:tcPr>
            <w:tcW w:w="20" w:type="dxa"/>
            <w:vAlign w:val="bottom"/>
          </w:tcPr>
          <w:p>
            <w:pPr>
              <w:spacing w:after="0"/>
              <w:rPr>
                <w:sz w:val="20"/>
                <w:szCs w:val="20"/>
                <w:color w:val="auto"/>
              </w:rPr>
            </w:pPr>
          </w:p>
        </w:tc>
      </w:tr>
      <w:tr>
        <w:trPr>
          <w:trHeight w:val="378"/>
        </w:trPr>
        <w:tc>
          <w:tcPr>
            <w:tcW w:w="400" w:type="dxa"/>
            <w:vAlign w:val="bottom"/>
            <w:gridSpan w:val="2"/>
          </w:tcPr>
          <w:p>
            <w:pPr>
              <w:spacing w:after="0"/>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Second Amended and Restated Employment Agreement between Great Lakes Dredge &amp; Dock Corporation and Kathleen M. LaVoy,</w:t>
            </w:r>
          </w:p>
        </w:tc>
        <w:tc>
          <w:tcPr>
            <w:tcW w:w="20" w:type="dxa"/>
            <w:vAlign w:val="bottom"/>
          </w:tcPr>
          <w:p>
            <w:pPr>
              <w:spacing w:after="0"/>
              <w:rPr>
                <w:sz w:val="24"/>
                <w:szCs w:val="24"/>
                <w:color w:val="auto"/>
              </w:rPr>
            </w:pPr>
          </w:p>
        </w:tc>
      </w:tr>
      <w:tr>
        <w:trPr>
          <w:trHeight w:val="222"/>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dated as of December 21, 2016. (Incorporated by reference to Great Lakes Dredge &amp; Dock Corporation’s Quarterly Report on Form</w:t>
            </w:r>
          </w:p>
        </w:tc>
        <w:tc>
          <w:tcPr>
            <w:tcW w:w="2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10-Q filed with the Commission on May 4, 2018). †</w:t>
            </w:r>
          </w:p>
        </w:tc>
        <w:tc>
          <w:tcPr>
            <w:tcW w:w="20" w:type="dxa"/>
            <w:vAlign w:val="bottom"/>
          </w:tcPr>
          <w:p>
            <w:pPr>
              <w:spacing w:after="0"/>
              <w:rPr>
                <w:sz w:val="20"/>
                <w:szCs w:val="20"/>
                <w:color w:val="auto"/>
              </w:rPr>
            </w:pPr>
          </w:p>
        </w:tc>
      </w:tr>
      <w:tr>
        <w:trPr>
          <w:trHeight w:val="378"/>
        </w:trPr>
        <w:tc>
          <w:tcPr>
            <w:tcW w:w="400" w:type="dxa"/>
            <w:vAlign w:val="bottom"/>
            <w:gridSpan w:val="2"/>
          </w:tcPr>
          <w:p>
            <w:pPr>
              <w:spacing w:after="0"/>
              <w:rPr>
                <w:rFonts w:ascii="Arial" w:cs="Arial" w:eastAsia="Arial" w:hAnsi="Arial"/>
                <w:sz w:val="18"/>
                <w:szCs w:val="18"/>
                <w:color w:val="0000EE"/>
              </w:rPr>
            </w:pPr>
            <w:hyperlink r:id="rId128">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Second Amended and Restated Great Lakes Dredge &amp; Dock Company, LLC Annual Bonus Plan effective as of January 1, 2012</w:t>
            </w:r>
          </w:p>
        </w:tc>
        <w:tc>
          <w:tcPr>
            <w:tcW w:w="20" w:type="dxa"/>
            <w:vAlign w:val="bottom"/>
          </w:tcPr>
          <w:p>
            <w:pPr>
              <w:spacing w:after="0"/>
              <w:rPr>
                <w:sz w:val="24"/>
                <w:szCs w:val="24"/>
                <w:color w:val="auto"/>
              </w:rPr>
            </w:pPr>
          </w:p>
        </w:tc>
      </w:tr>
      <w:tr>
        <w:trPr>
          <w:trHeight w:val="222"/>
        </w:trPr>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(Incorporated by reference to Great Lakes Dredge &amp; Dock Corporation’s Current Report on Form 8-K filed with the Commission on</w:t>
            </w:r>
          </w:p>
        </w:tc>
        <w:tc>
          <w:tcPr>
            <w:tcW w:w="2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January 17, 2012).†</w:t>
            </w:r>
          </w:p>
        </w:tc>
        <w:tc>
          <w:tcPr>
            <w:tcW w:w="20" w:type="dxa"/>
            <w:vAlign w:val="bottom"/>
          </w:tcPr>
          <w:p>
            <w:pPr>
              <w:spacing w:after="0"/>
              <w:rPr>
                <w:sz w:val="20"/>
                <w:szCs w:val="20"/>
                <w:color w:val="auto"/>
              </w:rPr>
            </w:pPr>
          </w:p>
        </w:tc>
      </w:tr>
      <w:tr>
        <w:trPr>
          <w:trHeight w:val="378"/>
        </w:trPr>
        <w:tc>
          <w:tcPr>
            <w:tcW w:w="1460" w:type="dxa"/>
            <w:vAlign w:val="bottom"/>
            <w:gridSpan w:val="4"/>
          </w:tcPr>
          <w:p>
            <w:pPr>
              <w:spacing w:after="0"/>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401(k) Savings Plan. (Incorporated by reference to Great Lakes Dredge &amp; Dock Corporation’s Annual Report on Form 10-K filed</w:t>
            </w:r>
          </w:p>
        </w:tc>
        <w:tc>
          <w:tcPr>
            <w:tcW w:w="20" w:type="dxa"/>
            <w:vAlign w:val="bottom"/>
          </w:tcPr>
          <w:p>
            <w:pPr>
              <w:spacing w:after="0"/>
              <w:rPr>
                <w:sz w:val="24"/>
                <w:szCs w:val="24"/>
                <w:color w:val="auto"/>
              </w:rPr>
            </w:pPr>
          </w:p>
        </w:tc>
      </w:tr>
      <w:tr>
        <w:trPr>
          <w:trHeight w:val="237"/>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with the Commission on March 30, 2005).†</w:t>
            </w:r>
          </w:p>
        </w:tc>
        <w:tc>
          <w:tcPr>
            <w:tcW w:w="20" w:type="dxa"/>
            <w:vAlign w:val="bottom"/>
          </w:tcPr>
          <w:p>
            <w:pPr>
              <w:spacing w:after="0"/>
              <w:rPr>
                <w:sz w:val="20"/>
                <w:szCs w:val="20"/>
                <w:color w:val="auto"/>
              </w:rPr>
            </w:pPr>
          </w:p>
        </w:tc>
      </w:tr>
      <w:tr>
        <w:trPr>
          <w:trHeight w:val="378"/>
        </w:trPr>
        <w:tc>
          <w:tcPr>
            <w:tcW w:w="420" w:type="dxa"/>
            <w:vAlign w:val="bottom"/>
            <w:gridSpan w:val="3"/>
          </w:tcPr>
          <w:p>
            <w:pPr>
              <w:spacing w:after="0"/>
              <w:rPr>
                <w:rFonts w:ascii="Arial" w:cs="Arial" w:eastAsia="Arial" w:hAnsi="Arial"/>
                <w:sz w:val="18"/>
                <w:szCs w:val="18"/>
                <w:color w:val="0000EE"/>
                <w:w w:val="88"/>
              </w:rPr>
            </w:pPr>
            <w:hyperlink r:id="rId13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Amended and Restated Great Lakes Dredge &amp; Dock Corporation Supplemental Savings Plan effective January 1, 2014. (Incorporated</w:t>
            </w:r>
          </w:p>
        </w:tc>
        <w:tc>
          <w:tcPr>
            <w:tcW w:w="20" w:type="dxa"/>
            <w:vAlign w:val="bottom"/>
          </w:tcPr>
          <w:p>
            <w:pPr>
              <w:spacing w:after="0"/>
              <w:rPr>
                <w:sz w:val="24"/>
                <w:szCs w:val="24"/>
                <w:color w:val="auto"/>
              </w:rPr>
            </w:pPr>
          </w:p>
        </w:tc>
      </w:tr>
      <w:tr>
        <w:trPr>
          <w:trHeight w:val="222"/>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by reference to Great Lakes Dredge &amp; Dock Corporation’s Annual Report on Form 10-K filed with the Commission on March 11,</w:t>
            </w:r>
          </w:p>
        </w:tc>
        <w:tc>
          <w:tcPr>
            <w:tcW w:w="2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r>
      <w:tr>
        <w:trPr>
          <w:trHeight w:val="378"/>
        </w:trPr>
        <w:tc>
          <w:tcPr>
            <w:tcW w:w="1460" w:type="dxa"/>
            <w:vAlign w:val="bottom"/>
            <w:gridSpan w:val="4"/>
          </w:tcPr>
          <w:p>
            <w:pPr>
              <w:spacing w:after="0"/>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Form of Investor Rights Agreement among Aldabra Acquisition Corporation, Great Lakes Dredge &amp; Dock Holdings Corp., Madison</w:t>
            </w:r>
          </w:p>
        </w:tc>
        <w:tc>
          <w:tcPr>
            <w:tcW w:w="20" w:type="dxa"/>
            <w:vAlign w:val="bottom"/>
          </w:tcPr>
          <w:p>
            <w:pPr>
              <w:spacing w:after="0"/>
              <w:rPr>
                <w:sz w:val="24"/>
                <w:szCs w:val="24"/>
                <w:color w:val="auto"/>
              </w:rPr>
            </w:pPr>
          </w:p>
        </w:tc>
      </w:tr>
      <w:tr>
        <w:trPr>
          <w:trHeight w:val="222"/>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7"/>
              </w:rPr>
              <w:t>Dearborn Capital Partners IV, L.P., certain stockholders of Aldabra Acquisition Corporation and certain stockholders of GLDD</w:t>
            </w:r>
          </w:p>
        </w:tc>
        <w:tc>
          <w:tcPr>
            <w:tcW w:w="2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Acquisitions Corp. (Incorporated by reference to Great Lakes Dredge &amp; Dock Holding Corp.’s Registration Statement on Form S-4</w:t>
            </w:r>
          </w:p>
        </w:tc>
        <w:tc>
          <w:tcPr>
            <w:tcW w:w="2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filed with the Commission on August 24, 2006).</w:t>
            </w:r>
          </w:p>
        </w:tc>
        <w:tc>
          <w:tcPr>
            <w:tcW w:w="20" w:type="dxa"/>
            <w:vAlign w:val="bottom"/>
          </w:tcPr>
          <w:p>
            <w:pPr>
              <w:spacing w:after="0"/>
              <w:rPr>
                <w:sz w:val="20"/>
                <w:szCs w:val="20"/>
                <w:color w:val="auto"/>
              </w:rPr>
            </w:pPr>
          </w:p>
        </w:tc>
      </w:tr>
      <w:tr>
        <w:trPr>
          <w:trHeight w:val="378"/>
        </w:trPr>
        <w:tc>
          <w:tcPr>
            <w:tcW w:w="1460" w:type="dxa"/>
            <w:vAlign w:val="bottom"/>
            <w:gridSpan w:val="4"/>
          </w:tcPr>
          <w:p>
            <w:pPr>
              <w:spacing w:after="0"/>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Great Lakes Dredge &amp; Dock Corporation 2007 Long-Term Incentive Plan. (Incorporated by reference to Great Lakes Dredge &amp; Dock</w:t>
            </w:r>
          </w:p>
        </w:tc>
        <w:tc>
          <w:tcPr>
            <w:tcW w:w="20" w:type="dxa"/>
            <w:vAlign w:val="bottom"/>
          </w:tcPr>
          <w:p>
            <w:pPr>
              <w:spacing w:after="0"/>
              <w:rPr>
                <w:sz w:val="24"/>
                <w:szCs w:val="24"/>
                <w:color w:val="auto"/>
              </w:rPr>
            </w:pPr>
          </w:p>
        </w:tc>
      </w:tr>
      <w:tr>
        <w:trPr>
          <w:trHeight w:val="237"/>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Corporation’s Definitive Proxy Statement on Schedule 14A, filed with the Commission on April 4, 2012).†</w:t>
            </w:r>
          </w:p>
        </w:tc>
        <w:tc>
          <w:tcPr>
            <w:tcW w:w="20" w:type="dxa"/>
            <w:vAlign w:val="bottom"/>
          </w:tcPr>
          <w:p>
            <w:pPr>
              <w:spacing w:after="0"/>
              <w:rPr>
                <w:sz w:val="20"/>
                <w:szCs w:val="20"/>
                <w:color w:val="auto"/>
              </w:rPr>
            </w:pPr>
          </w:p>
        </w:tc>
      </w:tr>
      <w:tr>
        <w:trPr>
          <w:trHeight w:val="378"/>
        </w:trPr>
        <w:tc>
          <w:tcPr>
            <w:tcW w:w="1460" w:type="dxa"/>
            <w:vAlign w:val="bottom"/>
            <w:gridSpan w:val="4"/>
          </w:tcPr>
          <w:p>
            <w:pPr>
              <w:spacing w:after="0"/>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Great Lakes Dredge &amp; Dock Corporation 2017 Long-Term Incentive Plan (Incorporated by reference to Great Lakes Dredge &amp; Dock</w:t>
            </w:r>
          </w:p>
        </w:tc>
        <w:tc>
          <w:tcPr>
            <w:tcW w:w="20" w:type="dxa"/>
            <w:vAlign w:val="bottom"/>
          </w:tcPr>
          <w:p>
            <w:pPr>
              <w:spacing w:after="0"/>
              <w:rPr>
                <w:sz w:val="24"/>
                <w:szCs w:val="24"/>
                <w:color w:val="auto"/>
              </w:rPr>
            </w:pPr>
          </w:p>
        </w:tc>
      </w:tr>
      <w:tr>
        <w:trPr>
          <w:trHeight w:val="237"/>
        </w:trPr>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Corporation’s Current Report on Form 8-K filed with the Commission on May 17, 2017).†</w:t>
            </w:r>
          </w:p>
        </w:tc>
        <w:tc>
          <w:tcPr>
            <w:tcW w:w="20" w:type="dxa"/>
            <w:vAlign w:val="bottom"/>
          </w:tcPr>
          <w:p>
            <w:pPr>
              <w:spacing w:after="0"/>
              <w:rPr>
                <w:sz w:val="20"/>
                <w:szCs w:val="20"/>
                <w:color w:val="auto"/>
              </w:rPr>
            </w:pPr>
          </w:p>
        </w:tc>
      </w:tr>
      <w:tr>
        <w:trPr>
          <w:trHeight w:val="378"/>
        </w:trPr>
        <w:tc>
          <w:tcPr>
            <w:tcW w:w="1460" w:type="dxa"/>
            <w:vAlign w:val="bottom"/>
            <w:gridSpan w:val="4"/>
          </w:tcPr>
          <w:p>
            <w:pPr>
              <w:spacing w:after="0"/>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4"/>
              </w:rPr>
              <w:t>Form of Great Lakes Dredge &amp; Dock Corporation Restricted Stock Unit Award Agreement pursuant to the Great Lakes Dredge &amp;</w:t>
            </w:r>
          </w:p>
        </w:tc>
        <w:tc>
          <w:tcPr>
            <w:tcW w:w="20" w:type="dxa"/>
            <w:vAlign w:val="bottom"/>
          </w:tcPr>
          <w:p>
            <w:pPr>
              <w:spacing w:after="0"/>
              <w:rPr>
                <w:sz w:val="24"/>
                <w:szCs w:val="24"/>
                <w:color w:val="auto"/>
              </w:rPr>
            </w:pPr>
          </w:p>
        </w:tc>
      </w:tr>
      <w:tr>
        <w:trPr>
          <w:trHeight w:val="155"/>
        </w:trPr>
        <w:tc>
          <w:tcPr>
            <w:tcW w:w="3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Pr>
          <w:p>
            <w:pPr>
              <w:spacing w:after="0" w:line="154" w:lineRule="exact"/>
              <w:rPr>
                <w:sz w:val="20"/>
                <w:szCs w:val="20"/>
                <w:color w:val="auto"/>
              </w:rPr>
            </w:pPr>
            <w:r>
              <w:rPr>
                <w:rFonts w:ascii="Arial" w:cs="Arial" w:eastAsia="Arial" w:hAnsi="Arial"/>
                <w:sz w:val="17"/>
                <w:szCs w:val="17"/>
                <w:color w:val="auto"/>
              </w:rPr>
              <w:t>Dock Corporation 2007 Long-Term Incentive Plan. (Incorporated by reference to Great Lakes Dredge &amp; Dock Corporation’s</w:t>
            </w:r>
          </w:p>
        </w:tc>
        <w:tc>
          <w:tcPr>
            <w:tcW w:w="20" w:type="dxa"/>
            <w:vAlign w:val="bottom"/>
          </w:tcPr>
          <w:p>
            <w:pPr>
              <w:spacing w:after="0"/>
              <w:rPr>
                <w:sz w:val="13"/>
                <w:szCs w:val="13"/>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Quarterly Report on Form 10-Q filed with the Commission on May 3, 2016).†</w:t>
            </w:r>
          </w:p>
        </w:tc>
        <w:tc>
          <w:tcPr>
            <w:tcW w:w="20" w:type="dxa"/>
            <w:vAlign w:val="bottom"/>
          </w:tcPr>
          <w:p>
            <w:pPr>
              <w:spacing w:after="0"/>
              <w:rPr>
                <w:sz w:val="20"/>
                <w:szCs w:val="20"/>
                <w:color w:val="auto"/>
              </w:rPr>
            </w:pPr>
          </w:p>
        </w:tc>
      </w:tr>
      <w:tr>
        <w:trPr>
          <w:trHeight w:val="365"/>
        </w:trPr>
        <w:tc>
          <w:tcPr>
            <w:tcW w:w="1460" w:type="dxa"/>
            <w:vAlign w:val="bottom"/>
            <w:gridSpan w:val="4"/>
          </w:tcPr>
          <w:p>
            <w:pPr>
              <w:spacing w:after="0"/>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4"/>
              </w:rPr>
              <w:t>Form of Great Lakes Dredge &amp; Dock Corporation Restricted Stock Unit Award Agreement pursuant to the Great Lakes Dredge &amp;</w:t>
            </w:r>
          </w:p>
        </w:tc>
        <w:tc>
          <w:tcPr>
            <w:tcW w:w="20" w:type="dxa"/>
            <w:vAlign w:val="bottom"/>
          </w:tcPr>
          <w:p>
            <w:pPr>
              <w:spacing w:after="0"/>
              <w:rPr>
                <w:sz w:val="24"/>
                <w:szCs w:val="24"/>
                <w:color w:val="auto"/>
              </w:rPr>
            </w:pPr>
          </w:p>
        </w:tc>
      </w:tr>
      <w:tr>
        <w:trPr>
          <w:trHeight w:val="222"/>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8"/>
              </w:rPr>
              <w:t>Dock Corporation 2017 Long-Term Incentive Plan. (Incorporated by reference to Great Lakes Dredge &amp; Dock Corporation’s</w:t>
            </w:r>
          </w:p>
        </w:tc>
        <w:tc>
          <w:tcPr>
            <w:tcW w:w="2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Quarterly Report on Form 10-Q filed with the Commission on May 4, 2018). †</w:t>
            </w:r>
          </w:p>
        </w:tc>
        <w:tc>
          <w:tcPr>
            <w:tcW w:w="20" w:type="dxa"/>
            <w:vAlign w:val="bottom"/>
          </w:tcPr>
          <w:p>
            <w:pPr>
              <w:spacing w:after="0"/>
              <w:rPr>
                <w:sz w:val="20"/>
                <w:szCs w:val="20"/>
                <w:color w:val="auto"/>
              </w:rPr>
            </w:pPr>
          </w:p>
        </w:tc>
      </w:tr>
      <w:tr>
        <w:trPr>
          <w:trHeight w:val="378"/>
        </w:trPr>
        <w:tc>
          <w:tcPr>
            <w:tcW w:w="1460" w:type="dxa"/>
            <w:vAlign w:val="bottom"/>
            <w:gridSpan w:val="4"/>
          </w:tcPr>
          <w:p>
            <w:pPr>
              <w:spacing w:after="0"/>
              <w:rPr>
                <w:rFonts w:ascii="Arial" w:cs="Arial" w:eastAsia="Arial" w:hAnsi="Arial"/>
                <w:sz w:val="18"/>
                <w:szCs w:val="18"/>
                <w:color w:val="0000EE"/>
              </w:rPr>
            </w:pPr>
            <w:hyperlink r:id="rId136">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Form of Great Lakes Dredge &amp; Dock Corporation Performance-Based Restricted Stock Unit Award Agreement (Three Year Form)</w:t>
            </w:r>
          </w:p>
        </w:tc>
        <w:tc>
          <w:tcPr>
            <w:tcW w:w="20" w:type="dxa"/>
            <w:vAlign w:val="bottom"/>
          </w:tcPr>
          <w:p>
            <w:pPr>
              <w:spacing w:after="0"/>
              <w:rPr>
                <w:sz w:val="24"/>
                <w:szCs w:val="24"/>
                <w:color w:val="auto"/>
              </w:rPr>
            </w:pPr>
          </w:p>
        </w:tc>
      </w:tr>
      <w:tr>
        <w:trPr>
          <w:trHeight w:val="222"/>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pursuant to the Great Lakes Dredge &amp; Dock Corporation 2017 Long-Term Incentive Plan. (Incorporated by reference to Great Lakes</w:t>
            </w:r>
          </w:p>
        </w:tc>
        <w:tc>
          <w:tcPr>
            <w:tcW w:w="2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Dredge &amp; Dock Corporation’s Quarterly Report on Form 10-Q filed with the Commission on May 4, 2018). †</w:t>
            </w:r>
          </w:p>
        </w:tc>
        <w:tc>
          <w:tcPr>
            <w:tcW w:w="20" w:type="dxa"/>
            <w:vAlign w:val="bottom"/>
          </w:tcPr>
          <w:p>
            <w:pPr>
              <w:spacing w:after="0"/>
              <w:rPr>
                <w:sz w:val="20"/>
                <w:szCs w:val="20"/>
                <w:color w:val="auto"/>
              </w:rPr>
            </w:pPr>
          </w:p>
        </w:tc>
      </w:tr>
      <w:tr>
        <w:trPr>
          <w:trHeight w:val="378"/>
        </w:trPr>
        <w:tc>
          <w:tcPr>
            <w:tcW w:w="1460" w:type="dxa"/>
            <w:vAlign w:val="bottom"/>
            <w:gridSpan w:val="4"/>
          </w:tcPr>
          <w:p>
            <w:pPr>
              <w:spacing w:after="0"/>
              <w:rPr>
                <w:rFonts w:ascii="Arial" w:cs="Arial" w:eastAsia="Arial" w:hAnsi="Arial"/>
                <w:sz w:val="18"/>
                <w:szCs w:val="18"/>
                <w:color w:val="0000EE"/>
              </w:rPr>
            </w:pPr>
            <w:hyperlink r:id="rId137">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2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5"/>
              </w:rPr>
              <w:t>Form of Great Lakes Dredge &amp; Dock Corporation Performance-Based Restricted Stock Unit Award Agreement (Two Year Form)</w:t>
            </w:r>
          </w:p>
        </w:tc>
        <w:tc>
          <w:tcPr>
            <w:tcW w:w="20" w:type="dxa"/>
            <w:vAlign w:val="bottom"/>
          </w:tcPr>
          <w:p>
            <w:pPr>
              <w:spacing w:after="0"/>
              <w:rPr>
                <w:sz w:val="24"/>
                <w:szCs w:val="24"/>
                <w:color w:val="auto"/>
              </w:rPr>
            </w:pPr>
          </w:p>
        </w:tc>
      </w:tr>
      <w:tr>
        <w:trPr>
          <w:trHeight w:val="222"/>
        </w:trPr>
        <w:tc>
          <w:tcPr>
            <w:tcW w:w="3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pursuant to the Great Lakes Dredge &amp; Dock Corporation 2017 Long-Term Incentive Plan. (Incorporated by reference to Great Lakes</w:t>
            </w:r>
          </w:p>
        </w:tc>
        <w:tc>
          <w:tcPr>
            <w:tcW w:w="2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Dredge &amp; Dock Corporation’s Quarterly Report on Form 10-Q filed with the Commission on May 4, 2018). †</w:t>
            </w:r>
          </w:p>
        </w:tc>
        <w:tc>
          <w:tcPr>
            <w:tcW w:w="20" w:type="dxa"/>
            <w:vAlign w:val="bottom"/>
          </w:tcPr>
          <w:p>
            <w:pPr>
              <w:spacing w:after="0"/>
              <w:rPr>
                <w:sz w:val="20"/>
                <w:szCs w:val="20"/>
                <w:color w:val="auto"/>
              </w:rPr>
            </w:pPr>
          </w:p>
        </w:tc>
      </w:tr>
      <w:tr>
        <w:trPr>
          <w:trHeight w:val="662"/>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Pr>
          <w:p>
            <w:pPr>
              <w:ind w:left="39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40" w:type="dxa"/>
            <w:vAlign w:val="bottom"/>
            <w:gridSpan w:val="3"/>
          </w:tcPr>
          <w:p>
            <w:pPr>
              <w:ind w:left="1300"/>
              <w:spacing w:after="0"/>
              <w:rPr>
                <w:sz w:val="20"/>
                <w:szCs w:val="20"/>
                <w:color w:val="auto"/>
              </w:rPr>
            </w:pPr>
            <w:r>
              <w:rPr>
                <w:rFonts w:ascii="Arial" w:cs="Arial" w:eastAsia="Arial" w:hAnsi="Arial"/>
                <w:sz w:val="18"/>
                <w:szCs w:val="18"/>
                <w:b w:val="1"/>
                <w:bCs w:val="1"/>
                <w:color w:val="auto"/>
              </w:rPr>
              <w:t>Document Description</w:t>
            </w:r>
          </w:p>
        </w:tc>
        <w:tc>
          <w:tcPr>
            <w:tcW w:w="2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440" w:type="dxa"/>
            <w:vAlign w:val="bottom"/>
            <w:tcBorders>
              <w:top w:val="single" w:sz="8" w:color="auto"/>
            </w:tcBorders>
            <w:gridSpan w:val="3"/>
          </w:tcPr>
          <w:p>
            <w:pPr>
              <w:spacing w:after="0" w:line="170" w:lineRule="exact"/>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240" w:type="dxa"/>
            <w:vAlign w:val="bottom"/>
          </w:tcPr>
          <w:p>
            <w:pPr>
              <w:spacing w:after="0"/>
              <w:rPr>
                <w:sz w:val="14"/>
                <w:szCs w:val="14"/>
                <w:color w:val="auto"/>
              </w:rPr>
            </w:pPr>
          </w:p>
        </w:tc>
        <w:tc>
          <w:tcPr>
            <w:tcW w:w="9720" w:type="dxa"/>
            <w:vAlign w:val="bottom"/>
            <w:tcBorders>
              <w:top w:val="single" w:sz="8" w:color="auto"/>
            </w:tcBorders>
            <w:gridSpan w:val="6"/>
          </w:tcPr>
          <w:p>
            <w:pPr>
              <w:spacing w:after="0" w:line="170" w:lineRule="exact"/>
              <w:rPr>
                <w:sz w:val="20"/>
                <w:szCs w:val="20"/>
                <w:color w:val="auto"/>
              </w:rPr>
            </w:pPr>
            <w:r>
              <w:rPr>
                <w:rFonts w:ascii="Arial" w:cs="Arial" w:eastAsia="Arial" w:hAnsi="Arial"/>
                <w:sz w:val="18"/>
                <w:szCs w:val="18"/>
                <w:color w:val="auto"/>
                <w:w w:val="97"/>
              </w:rPr>
              <w:t>Restricted Stock Unit Award Notice pursuant to the Great Lakes Dredge &amp; Dock Corporation 2017 Long-Term Incentive Plan.</w:t>
            </w:r>
          </w:p>
        </w:tc>
        <w:tc>
          <w:tcPr>
            <w:tcW w:w="2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3"/>
              </w:rPr>
              <w:t>(Incorporated by reference to Great Lakes Dredge &amp; Dock Corporation’s Quarterly Report on Form 10-Q filed with the Commission</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on May 3, 2019). †</w:t>
            </w:r>
          </w:p>
        </w:tc>
        <w:tc>
          <w:tcPr>
            <w:tcW w:w="20" w:type="dxa"/>
            <w:vAlign w:val="bottom"/>
          </w:tcPr>
          <w:p>
            <w:pPr>
              <w:spacing w:after="0"/>
              <w:rPr>
                <w:sz w:val="20"/>
                <w:szCs w:val="20"/>
                <w:color w:val="auto"/>
              </w:rPr>
            </w:pPr>
          </w:p>
        </w:tc>
      </w:tr>
      <w:tr>
        <w:trPr>
          <w:trHeight w:val="392"/>
        </w:trPr>
        <w:tc>
          <w:tcPr>
            <w:tcW w:w="1460" w:type="dxa"/>
            <w:vAlign w:val="bottom"/>
            <w:gridSpan w:val="4"/>
          </w:tcPr>
          <w:p>
            <w:pPr>
              <w:spacing w:after="0"/>
              <w:rPr>
                <w:rFonts w:ascii="Arial" w:cs="Arial" w:eastAsia="Arial" w:hAnsi="Arial"/>
                <w:sz w:val="18"/>
                <w:szCs w:val="18"/>
                <w:color w:val="0000EE"/>
              </w:rPr>
            </w:pPr>
            <w:hyperlink r:id="rId141">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24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3"/>
              </w:rPr>
              <w:t>Performance-Based Restricted Stock Unit Award Notice pursuant to the Great Lakes Dredge &amp; Dock Corporation 2017 Long-Term</w:t>
            </w: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4"/>
              </w:rPr>
              <w:t>Incentive Plan. (Incorporated by reference to Great Lakes Dredge &amp; Dock Corporation’s Quarterly Report on Form 10-Q filed with</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the Commission on May 3, 2019). †</w:t>
            </w:r>
          </w:p>
        </w:tc>
        <w:tc>
          <w:tcPr>
            <w:tcW w:w="20" w:type="dxa"/>
            <w:vAlign w:val="bottom"/>
          </w:tcPr>
          <w:p>
            <w:pPr>
              <w:spacing w:after="0"/>
              <w:rPr>
                <w:sz w:val="20"/>
                <w:szCs w:val="20"/>
                <w:color w:val="auto"/>
              </w:rPr>
            </w:pPr>
          </w:p>
        </w:tc>
      </w:tr>
      <w:tr>
        <w:trPr>
          <w:trHeight w:val="378"/>
        </w:trPr>
        <w:tc>
          <w:tcPr>
            <w:tcW w:w="1460" w:type="dxa"/>
            <w:vAlign w:val="bottom"/>
            <w:gridSpan w:val="4"/>
          </w:tcPr>
          <w:p>
            <w:pPr>
              <w:spacing w:after="0"/>
              <w:rPr>
                <w:rFonts w:ascii="Arial" w:cs="Arial" w:eastAsia="Arial" w:hAnsi="Arial"/>
                <w:sz w:val="18"/>
                <w:szCs w:val="18"/>
                <w:color w:val="0000EE"/>
              </w:rPr>
            </w:pPr>
            <w:hyperlink r:id="rId142">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24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Great Lakes Dredge &amp; Dock Corporation Director Deferral Plan (Incorporated by reference to Great Lakes Dredge &amp; Dock</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Corporation’s Annual Report on Form 10-K filed with the Commission on February 28, 2018).†</w:t>
            </w:r>
          </w:p>
        </w:tc>
        <w:tc>
          <w:tcPr>
            <w:tcW w:w="20" w:type="dxa"/>
            <w:vAlign w:val="bottom"/>
          </w:tcPr>
          <w:p>
            <w:pPr>
              <w:spacing w:after="0"/>
              <w:rPr>
                <w:sz w:val="20"/>
                <w:szCs w:val="20"/>
                <w:color w:val="auto"/>
              </w:rPr>
            </w:pPr>
          </w:p>
        </w:tc>
      </w:tr>
      <w:tr>
        <w:trPr>
          <w:trHeight w:val="392"/>
        </w:trPr>
        <w:tc>
          <w:tcPr>
            <w:tcW w:w="1460" w:type="dxa"/>
            <w:vAlign w:val="bottom"/>
            <w:gridSpan w:val="4"/>
          </w:tcPr>
          <w:p>
            <w:pPr>
              <w:spacing w:after="0"/>
              <w:rPr>
                <w:rFonts w:ascii="Arial" w:cs="Arial" w:eastAsia="Arial" w:hAnsi="Arial"/>
                <w:sz w:val="18"/>
                <w:szCs w:val="18"/>
                <w:color w:val="0000EE"/>
              </w:rPr>
            </w:pPr>
            <w:hyperlink r:id="rId143">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24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2"/>
              </w:rPr>
              <w:t>Purchase Agreement, dated May 18, 2017, by and among the Company, certain subsidiary guarantors named therein and Deutsche</w:t>
            </w: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2"/>
              </w:rPr>
              <w:t>Bank Securities Inc., as representative of the initial purchasers named therein. (Incorporated by reference to Great Lakes Dredge &amp;</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Dock Corporation’s Current Report on Form 8-K filed with the Commission on May 24, 2017).</w:t>
            </w:r>
          </w:p>
        </w:tc>
        <w:tc>
          <w:tcPr>
            <w:tcW w:w="20" w:type="dxa"/>
            <w:vAlign w:val="bottom"/>
          </w:tcPr>
          <w:p>
            <w:pPr>
              <w:spacing w:after="0"/>
              <w:rPr>
                <w:sz w:val="20"/>
                <w:szCs w:val="20"/>
                <w:color w:val="auto"/>
              </w:rPr>
            </w:pPr>
          </w:p>
        </w:tc>
      </w:tr>
      <w:tr>
        <w:trPr>
          <w:trHeight w:val="392"/>
        </w:trPr>
        <w:tc>
          <w:tcPr>
            <w:tcW w:w="1460" w:type="dxa"/>
            <w:vAlign w:val="bottom"/>
            <w:gridSpan w:val="4"/>
          </w:tcPr>
          <w:p>
            <w:pPr>
              <w:spacing w:after="0"/>
              <w:rPr>
                <w:rFonts w:ascii="Arial" w:cs="Arial" w:eastAsia="Arial" w:hAnsi="Arial"/>
                <w:sz w:val="18"/>
                <w:szCs w:val="18"/>
                <w:color w:val="0000EE"/>
              </w:rPr>
            </w:pPr>
            <w:hyperlink r:id="rId144">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24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2"/>
              </w:rPr>
              <w:t>Registration Rights Agreement, dated May 24, 2017, by and among the Company, certain subsidiary guarantors named therein and</w:t>
            </w: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2"/>
              </w:rPr>
              <w:t>Deutsche Bank Securities Inc., as representative of the initial purchasers named therein. (Incorporated by reference to Great Lakes</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Dredge &amp; Dock Corporation’s Current Report on Form 8-K filed with the Commission on May 24, 2017).</w:t>
            </w:r>
          </w:p>
        </w:tc>
        <w:tc>
          <w:tcPr>
            <w:tcW w:w="20" w:type="dxa"/>
            <w:vAlign w:val="bottom"/>
          </w:tcPr>
          <w:p>
            <w:pPr>
              <w:spacing w:after="0"/>
              <w:rPr>
                <w:sz w:val="20"/>
                <w:szCs w:val="20"/>
                <w:color w:val="auto"/>
              </w:rPr>
            </w:pPr>
          </w:p>
        </w:tc>
      </w:tr>
      <w:tr>
        <w:trPr>
          <w:trHeight w:val="392"/>
        </w:trPr>
        <w:tc>
          <w:tcPr>
            <w:tcW w:w="1460" w:type="dxa"/>
            <w:vAlign w:val="bottom"/>
            <w:gridSpan w:val="4"/>
          </w:tcPr>
          <w:p>
            <w:pPr>
              <w:spacing w:after="0"/>
              <w:rPr>
                <w:rFonts w:ascii="Arial" w:cs="Arial" w:eastAsia="Arial" w:hAnsi="Arial"/>
                <w:sz w:val="18"/>
                <w:szCs w:val="18"/>
                <w:color w:val="0000EE"/>
              </w:rPr>
            </w:pPr>
            <w:hyperlink r:id="rId145">
              <w:r>
                <w:rPr>
                  <w:rFonts w:ascii="Arial" w:cs="Arial" w:eastAsia="Arial" w:hAnsi="Arial"/>
                  <w:sz w:val="18"/>
                  <w:szCs w:val="18"/>
                  <w:color w:val="0000EE"/>
                </w:rPr>
                <w:t>10.</w:t>
              </w:r>
              <w:r>
                <w:rPr>
                  <w:rFonts w:ascii="Arial" w:cs="Arial" w:eastAsia="Arial" w:hAnsi="Arial"/>
                  <w:sz w:val="18"/>
                  <w:szCs w:val="18"/>
                  <w:u w:val="single" w:color="auto"/>
                  <w:color w:val="0000EE"/>
                </w:rPr>
                <w:t>24</w:t>
              </w:r>
            </w:hyperlink>
          </w:p>
        </w:tc>
        <w:tc>
          <w:tcPr>
            <w:tcW w:w="24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0"/>
              </w:rPr>
              <w:t>Amended and Restated Revolving Credit and Security Agreement dated as of May 3, 2019 by and among Great Lakes Dredge &amp; Dock</w:t>
            </w: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4"/>
              </w:rPr>
              <w:t>Corporation, as Borrower, each other Credit Party party hereto from time to time, the financial institutions which are now or which</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1"/>
              </w:rPr>
              <w:t>hereafter become a party hereto as lenders, PNC Capital Markets, CIBC Bank, USA, Suntrust Robinson Humphrey, Inc., and Bank of</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6"/>
              </w:rPr>
              <w:t>America, N.A., as joint lead arrangers and joint bookrunners, HSBC Bank USA, N.A., as documentation agent, and PNC Bank,</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5"/>
              </w:rPr>
              <w:t>National Association, as lender and as agent (Incorporated by reference to Great Lakes Dredge &amp; Dock Corporation’s Quarterly</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Report on Form 10-Q filed with the Commission on August 2, 2019). (1)</w:t>
            </w:r>
          </w:p>
        </w:tc>
        <w:tc>
          <w:tcPr>
            <w:tcW w:w="20" w:type="dxa"/>
            <w:vAlign w:val="bottom"/>
          </w:tcPr>
          <w:p>
            <w:pPr>
              <w:spacing w:after="0"/>
              <w:rPr>
                <w:sz w:val="20"/>
                <w:szCs w:val="20"/>
                <w:color w:val="auto"/>
              </w:rPr>
            </w:pPr>
          </w:p>
        </w:tc>
      </w:tr>
      <w:tr>
        <w:trPr>
          <w:trHeight w:val="392"/>
        </w:trPr>
        <w:tc>
          <w:tcPr>
            <w:tcW w:w="1460" w:type="dxa"/>
            <w:vAlign w:val="bottom"/>
            <w:gridSpan w:val="4"/>
          </w:tcPr>
          <w:p>
            <w:pPr>
              <w:spacing w:after="0"/>
              <w:rPr>
                <w:rFonts w:ascii="Arial" w:cs="Arial" w:eastAsia="Arial" w:hAnsi="Arial"/>
                <w:sz w:val="18"/>
                <w:szCs w:val="18"/>
                <w:color w:val="0000EE"/>
              </w:rPr>
            </w:pPr>
            <w:hyperlink r:id="rId146">
              <w:r>
                <w:rPr>
                  <w:rFonts w:ascii="Arial" w:cs="Arial" w:eastAsia="Arial" w:hAnsi="Arial"/>
                  <w:sz w:val="18"/>
                  <w:szCs w:val="18"/>
                  <w:color w:val="0000EE"/>
                </w:rPr>
                <w:t>10.</w:t>
              </w:r>
              <w:r>
                <w:rPr>
                  <w:rFonts w:ascii="Arial" w:cs="Arial" w:eastAsia="Arial" w:hAnsi="Arial"/>
                  <w:sz w:val="18"/>
                  <w:szCs w:val="18"/>
                  <w:u w:val="single" w:color="auto"/>
                  <w:color w:val="0000EE"/>
                </w:rPr>
                <w:t>25</w:t>
              </w:r>
            </w:hyperlink>
          </w:p>
        </w:tc>
        <w:tc>
          <w:tcPr>
            <w:tcW w:w="24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0"/>
              </w:rPr>
              <w:t>Agreement of Indemnity, dated as of September 7, 2011, by and among Great Lakes Dredge &amp; Dock Corporation, Great Lakes Dredge</w:t>
            </w: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7"/>
              </w:rPr>
              <w:t>&amp; Dock Company, LLC, Lydon Dredging and Construction Company, Ltd., Fifty-Three Dredging Corporation, Dawson Marine</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6"/>
              </w:rPr>
              <w:t>Services Company, Great Lakes Dredge &amp; Dock Environmental, Inc. f/k/a Great Lakes Caribbean Dredging, Inc., NASDI, LLC,</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7"/>
              </w:rPr>
              <w:t>NASDI Holdings Corporation, Yankee Environmental Services, LLC, Great Lakes Dredge &amp; Dock (Bahamas) Ltd. and Zurich</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9"/>
              </w:rPr>
              <w:t>American Insurance Company and its subsidiaries and affiliates. (Incorporated by reference to Great Lakes Dredge &amp; Dock</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Corporation’s Annual Report on Form 10-K filed with the Commission on March 29, 2013).</w:t>
            </w:r>
          </w:p>
        </w:tc>
        <w:tc>
          <w:tcPr>
            <w:tcW w:w="20" w:type="dxa"/>
            <w:vAlign w:val="bottom"/>
          </w:tcPr>
          <w:p>
            <w:pPr>
              <w:spacing w:after="0"/>
              <w:rPr>
                <w:sz w:val="20"/>
                <w:szCs w:val="20"/>
                <w:color w:val="auto"/>
              </w:rPr>
            </w:pPr>
          </w:p>
        </w:tc>
      </w:tr>
      <w:tr>
        <w:trPr>
          <w:trHeight w:val="378"/>
        </w:trPr>
        <w:tc>
          <w:tcPr>
            <w:tcW w:w="1460" w:type="dxa"/>
            <w:vAlign w:val="bottom"/>
            <w:gridSpan w:val="4"/>
          </w:tcPr>
          <w:p>
            <w:pPr>
              <w:spacing w:after="0"/>
              <w:rPr>
                <w:rFonts w:ascii="Arial" w:cs="Arial" w:eastAsia="Arial" w:hAnsi="Arial"/>
                <w:sz w:val="18"/>
                <w:szCs w:val="18"/>
                <w:color w:val="0000EE"/>
              </w:rPr>
            </w:pPr>
            <w:hyperlink r:id="rId147">
              <w:r>
                <w:rPr>
                  <w:rFonts w:ascii="Arial" w:cs="Arial" w:eastAsia="Arial" w:hAnsi="Arial"/>
                  <w:sz w:val="18"/>
                  <w:szCs w:val="18"/>
                  <w:color w:val="0000EE"/>
                </w:rPr>
                <w:t>10.</w:t>
              </w:r>
              <w:r>
                <w:rPr>
                  <w:rFonts w:ascii="Arial" w:cs="Arial" w:eastAsia="Arial" w:hAnsi="Arial"/>
                  <w:sz w:val="18"/>
                  <w:szCs w:val="18"/>
                  <w:u w:val="single" w:color="auto"/>
                  <w:color w:val="0000EE"/>
                </w:rPr>
                <w:t>26</w:t>
              </w:r>
            </w:hyperlink>
          </w:p>
        </w:tc>
        <w:tc>
          <w:tcPr>
            <w:tcW w:w="24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1"/>
              </w:rPr>
              <w:t>First Rider to the General Agreement of Indemnity, dated as of June 4, 2012, by and among Great Lakes Dredge &amp; Dock Corporation,</w:t>
            </w: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4"/>
              </w:rPr>
              <w:t>Great Lakes Dredge &amp; Dock Company, LLC, Lydon Dredging and Construction Company, Ltd., Fifty-Three Dredging Corporation,</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4"/>
              </w:rPr>
              <w:t>Dawson Marine Services Company, Great Lakes Dredge &amp; Dock Environmental, Inc. f/k/a Great Lakes Caribbean Dredging, Inc.,</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Great Lakes Dredge &amp; Dock (Bahamas) Ltd. and Zurich American Insurance Company and its subsidiaries and affiliates.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3"/>
              </w:rPr>
              <w:t>(Incorporated by reference to Great Lakes Dredge &amp; Dock Corporation’s Quarterly Report on Form 10-Q filed with the Commission</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on August 4, 2015).</w:t>
            </w:r>
          </w:p>
        </w:tc>
        <w:tc>
          <w:tcPr>
            <w:tcW w:w="20" w:type="dxa"/>
            <w:vAlign w:val="bottom"/>
          </w:tcPr>
          <w:p>
            <w:pPr>
              <w:spacing w:after="0"/>
              <w:rPr>
                <w:sz w:val="20"/>
                <w:szCs w:val="20"/>
                <w:color w:val="auto"/>
              </w:rPr>
            </w:pPr>
          </w:p>
        </w:tc>
      </w:tr>
      <w:tr>
        <w:trPr>
          <w:trHeight w:val="378"/>
        </w:trPr>
        <w:tc>
          <w:tcPr>
            <w:tcW w:w="1460" w:type="dxa"/>
            <w:vAlign w:val="bottom"/>
            <w:gridSpan w:val="4"/>
          </w:tcPr>
          <w:p>
            <w:pPr>
              <w:spacing w:after="0"/>
              <w:rPr>
                <w:rFonts w:ascii="Arial" w:cs="Arial" w:eastAsia="Arial" w:hAnsi="Arial"/>
                <w:sz w:val="18"/>
                <w:szCs w:val="18"/>
                <w:color w:val="0000EE"/>
              </w:rPr>
            </w:pPr>
            <w:hyperlink r:id="rId148">
              <w:r>
                <w:rPr>
                  <w:rFonts w:ascii="Arial" w:cs="Arial" w:eastAsia="Arial" w:hAnsi="Arial"/>
                  <w:sz w:val="18"/>
                  <w:szCs w:val="18"/>
                  <w:color w:val="0000EE"/>
                </w:rPr>
                <w:t>10.</w:t>
              </w:r>
              <w:r>
                <w:rPr>
                  <w:rFonts w:ascii="Arial" w:cs="Arial" w:eastAsia="Arial" w:hAnsi="Arial"/>
                  <w:sz w:val="18"/>
                  <w:szCs w:val="18"/>
                  <w:u w:val="single" w:color="auto"/>
                  <w:color w:val="0000EE"/>
                </w:rPr>
                <w:t>27</w:t>
              </w:r>
            </w:hyperlink>
          </w:p>
        </w:tc>
        <w:tc>
          <w:tcPr>
            <w:tcW w:w="24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3"/>
              </w:rPr>
              <w:t>Agreement dated December 27, 2016. (Incorporated by reference to Great Lakes Dredge &amp; Dock Corporation's Current Report on</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Form 8-K filed with the Commission on December 30, 2016).</w:t>
            </w:r>
          </w:p>
        </w:tc>
        <w:tc>
          <w:tcPr>
            <w:tcW w:w="20" w:type="dxa"/>
            <w:vAlign w:val="bottom"/>
          </w:tcPr>
          <w:p>
            <w:pPr>
              <w:spacing w:after="0"/>
              <w:rPr>
                <w:sz w:val="20"/>
                <w:szCs w:val="20"/>
                <w:color w:val="auto"/>
              </w:rPr>
            </w:pPr>
          </w:p>
        </w:tc>
      </w:tr>
      <w:tr>
        <w:trPr>
          <w:trHeight w:val="392"/>
        </w:trPr>
        <w:tc>
          <w:tcPr>
            <w:tcW w:w="320" w:type="dxa"/>
            <w:vAlign w:val="bottom"/>
            <w:gridSpan w:val="2"/>
          </w:tcPr>
          <w:p>
            <w:pPr>
              <w:spacing w:after="0"/>
              <w:rPr>
                <w:rFonts w:ascii="Arial" w:cs="Arial" w:eastAsia="Arial" w:hAnsi="Arial"/>
                <w:sz w:val="18"/>
                <w:szCs w:val="18"/>
                <w:color w:val="0000EE"/>
                <w:w w:val="85"/>
              </w:rPr>
            </w:pPr>
            <w:hyperlink r:id="rId149">
              <w:r>
                <w:rPr>
                  <w:rFonts w:ascii="Arial" w:cs="Arial" w:eastAsia="Arial" w:hAnsi="Arial"/>
                  <w:sz w:val="18"/>
                  <w:szCs w:val="18"/>
                  <w:color w:val="0000EE"/>
                  <w:w w:val="85"/>
                </w:rPr>
                <w:t>14.</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w w:val="93"/>
              </w:rPr>
              <w:t>Code of Business Conduct and Ethics. (Incorporated by reference to Great Lakes Dredge &amp; Dock Corporation’s Current Report on</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20" w:type="dxa"/>
            <w:vAlign w:val="bottom"/>
            <w:gridSpan w:val="6"/>
          </w:tcPr>
          <w:p>
            <w:pPr>
              <w:spacing w:after="0"/>
              <w:rPr>
                <w:sz w:val="20"/>
                <w:szCs w:val="20"/>
                <w:color w:val="auto"/>
              </w:rPr>
            </w:pPr>
            <w:r>
              <w:rPr>
                <w:rFonts w:ascii="Arial" w:cs="Arial" w:eastAsia="Arial" w:hAnsi="Arial"/>
                <w:sz w:val="18"/>
                <w:szCs w:val="18"/>
                <w:color w:val="auto"/>
              </w:rPr>
              <w:t>Form 8-K filed with the Commission on May 18, 2016).</w:t>
            </w:r>
          </w:p>
        </w:tc>
        <w:tc>
          <w:tcPr>
            <w:tcW w:w="20" w:type="dxa"/>
            <w:vAlign w:val="bottom"/>
          </w:tcPr>
          <w:p>
            <w:pPr>
              <w:spacing w:after="0"/>
              <w:rPr>
                <w:sz w:val="20"/>
                <w:szCs w:val="20"/>
                <w:color w:val="auto"/>
              </w:rPr>
            </w:pPr>
          </w:p>
        </w:tc>
      </w:tr>
      <w:tr>
        <w:trPr>
          <w:trHeight w:val="378"/>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87">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Subsidiaries of Great Lakes Dredge &amp; Dock Corporation. *</w:t>
              </w:r>
            </w:hyperlink>
          </w:p>
        </w:tc>
        <w:tc>
          <w:tcPr>
            <w:tcW w:w="54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320" w:type="dxa"/>
            <w:vAlign w:val="bottom"/>
            <w:gridSpan w:val="2"/>
          </w:tcPr>
          <w:p>
            <w:pPr>
              <w:spacing w:after="0"/>
              <w:rPr>
                <w:rFonts w:ascii="Arial" w:cs="Arial" w:eastAsia="Arial" w:hAnsi="Arial"/>
                <w:sz w:val="18"/>
                <w:szCs w:val="18"/>
                <w:color w:val="0000EE"/>
                <w:w w:val="85"/>
              </w:rPr>
            </w:pPr>
            <w:hyperlink w:anchor="page88">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gridSpan w:val="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Consent of Deloitte &amp; Touche LLP. *</w:t>
              </w:r>
            </w:hyperlink>
          </w:p>
        </w:tc>
        <w:tc>
          <w:tcPr>
            <w:tcW w:w="20" w:type="dxa"/>
            <w:vAlign w:val="bottom"/>
          </w:tcPr>
          <w:p>
            <w:pPr>
              <w:spacing w:after="0"/>
              <w:rPr>
                <w:sz w:val="24"/>
                <w:szCs w:val="2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320" w:type="dxa"/>
            <w:vAlign w:val="bottom"/>
            <w:gridSpan w:val="2"/>
          </w:tcPr>
          <w:p>
            <w:pPr>
              <w:spacing w:after="0"/>
              <w:rPr>
                <w:rFonts w:ascii="Arial" w:cs="Arial" w:eastAsia="Arial" w:hAnsi="Arial"/>
                <w:sz w:val="18"/>
                <w:szCs w:val="18"/>
                <w:color w:val="0000EE"/>
                <w:w w:val="85"/>
              </w:rPr>
            </w:pPr>
            <w:hyperlink w:anchor="page89">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gridSpan w:val="6"/>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Pursuant to Rules 13a-14 and 15d-14 under the Securities Exchange Act of 1934, as Adopted Pursuant to Section 302 of</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the Sarbanes-Oxley Act of 2002. *</w:t>
              </w:r>
            </w:hyperlink>
          </w:p>
        </w:tc>
        <w:tc>
          <w:tcPr>
            <w:tcW w:w="710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9"/>
        </w:trPr>
        <w:tc>
          <w:tcPr>
            <w:tcW w:w="320" w:type="dxa"/>
            <w:vAlign w:val="bottom"/>
            <w:gridSpan w:val="2"/>
          </w:tcPr>
          <w:p>
            <w:pPr>
              <w:spacing w:after="0"/>
              <w:rPr>
                <w:rFonts w:ascii="Arial" w:cs="Arial" w:eastAsia="Arial" w:hAnsi="Arial"/>
                <w:sz w:val="18"/>
                <w:szCs w:val="18"/>
                <w:color w:val="0000EE"/>
                <w:w w:val="85"/>
              </w:rPr>
            </w:pPr>
            <w:hyperlink w:anchor="page9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gridSpan w:val="6"/>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Certification Pursuant to Rules 13a-14 and 15d-14 under the Securities Exchange Act of 1934, as Adopted Pursuant to Section 302 of</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the Sarbanes-Oxley Act of 2002. *</w:t>
              </w:r>
            </w:hyperlink>
          </w:p>
        </w:tc>
        <w:tc>
          <w:tcPr>
            <w:tcW w:w="712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5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gridSpan w:val="4"/>
          </w:tcPr>
          <w:p>
            <w:pPr>
              <w:ind w:left="3920"/>
              <w:spacing w:after="0"/>
              <w:rPr>
                <w:sz w:val="20"/>
                <w:szCs w:val="20"/>
                <w:color w:val="auto"/>
              </w:rPr>
            </w:pPr>
            <w:r>
              <w:rPr>
                <w:rFonts w:ascii="Arial" w:cs="Arial" w:eastAsia="Arial" w:hAnsi="Arial"/>
                <w:sz w:val="18"/>
                <w:szCs w:val="18"/>
                <w:color w:val="auto"/>
              </w:rPr>
              <w:t>80</w:t>
            </w: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w:t>
            </w:r>
          </w:p>
        </w:tc>
        <w:tc>
          <w:tcPr>
            <w:tcW w:w="9720" w:type="dxa"/>
            <w:vAlign w:val="bottom"/>
            <w:gridSpan w:val="2"/>
          </w:tcPr>
          <w:p>
            <w:pPr>
              <w:ind w:left="3980"/>
              <w:spacing w:after="0"/>
              <w:rPr>
                <w:sz w:val="20"/>
                <w:szCs w:val="20"/>
                <w:color w:val="auto"/>
              </w:rPr>
            </w:pPr>
            <w:r>
              <w:rPr>
                <w:rFonts w:ascii="Arial" w:cs="Arial" w:eastAsia="Arial" w:hAnsi="Arial"/>
                <w:sz w:val="18"/>
                <w:szCs w:val="18"/>
                <w:b w:val="1"/>
                <w:bCs w:val="1"/>
                <w:color w:val="auto"/>
              </w:rPr>
              <w:t>Document Description</w:t>
            </w:r>
          </w:p>
        </w:tc>
      </w:tr>
      <w:tr>
        <w:trPr>
          <w:trHeight w:val="169"/>
        </w:trPr>
        <w:tc>
          <w:tcPr>
            <w:tcW w:w="20" w:type="dxa"/>
            <w:vAlign w:val="bottom"/>
            <w:tcBorders>
              <w:bottom w:val="single" w:sz="8" w:color="0000EE"/>
            </w:tcBorders>
          </w:tcPr>
          <w:p>
            <w:pPr>
              <w:spacing w:after="0"/>
              <w:rPr>
                <w:sz w:val="14"/>
                <w:szCs w:val="14"/>
                <w:color w:val="auto"/>
              </w:rPr>
            </w:pPr>
          </w:p>
        </w:tc>
        <w:tc>
          <w:tcPr>
            <w:tcW w:w="3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hyperlink>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9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Certification Pursuant to 18 U.S.C. Section 1350, as Adopted Pursuant to Section 906 of the Sarbanes-Oxley Act of 2002. *</w:t>
              </w:r>
            </w:hyperlink>
          </w:p>
        </w:tc>
        <w:tc>
          <w:tcPr>
            <w:tcW w:w="800" w:type="dxa"/>
            <w:vAlign w:val="bottom"/>
            <w:tcBorders>
              <w:top w:val="single" w:sz="8" w:color="auto"/>
            </w:tcBorders>
          </w:tcPr>
          <w:p>
            <w:pPr>
              <w:spacing w:after="0"/>
              <w:rPr>
                <w:sz w:val="14"/>
                <w:szCs w:val="14"/>
                <w:color w:val="auto"/>
              </w:rPr>
            </w:pPr>
          </w:p>
        </w:tc>
      </w:tr>
      <w:tr>
        <w:trPr>
          <w:trHeight w:val="399"/>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92">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20" w:type="dxa"/>
            <w:vAlign w:val="bottom"/>
            <w:tcBorders>
              <w:bottom w:val="single" w:sz="8" w:color="0000EE"/>
            </w:tcBorders>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Certification Pursuant to 18 U.S.C. Section 1350, as Adopted Pursuant to Section 906 of the Sarbanes-Oxley Act of 2002. *</w:t>
              </w:r>
            </w:hyperlink>
          </w:p>
        </w:tc>
        <w:tc>
          <w:tcPr>
            <w:tcW w:w="800" w:type="dxa"/>
            <w:vAlign w:val="bottom"/>
          </w:tcPr>
          <w:p>
            <w:pPr>
              <w:spacing w:after="0"/>
              <w:rPr>
                <w:sz w:val="24"/>
                <w:szCs w:val="24"/>
                <w:color w:val="auto"/>
              </w:rPr>
            </w:pPr>
          </w:p>
        </w:tc>
      </w:tr>
      <w:tr>
        <w:trPr>
          <w:trHeight w:val="439"/>
        </w:trPr>
        <w:tc>
          <w:tcPr>
            <w:tcW w:w="17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Instance Document. *</w:t>
            </w:r>
          </w:p>
        </w:tc>
      </w:tr>
      <w:tr>
        <w:trPr>
          <w:trHeight w:val="419"/>
        </w:trPr>
        <w:tc>
          <w:tcPr>
            <w:tcW w:w="17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Schema. *</w:t>
            </w:r>
          </w:p>
        </w:tc>
      </w:tr>
      <w:tr>
        <w:trPr>
          <w:trHeight w:val="419"/>
        </w:trPr>
        <w:tc>
          <w:tcPr>
            <w:tcW w:w="17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w:t>
            </w:r>
          </w:p>
        </w:tc>
      </w:tr>
      <w:tr>
        <w:trPr>
          <w:trHeight w:val="432"/>
        </w:trPr>
        <w:tc>
          <w:tcPr>
            <w:tcW w:w="17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w:t>
            </w:r>
          </w:p>
        </w:tc>
      </w:tr>
      <w:tr>
        <w:trPr>
          <w:trHeight w:val="432"/>
        </w:trPr>
        <w:tc>
          <w:tcPr>
            <w:tcW w:w="17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w:t>
            </w:r>
          </w:p>
        </w:tc>
      </w:tr>
      <w:tr>
        <w:trPr>
          <w:trHeight w:val="432"/>
        </w:trPr>
        <w:tc>
          <w:tcPr>
            <w:tcW w:w="17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0" w:right="42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197"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9" w:lineRule="exact"/>
        <w:rPr>
          <w:sz w:val="20"/>
          <w:szCs w:val="20"/>
          <w:color w:val="auto"/>
        </w:rPr>
      </w:pPr>
    </w:p>
    <w:p>
      <w:pPr>
        <w:ind w:left="5620" w:right="2160" w:hanging="5612"/>
        <w:spacing w:after="0" w:line="762" w:lineRule="auto"/>
        <w:tabs>
          <w:tab w:leader="none" w:pos="5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Portions of this exhibit have been previously granted confidential treatment by the Securities and Exchange Commission.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tc>
      </w:tr>
      <w:tr>
        <w:trPr>
          <w:trHeight w:val="123"/>
        </w:trPr>
        <w:tc>
          <w:tcPr>
            <w:tcW w:w="380" w:type="dxa"/>
            <w:vAlign w:val="bottom"/>
          </w:tcPr>
          <w:p>
            <w:pPr>
              <w:spacing w:after="0"/>
              <w:rPr>
                <w:sz w:val="10"/>
                <w:szCs w:val="10"/>
                <w:color w:val="auto"/>
              </w:rPr>
            </w:pPr>
          </w:p>
        </w:tc>
        <w:tc>
          <w:tcPr>
            <w:tcW w:w="5320" w:type="dxa"/>
            <w:vAlign w:val="bottom"/>
          </w:tcPr>
          <w:p>
            <w:pPr>
              <w:jc w:val="center"/>
              <w:spacing w:after="0" w:line="123" w:lineRule="exact"/>
              <w:rPr>
                <w:sz w:val="20"/>
                <w:szCs w:val="20"/>
                <w:color w:val="auto"/>
              </w:rPr>
            </w:pPr>
            <w:r>
              <w:rPr>
                <w:rFonts w:ascii="Arial" w:cs="Arial" w:eastAsia="Arial" w:hAnsi="Arial"/>
                <w:sz w:val="14"/>
                <w:szCs w:val="14"/>
                <w:color w:val="auto"/>
                <w:w w:val="98"/>
              </w:rPr>
              <w:t>Mark W. Marinko</w:t>
            </w:r>
          </w:p>
        </w:tc>
      </w:tr>
      <w:tr>
        <w:trPr>
          <w:trHeight w:val="149"/>
        </w:trPr>
        <w:tc>
          <w:tcPr>
            <w:tcW w:w="380" w:type="dxa"/>
            <w:vAlign w:val="bottom"/>
          </w:tcPr>
          <w:p>
            <w:pPr>
              <w:spacing w:after="0"/>
              <w:rPr>
                <w:sz w:val="12"/>
                <w:szCs w:val="12"/>
                <w:color w:val="auto"/>
              </w:rPr>
            </w:pPr>
          </w:p>
        </w:tc>
        <w:tc>
          <w:tcPr>
            <w:tcW w:w="5320" w:type="dxa"/>
            <w:vAlign w:val="bottom"/>
          </w:tcPr>
          <w:p>
            <w:pPr>
              <w:jc w:val="center"/>
              <w:spacing w:after="0" w:line="149" w:lineRule="exact"/>
              <w:rPr>
                <w:sz w:val="20"/>
                <w:szCs w:val="20"/>
                <w:color w:val="auto"/>
              </w:rPr>
            </w:pPr>
            <w:r>
              <w:rPr>
                <w:rFonts w:ascii="Arial" w:cs="Arial" w:eastAsia="Arial" w:hAnsi="Arial"/>
                <w:sz w:val="14"/>
                <w:szCs w:val="14"/>
                <w:color w:val="auto"/>
                <w:w w:val="94"/>
              </w:rPr>
              <w:t>Senior Vice President and Chief Financial Officer</w:t>
            </w:r>
          </w:p>
        </w:tc>
      </w:tr>
      <w:tr>
        <w:trPr>
          <w:trHeight w:val="182"/>
        </w:trPr>
        <w:tc>
          <w:tcPr>
            <w:tcW w:w="38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6"/>
              </w:rPr>
              <w:t>(Principal Financial and Accounting Officer and Duly Authorized Officer)</w:t>
            </w:r>
          </w:p>
        </w:tc>
      </w:tr>
    </w:tbl>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26, 2020</w:t>
      </w:r>
    </w:p>
    <w:p>
      <w:pPr>
        <w:spacing w:after="0" w:line="225"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67"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5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9"/>
              </w:rPr>
              <w:t>Signature</w:t>
            </w:r>
          </w:p>
        </w:tc>
        <w:tc>
          <w:tcPr>
            <w:tcW w:w="2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2500" w:type="dxa"/>
            <w:vAlign w:val="bottom"/>
          </w:tcPr>
          <w:p>
            <w:pPr>
              <w:spacing w:after="0"/>
              <w:rPr>
                <w:sz w:val="17"/>
                <w:szCs w:val="17"/>
                <w:color w:val="auto"/>
              </w:rPr>
            </w:pPr>
          </w:p>
        </w:tc>
        <w:tc>
          <w:tcPr>
            <w:tcW w:w="2420" w:type="dxa"/>
            <w:vAlign w:val="bottom"/>
            <w:gridSpan w:val="2"/>
          </w:tcPr>
          <w:p>
            <w:pPr>
              <w:jc w:val="center"/>
              <w:ind w:right="2060"/>
              <w:spacing w:after="0"/>
              <w:rPr>
                <w:sz w:val="20"/>
                <w:szCs w:val="20"/>
                <w:color w:val="auto"/>
              </w:rPr>
            </w:pPr>
            <w:r>
              <w:rPr>
                <w:rFonts w:ascii="Arial" w:cs="Arial" w:eastAsia="Arial" w:hAnsi="Arial"/>
                <w:sz w:val="18"/>
                <w:szCs w:val="18"/>
                <w:b w:val="1"/>
                <w:bCs w:val="1"/>
                <w:color w:val="auto"/>
                <w:w w:val="97"/>
              </w:rPr>
              <w:t>Title</w:t>
            </w:r>
          </w:p>
        </w:tc>
      </w:tr>
      <w:tr>
        <w:trPr>
          <w:trHeight w:val="20"/>
        </w:trPr>
        <w:tc>
          <w:tcPr>
            <w:tcW w:w="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80"/>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6"/>
              </w:rPr>
              <w:t>/s/ Lasse J. Petterson</w:t>
            </w:r>
          </w:p>
        </w:tc>
        <w:tc>
          <w:tcPr>
            <w:tcW w:w="20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February 26, 2020</w:t>
            </w:r>
          </w:p>
        </w:tc>
        <w:tc>
          <w:tcPr>
            <w:tcW w:w="4920" w:type="dxa"/>
            <w:vAlign w:val="bottom"/>
            <w:gridSpan w:val="3"/>
          </w:tcPr>
          <w:p>
            <w:pPr>
              <w:jc w:val="center"/>
              <w:ind w:left="350"/>
              <w:spacing w:after="0"/>
              <w:rPr>
                <w:sz w:val="20"/>
                <w:szCs w:val="20"/>
                <w:color w:val="auto"/>
              </w:rPr>
            </w:pPr>
            <w:r>
              <w:rPr>
                <w:rFonts w:ascii="Arial" w:cs="Arial" w:eastAsia="Arial" w:hAnsi="Arial"/>
                <w:sz w:val="18"/>
                <w:szCs w:val="18"/>
                <w:color w:val="auto"/>
                <w:w w:val="93"/>
              </w:rPr>
              <w:t>Chief Executive Officer and Director</w:t>
            </w:r>
          </w:p>
        </w:tc>
      </w:tr>
      <w:tr>
        <w:trPr>
          <w:trHeight w:val="224"/>
        </w:trPr>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5"/>
              </w:rPr>
              <w:t>Lasse J. Petterson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920" w:type="dxa"/>
            <w:vAlign w:val="bottom"/>
            <w:gridSpan w:val="3"/>
          </w:tcPr>
          <w:p>
            <w:pPr>
              <w:jc w:val="center"/>
              <w:ind w:left="330"/>
              <w:spacing w:after="0"/>
              <w:rPr>
                <w:sz w:val="20"/>
                <w:szCs w:val="20"/>
                <w:color w:val="auto"/>
              </w:rPr>
            </w:pPr>
            <w:r>
              <w:rPr>
                <w:rFonts w:ascii="Arial" w:cs="Arial" w:eastAsia="Arial" w:hAnsi="Arial"/>
                <w:sz w:val="18"/>
                <w:szCs w:val="18"/>
                <w:color w:val="auto"/>
                <w:w w:val="94"/>
              </w:rPr>
              <w:t>(Principal Executive Officer)</w:t>
            </w:r>
          </w:p>
        </w:tc>
      </w:tr>
      <w:tr>
        <w:trPr>
          <w:trHeight w:val="444"/>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3"/>
          </w:tcPr>
          <w:p>
            <w:pPr>
              <w:jc w:val="center"/>
              <w:ind w:left="350"/>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Mark W. Marinko</w:t>
            </w:r>
          </w:p>
        </w:tc>
        <w:tc>
          <w:tcPr>
            <w:tcW w:w="20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February 26, 2020</w:t>
            </w:r>
          </w:p>
        </w:tc>
        <w:tc>
          <w:tcPr>
            <w:tcW w:w="4920" w:type="dxa"/>
            <w:vAlign w:val="bottom"/>
            <w:gridSpan w:val="3"/>
          </w:tcPr>
          <w:p>
            <w:pPr>
              <w:jc w:val="center"/>
              <w:ind w:left="330"/>
              <w:spacing w:after="0"/>
              <w:rPr>
                <w:sz w:val="20"/>
                <w:szCs w:val="20"/>
                <w:color w:val="auto"/>
              </w:rPr>
            </w:pPr>
            <w:r>
              <w:rPr>
                <w:rFonts w:ascii="Arial" w:cs="Arial" w:eastAsia="Arial" w:hAnsi="Arial"/>
                <w:sz w:val="18"/>
                <w:szCs w:val="18"/>
                <w:color w:val="auto"/>
                <w:w w:val="94"/>
              </w:rPr>
              <w:t>(Principal Financial Officer and Principal Accounting Officer)</w:t>
            </w:r>
          </w:p>
        </w:tc>
      </w:tr>
      <w:tr>
        <w:trPr>
          <w:trHeight w:val="224"/>
        </w:trPr>
        <w:tc>
          <w:tcPr>
            <w:tcW w:w="23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Mark W. Marinko</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Lawrence R. Dickerson</w:t>
            </w:r>
          </w:p>
        </w:tc>
        <w:tc>
          <w:tcPr>
            <w:tcW w:w="20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February 26, 2020</w:t>
            </w:r>
          </w:p>
        </w:tc>
        <w:tc>
          <w:tcPr>
            <w:tcW w:w="492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Lawrence R. Dickerson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Elaine J. Dorward-King</w:t>
            </w:r>
          </w:p>
        </w:tc>
        <w:tc>
          <w:tcPr>
            <w:tcW w:w="20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February 26, 2020</w:t>
            </w:r>
          </w:p>
        </w:tc>
        <w:tc>
          <w:tcPr>
            <w:tcW w:w="492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3"/>
              </w:rPr>
              <w:t>Elaine J. Dorward-King</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Ryan J. Levenson</w:t>
            </w:r>
          </w:p>
        </w:tc>
        <w:tc>
          <w:tcPr>
            <w:tcW w:w="20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February 26, 2020</w:t>
            </w:r>
          </w:p>
        </w:tc>
        <w:tc>
          <w:tcPr>
            <w:tcW w:w="492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8"/>
              </w:rPr>
              <w:t>Ryan J. Levenson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Kathleen M. Shanahan</w:t>
            </w:r>
          </w:p>
        </w:tc>
        <w:tc>
          <w:tcPr>
            <w:tcW w:w="20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February 26, 2020</w:t>
            </w:r>
          </w:p>
        </w:tc>
        <w:tc>
          <w:tcPr>
            <w:tcW w:w="492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Kathleen M. Shanahan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Ronald R. Steger</w:t>
            </w:r>
          </w:p>
        </w:tc>
        <w:tc>
          <w:tcPr>
            <w:tcW w:w="20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February 26, 2020</w:t>
            </w:r>
          </w:p>
        </w:tc>
        <w:tc>
          <w:tcPr>
            <w:tcW w:w="492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Ronald R. Steger</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D. Michael Steuert</w:t>
            </w:r>
          </w:p>
        </w:tc>
        <w:tc>
          <w:tcPr>
            <w:tcW w:w="20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February 26, 2020</w:t>
            </w:r>
          </w:p>
        </w:tc>
        <w:tc>
          <w:tcPr>
            <w:tcW w:w="492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1"/>
              </w:rPr>
              <w:t>D. Michael Steuert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58"/>
        </w:trPr>
        <w:tc>
          <w:tcPr>
            <w:tcW w:w="2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Michael J. Walsh</w:t>
            </w:r>
          </w:p>
        </w:tc>
        <w:tc>
          <w:tcPr>
            <w:tcW w:w="20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February 26, 2020</w:t>
            </w:r>
          </w:p>
        </w:tc>
        <w:tc>
          <w:tcPr>
            <w:tcW w:w="492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Director</w:t>
            </w:r>
          </w:p>
        </w:tc>
      </w:tr>
      <w:tr>
        <w:trPr>
          <w:trHeight w:val="224"/>
        </w:trPr>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1"/>
              </w:rPr>
              <w:t>Michael J. Walsh</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74"/>
        </w:trPr>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tcPr>
          <w:p>
            <w:pPr>
              <w:jc w:val="right"/>
              <w:ind w:right="1830"/>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Exhibit 4.1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13"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Great Lakes Dredge &amp; Dock Holdings Corp. (the “Corporation,” “we,” “us” or “our”) has one class of securities registered under Section 12 of the Securities Exchange Act of 1934, as amended (the “Exchange Act”): our common stock.</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DESCRIPTION OF CAPITAL STOCK</w:t>
      </w:r>
    </w:p>
    <w:p>
      <w:pPr>
        <w:spacing w:after="0" w:line="22"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9"/>
          <w:szCs w:val="19"/>
          <w:color w:val="auto"/>
        </w:rPr>
        <w:t>The following description relating to our capital stock is a summary of the general terms and provisions of our Amended and Restated Certificate of Incorporation (the “Certificate of Incorporation”) and Amended and Restated Bylaws (the “Bylaws”). This description does not purport to be complete and is qualified by reference to our Certificate of Incorporation and Bylaws, each of which is an exhibit to the Annual Report on Form 10-K to which this description is an exhibit and are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Capitalization</w:t>
      </w:r>
    </w:p>
    <w:p>
      <w:pPr>
        <w:spacing w:after="0" w:line="235"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We are authorized to issue 90,000,000 shares of common stock, par value $0.0001 per share, and 1,000,000 shares of preferred stock, par value $0.0001 per share.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35"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9"/>
          <w:szCs w:val="19"/>
          <w:color w:val="auto"/>
        </w:rPr>
        <w:t>Subject to the rights of any holders of preferred stock, holders of our common stock are entitled to receive equally, on a per share basis, dividends and other distributions in cash, securities or other property of the Corporation as may be declared by our Board of Directors (the “Board”) from time to time out of assets or funds of the Corporation legally available therefor. Except as otherwise provided by law or our Certificate of Incorporation, holders of our common stock are entitled to one vote for each share of common stock they own. All actions to be taken by our stockholders other than matters relating to the election of directors must be approved by the affirmative vote of the majority of the voting power of shares present in person or represented by proxy at a meeting and entitled to vote. Our directors are elected by a plurality of the votes of the shares present in person or represented by proxy at a meeting and entitled to vote in the election of directors; provided that, whenever the holders of any class or series of our capital stock are entitled to elect one or more directors, such directors will be elected by a plurality of the votes of such class or series present in person or represented by proxy at a meeting and entitled to vote in the election of such directors. In the event of any liquidation, dissolution or winding up of the Corporation, holders of our common stock are entitled to share ratably in any distribution of our assets after the satisfaction of all debts and other liabilities (including payments with respect to any outstanding shares of preferred stock). Holders of our common stock have no cumulative voting rights, conversion rights, sinking fund provisions or preemptive rights.</w:t>
      </w:r>
    </w:p>
    <w:p>
      <w:pPr>
        <w:spacing w:after="0" w:line="183" w:lineRule="exact"/>
        <w:rPr>
          <w:sz w:val="20"/>
          <w:szCs w:val="20"/>
          <w:color w:val="auto"/>
        </w:rPr>
      </w:pPr>
    </w:p>
    <w:p>
      <w:pPr>
        <w:jc w:val="both"/>
        <w:ind w:firstLine="1147"/>
        <w:spacing w:after="0" w:line="243" w:lineRule="auto"/>
        <w:rPr>
          <w:sz w:val="20"/>
          <w:szCs w:val="20"/>
          <w:color w:val="auto"/>
        </w:rPr>
      </w:pPr>
      <w:r>
        <w:rPr>
          <w:rFonts w:ascii="Arial" w:cs="Arial" w:eastAsia="Arial" w:hAnsi="Arial"/>
          <w:sz w:val="20"/>
          <w:szCs w:val="20"/>
          <w:color w:val="auto"/>
        </w:rPr>
        <w:t>Holders of our capital stock are subject to restrictions on ownership and transfer designed to preserve our qualification as a citizen of the United States (“U.S. Citizen”) within the meaning of the Maritime Laws (as defined in our Certificate of Incorporation) for purposes of owning or operating vessels in the U.S. Coastwise trade. To ensure that we continue to meet the requirements for qualification as a U.S. Citizen, our Certificate of Incorporation provides that non-U.S. Citizens should beneficially own no more than the lesser of (i) 22.5% of the issued and outstanding shares of our capital stock and (ii) 90% of the maximum percentage of the issued and outstanding shares of our capital stock permitted to be beneficially owned by non-U.S. Citizens under the Maritime Laws (the “Permitted Percentage”). Any purported transfer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8" w:right="239" w:bottom="1440" w:gutter="0" w:footer="0" w:header="0"/>
        </w:sectPr>
      </w:pPr>
    </w:p>
    <w:bookmarkStart w:id="84" w:name="page85"/>
    <w:bookmarkEnd w:id="84"/>
    <w:p>
      <w:pPr>
        <w:jc w:val="both"/>
        <w:spacing w:after="0" w:line="244" w:lineRule="auto"/>
        <w:rPr>
          <w:sz w:val="20"/>
          <w:szCs w:val="20"/>
          <w:color w:val="auto"/>
        </w:rPr>
      </w:pPr>
      <w:r>
        <w:rPr>
          <w:rFonts w:ascii="Arial" w:cs="Arial" w:eastAsia="Arial" w:hAnsi="Arial"/>
          <w:sz w:val="20"/>
          <w:szCs w:val="20"/>
          <w:color w:val="auto"/>
        </w:rPr>
        <w:t>of beneficial ownership of the shares of our capital stock, the effect of which would be to cause one or more non-U.S. Citizens in the aggregate to beneficially own shares in excess of the Permitted Percentage (the “Excess Shares”), shall be void and ineffective. If, notwithstanding the foregoing restrictions on transfer, any non-U.S. Citizen acquires Excess Shares, then the Corporation, subject to any applicable law, by action of the Board, in its sole discretion, shall have the power to redeem such Excess Shares; provided that the Corporation shall not have any obligation to redeem any Excess Shares.</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Our common stock is listed on The Nasdaq Stock Market under the symbol “GLDD.”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229"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8"/>
          <w:szCs w:val="18"/>
          <w:color w:val="auto"/>
        </w:rPr>
        <w:t>Under our Certificate of Incorporation, our Board has the authority, without further action by our stockholders, to issue up to 1,000,000 shares of preferred stock in one or more series and to fix the voting powers, designations, preferences, and relative participating, optional, or other special rights and qualifications, limitations, and restrictions of each series, including dividend rights, dividend rates, conversion rights, voting rights, terms of redemption, liquidation preferences, and the number of shares constituting any series. Because the Board of Directors has the power to establish the preferences, powers, and rights of the shares of any series of preferred stock, it may afford holders of any preferred stock preferences, powers, and rights, including voting and dividend rights, senior to the rights of holders of our common stock, which could adversely affect the holders of the common stock and could delay, discourage, or prevent a takeover of us even if a change of control of the Corporation would be beneficial to the interests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Certain Provisions</w:t>
      </w:r>
    </w:p>
    <w:p>
      <w:pPr>
        <w:spacing w:after="0" w:line="23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Certain provisions of the Delaware General Corporation Law (“DGCL”), our Certificate of Incorporation and Bylaws summarized in the paragraphs above and in the following paragraphs may have an anti-takeover effect and could make the following transactions difficult: acquisition by means of a tender offer; acquisition by means of a proxy contest or otherwise; or removal of incumbent officers and directors. It is possible that these provisions could make it more difficult to accomplish or could deter transactions that stockholders may otherwise consider to be in their best interest or in the best interests of the Corporation, including transactions that might result in a premium over the market price for shares of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Undesignated Preferred Stock</w:t>
      </w:r>
    </w:p>
    <w:p>
      <w:pPr>
        <w:spacing w:after="0" w:line="229"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The authority that our Board possesses to issue preferred stock could potentially be used to discourage attempts by third parties to obtain control of the Corporation through a merger, tender offer, proxy contest or otherwise by making such attempts more difficult or more costly. Our Board may be able to issue preferred stock with voting rights or conversion rights that, if exercised, could adversely affect the voting power of the holders of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Classified Board of Directors</w:t>
      </w:r>
    </w:p>
    <w:p>
      <w:pPr>
        <w:spacing w:after="0" w:line="229"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Pursuant to our Certificate of Incorporation, our Board is divided into three classes, with the number of directors in each class as nearly equal as possible. The directors in each class serve for staggered three-year terms. Only one class of directors will be elected at each annual meeting of the stockholders, with the other classes continuing for the remainder of their respective three-year terms.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Removal of Directors; Vacancies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Pursuant to our Certificate of Incorporation, any director may be removed from office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19"/>
          <w:szCs w:val="19"/>
          <w:color w:val="auto"/>
        </w:rPr>
        <w:t>but only for cause, at a meeting called for that purpose by the affirmative vote of the holders of at least 66 2/3% of the voting power of all outstanding shares of common stock entitled to vote at an election of directors, voting together as a single class. Vacancies and newly created directorships resulting from any increase in the authorized number of directors and vacancies created from the death, disqualification, resignation or removal of any director will be filled by directors possessing a majority of the voting power of all directors.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 Meetings of Stockholders</w:t>
      </w:r>
    </w:p>
    <w:p>
      <w:pPr>
        <w:spacing w:after="0" w:line="229"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Our Certificate of Incorporation and Bylaws provide that a special meeting of stockholders may be called only by our Board pursuant to a resolution adopted by a majority of the Board. Stockholders are not permitted to call a special meeting.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 Stockholder Action by Written Consent</w:t>
      </w:r>
    </w:p>
    <w:p>
      <w:pPr>
        <w:spacing w:after="0" w:line="229"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Our Certificate of Incorporation provides that stockholder action may be taken only at an annual meeting or special meeting of stockholders and may not be taken by written consent in lieu of a meeting.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Advance Notice Requirements</w:t>
      </w:r>
    </w:p>
    <w:p>
      <w:pPr>
        <w:spacing w:after="0" w:line="229"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8"/>
          <w:szCs w:val="18"/>
          <w:color w:val="auto"/>
        </w:rPr>
        <w:t>Under our Bylaws, to be properly brought before an annual meeting of stockholders, any stockholder proposal or nomination for election to the Board must be delivered to the Secretary of the Corporation not less than 90 days nor more than 120 days prior to the first anniversary of the date on which the Corporation first mailed its proxy materials for the preceding year’s annual meeting; provided, however, that if the date of the annual meeting is changed by more than 30 days from the anniversary date of the previous year’s meeting, notice by the stockholder must be delivered not earlier than 120 days prior to such annual meeting and not later than the close of business on the later of (i) the 90th day prior to such annual meeting or (ii) the 10th day following the day on which public announcement of the date of such annual meeting is first made. Such notice must contain information specified in our Bylaws as to the director nominee or proposal of other business, information about the stockholder making the nomination or proposal and the beneficial owner, if any, on behalf of whom the nomination or proposal is made. If our Board has determined that directors shall be elected at a special meeting of stockholders, any stockholder nomination for election to our Board at such special meeting must be delivered to the Secretary of the Corporation not earlier than the close of business on the 120th day prior to the date of the special meeting and not later than the close of business on the later of (i) the 90th day prior to such special meeting or (ii) the 10th day following the day on which public announcement is first made of the date of such special meeting and of the nominees proposed by the Board to be elected at such meeting.</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Section 203 of the Delaware General Corporation Law</w:t>
      </w:r>
    </w:p>
    <w:p>
      <w:pPr>
        <w:spacing w:after="0" w:line="229"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9"/>
          <w:szCs w:val="19"/>
          <w:color w:val="auto"/>
        </w:rPr>
        <w:t>We are governed by the provisions of Section 203 of the DGCL. Section 203, with specified exceptions, prohibits a Delaware corporations from engaging, under certain circumstances, in a “business combination” with an “interested stockholder” for a period of three years following the date of the transaction in which the person became an interested stockholder. A business combination includes, among other things, mergers, asset sales or other transactions resulting in a financial benefit to the interested stockholder. An interested stockholder is any person, together with any affiliates and associates, who owns 15% or more of the outstanding voting stock of the corporation or is an affiliate or associate of the corporation who, within three years prior to the determination of interested stockholder status, did own 15% or more of the outstanding voting stock of the corporation.</w:t>
      </w:r>
    </w:p>
    <w:p>
      <w:pPr>
        <w:sectPr>
          <w:pgSz w:w="11900" w:h="16838" w:orient="portrait"/>
          <w:cols w:equalWidth="0" w:num="1">
            <w:col w:w="11420"/>
          </w:cols>
          <w:pgMar w:left="240" w:top="352"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7800" w:type="dxa"/>
            <w:vAlign w:val="bottom"/>
          </w:tcPr>
          <w:p>
            <w:pPr>
              <w:ind w:left="3740"/>
              <w:spacing w:after="0"/>
              <w:rPr>
                <w:sz w:val="20"/>
                <w:szCs w:val="20"/>
                <w:color w:val="auto"/>
              </w:rPr>
            </w:pPr>
            <w:r>
              <w:rPr>
                <w:rFonts w:ascii="Arial" w:cs="Arial" w:eastAsia="Arial" w:hAnsi="Arial"/>
                <w:sz w:val="18"/>
                <w:szCs w:val="18"/>
                <w:b w:val="1"/>
                <w:bCs w:val="1"/>
                <w:color w:val="auto"/>
              </w:rPr>
              <w:t>SUBSIDIARIES OF THE REGISTRANT</w:t>
            </w: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5"/>
        </w:trPr>
        <w:tc>
          <w:tcPr>
            <w:tcW w:w="8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ind w:left="320"/>
              <w:spacing w:after="0"/>
              <w:rPr>
                <w:sz w:val="20"/>
                <w:szCs w:val="20"/>
                <w:color w:val="auto"/>
              </w:rPr>
            </w:pPr>
            <w:r>
              <w:rPr>
                <w:rFonts w:ascii="Arial" w:cs="Arial" w:eastAsia="Arial" w:hAnsi="Arial"/>
                <w:sz w:val="14"/>
                <w:szCs w:val="14"/>
                <w:b w:val="1"/>
                <w:bCs w:val="1"/>
                <w:color w:val="auto"/>
                <w:w w:val="92"/>
              </w:rPr>
              <w:t>Jurisdiction of Incorporation</w:t>
            </w:r>
          </w:p>
        </w:tc>
      </w:tr>
      <w:tr>
        <w:trPr>
          <w:trHeight w:val="20"/>
        </w:trPr>
        <w:tc>
          <w:tcPr>
            <w:tcW w:w="36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331"/>
        </w:trPr>
        <w:tc>
          <w:tcPr>
            <w:tcW w:w="8160" w:type="dxa"/>
            <w:vAlign w:val="bottom"/>
            <w:gridSpan w:val="2"/>
          </w:tcPr>
          <w:p>
            <w:pPr>
              <w:spacing w:after="0"/>
              <w:rPr>
                <w:sz w:val="20"/>
                <w:szCs w:val="20"/>
                <w:color w:val="auto"/>
              </w:rPr>
            </w:pPr>
            <w:r>
              <w:rPr>
                <w:rFonts w:ascii="Arial" w:cs="Arial" w:eastAsia="Arial" w:hAnsi="Arial"/>
                <w:sz w:val="18"/>
                <w:szCs w:val="18"/>
                <w:color w:val="auto"/>
              </w:rPr>
              <w:t>Great Lakes Dredge &amp; Dock Company, LLC</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r>
      <w:tr>
        <w:trPr>
          <w:trHeight w:val="351"/>
        </w:trPr>
        <w:tc>
          <w:tcPr>
            <w:tcW w:w="8160" w:type="dxa"/>
            <w:vAlign w:val="bottom"/>
            <w:gridSpan w:val="2"/>
          </w:tcPr>
          <w:p>
            <w:pPr>
              <w:spacing w:after="0"/>
              <w:rPr>
                <w:sz w:val="20"/>
                <w:szCs w:val="20"/>
                <w:color w:val="auto"/>
              </w:rPr>
            </w:pPr>
            <w:r>
              <w:rPr>
                <w:rFonts w:ascii="Arial" w:cs="Arial" w:eastAsia="Arial" w:hAnsi="Arial"/>
                <w:sz w:val="18"/>
                <w:szCs w:val="18"/>
                <w:color w:val="auto"/>
              </w:rPr>
              <w:t>Great Lakes U.S. Fleet Management, LLC</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r>
      <w:tr>
        <w:trPr>
          <w:trHeight w:val="431"/>
        </w:trPr>
        <w:tc>
          <w:tcPr>
            <w:tcW w:w="8160" w:type="dxa"/>
            <w:vAlign w:val="bottom"/>
            <w:gridSpan w:val="2"/>
          </w:tcPr>
          <w:p>
            <w:pPr>
              <w:spacing w:after="0"/>
              <w:rPr>
                <w:sz w:val="20"/>
                <w:szCs w:val="20"/>
                <w:color w:val="auto"/>
              </w:rPr>
            </w:pPr>
            <w:r>
              <w:rPr>
                <w:rFonts w:ascii="Arial" w:cs="Arial" w:eastAsia="Arial" w:hAnsi="Arial"/>
                <w:sz w:val="18"/>
                <w:szCs w:val="18"/>
                <w:color w:val="auto"/>
                <w:w w:val="96"/>
              </w:rPr>
              <w:t>Great Lakes Dredge &amp; Dock Environmental, Inc. (merged into Great Lakes Environmental &amp; Infrastructure</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Solutions, LLC on December 31, 2019)</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r>
      <w:tr>
        <w:trPr>
          <w:trHeight w:val="446"/>
        </w:trPr>
        <w:tc>
          <w:tcPr>
            <w:tcW w:w="8160" w:type="dxa"/>
            <w:vAlign w:val="bottom"/>
            <w:gridSpan w:val="2"/>
          </w:tcPr>
          <w:p>
            <w:pPr>
              <w:spacing w:after="0"/>
              <w:rPr>
                <w:sz w:val="20"/>
                <w:szCs w:val="20"/>
                <w:color w:val="auto"/>
              </w:rPr>
            </w:pPr>
            <w:r>
              <w:rPr>
                <w:rFonts w:ascii="Arial" w:cs="Arial" w:eastAsia="Arial" w:hAnsi="Arial"/>
                <w:sz w:val="18"/>
                <w:szCs w:val="18"/>
                <w:color w:val="auto"/>
              </w:rPr>
              <w:t>Great Lakes Dredge &amp; Dock Australia Pty Ltd (deregistered on July 7, 2019)</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Australia</w:t>
            </w:r>
          </w:p>
        </w:tc>
      </w:tr>
      <w:tr>
        <w:trPr>
          <w:trHeight w:val="446"/>
        </w:trPr>
        <w:tc>
          <w:tcPr>
            <w:tcW w:w="8160" w:type="dxa"/>
            <w:vAlign w:val="bottom"/>
            <w:gridSpan w:val="2"/>
          </w:tcPr>
          <w:p>
            <w:pPr>
              <w:spacing w:after="0"/>
              <w:rPr>
                <w:sz w:val="20"/>
                <w:szCs w:val="20"/>
                <w:color w:val="auto"/>
              </w:rPr>
            </w:pPr>
            <w:r>
              <w:rPr>
                <w:rFonts w:ascii="Arial" w:cs="Arial" w:eastAsia="Arial" w:hAnsi="Arial"/>
                <w:sz w:val="18"/>
                <w:szCs w:val="18"/>
                <w:color w:val="auto"/>
              </w:rPr>
              <w:t>Great Lakes Dredge &amp; Dock do Brasil Ltda.</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Brazil</w:t>
            </w:r>
          </w:p>
        </w:tc>
      </w:tr>
      <w:tr>
        <w:trPr>
          <w:trHeight w:val="446"/>
        </w:trPr>
        <w:tc>
          <w:tcPr>
            <w:tcW w:w="8160" w:type="dxa"/>
            <w:vAlign w:val="bottom"/>
            <w:gridSpan w:val="2"/>
          </w:tcPr>
          <w:p>
            <w:pPr>
              <w:spacing w:after="0"/>
              <w:rPr>
                <w:sz w:val="20"/>
                <w:szCs w:val="20"/>
                <w:color w:val="auto"/>
              </w:rPr>
            </w:pPr>
            <w:r>
              <w:rPr>
                <w:rFonts w:ascii="Arial" w:cs="Arial" w:eastAsia="Arial" w:hAnsi="Arial"/>
                <w:sz w:val="18"/>
                <w:szCs w:val="18"/>
                <w:color w:val="auto"/>
              </w:rPr>
              <w:t>Great Lakes Dredge &amp; Dock India Private Limited</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India</w:t>
            </w:r>
          </w:p>
        </w:tc>
      </w:tr>
      <w:tr>
        <w:trPr>
          <w:trHeight w:val="446"/>
        </w:trPr>
        <w:tc>
          <w:tcPr>
            <w:tcW w:w="8160" w:type="dxa"/>
            <w:vAlign w:val="bottom"/>
            <w:gridSpan w:val="2"/>
          </w:tcPr>
          <w:p>
            <w:pPr>
              <w:spacing w:after="0"/>
              <w:rPr>
                <w:sz w:val="20"/>
                <w:szCs w:val="20"/>
                <w:color w:val="auto"/>
              </w:rPr>
            </w:pPr>
            <w:r>
              <w:rPr>
                <w:rFonts w:ascii="Arial" w:cs="Arial" w:eastAsia="Arial" w:hAnsi="Arial"/>
                <w:sz w:val="18"/>
                <w:szCs w:val="18"/>
                <w:color w:val="auto"/>
              </w:rPr>
              <w:t>Great Lakes Dredge &amp; Dock (Bahamas) Ltd.</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Bahamas</w:t>
            </w:r>
          </w:p>
        </w:tc>
      </w:tr>
      <w:tr>
        <w:trPr>
          <w:trHeight w:val="446"/>
        </w:trPr>
        <w:tc>
          <w:tcPr>
            <w:tcW w:w="8160" w:type="dxa"/>
            <w:vAlign w:val="bottom"/>
            <w:gridSpan w:val="2"/>
          </w:tcPr>
          <w:p>
            <w:pPr>
              <w:spacing w:after="0"/>
              <w:rPr>
                <w:sz w:val="20"/>
                <w:szCs w:val="20"/>
                <w:color w:val="auto"/>
              </w:rPr>
            </w:pPr>
            <w:r>
              <w:rPr>
                <w:rFonts w:ascii="Arial" w:cs="Arial" w:eastAsia="Arial" w:hAnsi="Arial"/>
                <w:sz w:val="18"/>
                <w:szCs w:val="18"/>
                <w:color w:val="auto"/>
              </w:rPr>
              <w:t>GLDD Mexicana, S. de R.L. DE C.V.</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Mexico</w:t>
            </w:r>
          </w:p>
        </w:tc>
      </w:tr>
      <w:tr>
        <w:trPr>
          <w:trHeight w:val="446"/>
        </w:trPr>
        <w:tc>
          <w:tcPr>
            <w:tcW w:w="8160" w:type="dxa"/>
            <w:vAlign w:val="bottom"/>
            <w:gridSpan w:val="2"/>
          </w:tcPr>
          <w:p>
            <w:pPr>
              <w:spacing w:after="0"/>
              <w:rPr>
                <w:sz w:val="20"/>
                <w:szCs w:val="20"/>
                <w:color w:val="auto"/>
              </w:rPr>
            </w:pPr>
            <w:r>
              <w:rPr>
                <w:rFonts w:ascii="Arial" w:cs="Arial" w:eastAsia="Arial" w:hAnsi="Arial"/>
                <w:sz w:val="18"/>
                <w:szCs w:val="18"/>
                <w:color w:val="auto"/>
              </w:rPr>
              <w:t>NASDI Holdings, LLC</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r>
      <w:tr>
        <w:trPr>
          <w:trHeight w:val="431"/>
        </w:trPr>
        <w:tc>
          <w:tcPr>
            <w:tcW w:w="8160" w:type="dxa"/>
            <w:vAlign w:val="bottom"/>
            <w:gridSpan w:val="2"/>
          </w:tcPr>
          <w:p>
            <w:pPr>
              <w:spacing w:after="0"/>
              <w:rPr>
                <w:sz w:val="20"/>
                <w:szCs w:val="20"/>
                <w:color w:val="auto"/>
              </w:rPr>
            </w:pPr>
            <w:r>
              <w:rPr>
                <w:rFonts w:ascii="Arial" w:cs="Arial" w:eastAsia="Arial" w:hAnsi="Arial"/>
                <w:sz w:val="18"/>
                <w:szCs w:val="18"/>
                <w:color w:val="auto"/>
                <w:w w:val="96"/>
              </w:rPr>
              <w:t>Great Lakes Environmental &amp; Infrastructure, LLC (sold on June 1, 2019; formerly Magnus Pacific, LLC and</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formerly Magnus Pacific Corporation acquired November 4, 2014)</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r>
      <w:tr>
        <w:trPr>
          <w:trHeight w:val="446"/>
        </w:trPr>
        <w:tc>
          <w:tcPr>
            <w:tcW w:w="8160" w:type="dxa"/>
            <w:vAlign w:val="bottom"/>
            <w:gridSpan w:val="2"/>
          </w:tcPr>
          <w:p>
            <w:pPr>
              <w:spacing w:after="0"/>
              <w:rPr>
                <w:sz w:val="20"/>
                <w:szCs w:val="20"/>
                <w:color w:val="auto"/>
              </w:rPr>
            </w:pPr>
            <w:r>
              <w:rPr>
                <w:rFonts w:ascii="Arial" w:cs="Arial" w:eastAsia="Arial" w:hAnsi="Arial"/>
                <w:sz w:val="18"/>
                <w:szCs w:val="18"/>
                <w:color w:val="auto"/>
              </w:rPr>
              <w:t>Great Lakes Environmental &amp; Infrastructure Solutions, LLC</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r>
      <w:tr>
        <w:trPr>
          <w:trHeight w:val="459"/>
        </w:trPr>
        <w:tc>
          <w:tcPr>
            <w:tcW w:w="8160" w:type="dxa"/>
            <w:vAlign w:val="bottom"/>
            <w:gridSpan w:val="2"/>
          </w:tcPr>
          <w:p>
            <w:pPr>
              <w:spacing w:after="0"/>
              <w:rPr>
                <w:sz w:val="20"/>
                <w:szCs w:val="20"/>
                <w:color w:val="auto"/>
              </w:rPr>
            </w:pPr>
            <w:r>
              <w:rPr>
                <w:rFonts w:ascii="Arial" w:cs="Arial" w:eastAsia="Arial" w:hAnsi="Arial"/>
                <w:sz w:val="18"/>
                <w:szCs w:val="18"/>
                <w:color w:val="auto"/>
              </w:rPr>
              <w:t>Terra Contracting Services, LLC</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r>
      <w:tr>
        <w:trPr>
          <w:trHeight w:val="446"/>
        </w:trPr>
        <w:tc>
          <w:tcPr>
            <w:tcW w:w="8160" w:type="dxa"/>
            <w:vAlign w:val="bottom"/>
            <w:gridSpan w:val="2"/>
          </w:tcPr>
          <w:p>
            <w:pPr>
              <w:spacing w:after="0"/>
              <w:rPr>
                <w:sz w:val="20"/>
                <w:szCs w:val="20"/>
                <w:color w:val="auto"/>
              </w:rPr>
            </w:pPr>
            <w:r>
              <w:rPr>
                <w:rFonts w:ascii="Arial" w:cs="Arial" w:eastAsia="Arial" w:hAnsi="Arial"/>
                <w:sz w:val="18"/>
                <w:szCs w:val="18"/>
                <w:color w:val="auto"/>
              </w:rPr>
              <w:t>Terra Fluid Management, LLC</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r>
      <w:tr>
        <w:trPr>
          <w:trHeight w:val="459"/>
        </w:trPr>
        <w:tc>
          <w:tcPr>
            <w:tcW w:w="8160" w:type="dxa"/>
            <w:vAlign w:val="bottom"/>
            <w:gridSpan w:val="2"/>
          </w:tcPr>
          <w:p>
            <w:pPr>
              <w:spacing w:after="0"/>
              <w:rPr>
                <w:sz w:val="20"/>
                <w:szCs w:val="20"/>
                <w:color w:val="auto"/>
              </w:rPr>
            </w:pPr>
            <w:r>
              <w:rPr>
                <w:rFonts w:ascii="Arial" w:cs="Arial" w:eastAsia="Arial" w:hAnsi="Arial"/>
                <w:sz w:val="18"/>
                <w:szCs w:val="18"/>
                <w:color w:val="auto"/>
              </w:rPr>
              <w:t>Drews Services LLC</w:t>
            </w:r>
          </w:p>
        </w:tc>
        <w:tc>
          <w:tcPr>
            <w:tcW w:w="2100" w:type="dxa"/>
            <w:vAlign w:val="bottom"/>
            <w:gridSpan w:val="2"/>
          </w:tcPr>
          <w:p>
            <w:pPr>
              <w:ind w:left="320"/>
              <w:spacing w:after="0"/>
              <w:rPr>
                <w:sz w:val="20"/>
                <w:szCs w:val="20"/>
                <w:color w:val="auto"/>
              </w:rPr>
            </w:pPr>
            <w:r>
              <w:rPr>
                <w:rFonts w:ascii="Arial" w:cs="Arial" w:eastAsia="Arial" w:hAnsi="Arial"/>
                <w:sz w:val="18"/>
                <w:szCs w:val="18"/>
                <w:color w:val="auto"/>
              </w:rPr>
              <w:t>South Carolina</w:t>
            </w:r>
          </w:p>
        </w:tc>
      </w:tr>
    </w:tbl>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consent to the incorporation by reference in Registration Statement No. 333-153207 on Form S-3 and Registration Statement Nos. 333-150067, 333-185350 and 333-218242 on Form S-8 of our reports dated February 28, 2020, relating to the consolidated financial statements and financial statement schedule of Great Lakes Dredge &amp; Dock Corporation and subsidiaries (the “Company”) (which report expresses an unqualified opinion and includes an explanatory paragraph related to the Company’s change in method of accounting for leases in the year ended December 31, 2019, due to the adoption of Accounting Standard Update No. 2016-02, and the Company’s change in method of accounting for revenue from contracts with customers in the year ended December 31, 2018, due to the adoption of Accounting Standard No. 2014-08), and the effectiveness of the Company's internal control over financial reporting, appearing in this Annual Report on Form 10-K of Great Lakes Dredge &amp; Dock Corporation for the year ended December 31,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Director</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Annual Report of Great Lakes Dredge &amp; Dock Corporation (the “Company”) on Form 10-K for the year ended December 31, 2019, as filed with the Securities and Exchange Commission on the date hereof (the “Report”), I, Lasse J. Petterson, Chief Executive Officer and Director of the Company, certify pursuant to 18 U.S.C. Section 1350, as adopted pursuant to Section 906 of the Sarbanes-Oxley Act of 2002, that:</w:t>
      </w:r>
    </w:p>
    <w:p>
      <w:pPr>
        <w:spacing w:after="0" w:line="5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40" w:right="7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ASSE</w:t>
      </w:r>
      <w:r>
        <w:rPr>
          <w:rFonts w:ascii="Arial" w:cs="Arial" w:eastAsia="Arial" w:hAnsi="Arial"/>
          <w:sz w:val="18"/>
          <w:szCs w:val="18"/>
          <w:color w:val="auto"/>
        </w:rPr>
        <w:t xml:space="preserve"> J. P</w:t>
      </w:r>
      <w:r>
        <w:rPr>
          <w:rFonts w:ascii="Arial" w:cs="Arial" w:eastAsia="Arial" w:hAnsi="Arial"/>
          <w:sz w:val="12"/>
          <w:szCs w:val="12"/>
          <w:color w:val="auto"/>
        </w:rPr>
        <w:t>ETTERSON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2019,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3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40" w:right="7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amp;"/>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2"/>
    </w:lvl>
  </w:abstractNum>
  <w:abstractNum w:abstractNumId="20">
    <w:nsid w:val="54E49EB4"/>
    <w:multiLevelType w:val="hybridMultilevel"/>
    <w:lvl w:ilvl="0">
      <w:lvlJc w:val="left"/>
      <w:lvlText w:val="%1)"/>
      <w:numFmt w:val="lowerLetter"/>
      <w:start w:val="3"/>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3"/>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3"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12" Type="http://schemas.openxmlformats.org/officeDocument/2006/relationships/hyperlink" Target="http://www.sec.gov/Archives/edgar/data/0000885538/000110465904000242/a03-6613_1ex2d1.htm" TargetMode="External"/><Relationship Id="rId113" Type="http://schemas.openxmlformats.org/officeDocument/2006/relationships/hyperlink" Target="http://www.sec.gov/Archives/edgar/data/0000885538/000110465906043195/a06-14169_1ex2d1.htm" TargetMode="External"/><Relationship Id="rId114" Type="http://schemas.openxmlformats.org/officeDocument/2006/relationships/hyperlink" Target="http://www.sec.gov/Archives/edgar/data/0001372020/000110465906083887/a06-25986_1ex3d1.htm" TargetMode="External"/><Relationship Id="rId115" Type="http://schemas.openxmlformats.org/officeDocument/2006/relationships/hyperlink" Target="http://www.sec.gov/Archives/edgar/data/0001372020/000119312515195254/d929885dex32.htm" TargetMode="External"/><Relationship Id="rId116" Type="http://schemas.openxmlformats.org/officeDocument/2006/relationships/hyperlink" Target="http://www.sec.gov/Archives/edgar/data/0001372020/000110465906084429/a06-26373_1ex3d1.htm" TargetMode="External"/><Relationship Id="rId117" Type="http://schemas.openxmlformats.org/officeDocument/2006/relationships/hyperlink" Target="http://www.sec.gov/Archives/edgar/data/0001372020/000156459017011629/gldd-ex41_335.htm" TargetMode="External"/><Relationship Id="rId118" Type="http://schemas.openxmlformats.org/officeDocument/2006/relationships/hyperlink" Target="http://www.sec.gov/Archives/edgar/data/0001372020/000110465907021696/a07-5615_1ex4d10.htm" TargetMode="External"/><Relationship Id="rId119" Type="http://schemas.openxmlformats.org/officeDocument/2006/relationships/hyperlink" Target="http://www.sec.gov/Archives/edgar/data/0001372020/000119312515174607/d919836dex101.htm" TargetMode="External"/><Relationship Id="rId120" Type="http://schemas.openxmlformats.org/officeDocument/2006/relationships/hyperlink" Target="http://www.sec.gov/Archives/edgar/data/0001372020/000119312515174607/d919836dex102.htm" TargetMode="External"/><Relationship Id="rId121" Type="http://schemas.openxmlformats.org/officeDocument/2006/relationships/hyperlink" Target="http://www.sec.gov/Archives/edgar/data/0001372020/000119312515174607/d919836dex103.htm" TargetMode="External"/><Relationship Id="rId122" Type="http://schemas.openxmlformats.org/officeDocument/2006/relationships/hyperlink" Target="http://www.sec.gov/Archives/edgar/data/0001372020/000119312515174607/d919836dex104.htm" TargetMode="External"/><Relationship Id="rId124" Type="http://schemas.openxmlformats.org/officeDocument/2006/relationships/hyperlink" Target="http://www.sec.gov/Archives/edgar/data/0001372020/000110465906084429/a06-26373_1ex10d4.htm" TargetMode="External"/><Relationship Id="rId125" Type="http://schemas.openxmlformats.org/officeDocument/2006/relationships/hyperlink" Target="http://www.sec.gov/Archives/edgar/data/0001372020/000119312515276701/d58409dex101.htm" TargetMode="External"/><Relationship Id="rId126" Type="http://schemas.openxmlformats.org/officeDocument/2006/relationships/hyperlink" Target="http://www.sec.gov/Archives/edgar/data/0001372020/000156459017007964/gldd-ex101_6.htm" TargetMode="External"/><Relationship Id="rId127" Type="http://schemas.openxmlformats.org/officeDocument/2006/relationships/hyperlink" Target="http://www.sec.gov/Archives/edgar/data/0001372020/000156459018010996/gldd-ex104_176.htm" TargetMode="External"/><Relationship Id="rId128" Type="http://schemas.openxmlformats.org/officeDocument/2006/relationships/hyperlink" Target="http://www.sec.gov/Archives/edgar/data/0001372020/000119312512013901/d284301dex101.htm" TargetMode="External"/><Relationship Id="rId129" Type="http://schemas.openxmlformats.org/officeDocument/2006/relationships/hyperlink" Target="http://www.sec.gov/Archives/edgar/data/0000885538/000110465905013624/a05-5703_1ex10d14.htm" TargetMode="External"/><Relationship Id="rId130" Type="http://schemas.openxmlformats.org/officeDocument/2006/relationships/hyperlink" Target="http://www.sec.gov/Archives/edgar/data/0001372020/000119312514094004/d689260dex1024.htm" TargetMode="External"/><Relationship Id="rId131" Type="http://schemas.openxmlformats.org/officeDocument/2006/relationships/hyperlink" Target="http://www.sec.gov/Archives/edgar/data/0001372020/000104746906011212/a2172300zex-10_17.htm" TargetMode="External"/><Relationship Id="rId132" Type="http://schemas.openxmlformats.org/officeDocument/2006/relationships/hyperlink" Target="http://www.sec.gov/Archives/edgar/data/0001372020/000119312512149971/d289765ddef14a.htm" TargetMode="External"/><Relationship Id="rId133" Type="http://schemas.openxmlformats.org/officeDocument/2006/relationships/hyperlink" Target="http://www.sec.gov/Archives/edgar/data/0001372020/000156459017011213/gldd-ex101_6.htm" TargetMode="External"/><Relationship Id="rId134" Type="http://schemas.openxmlformats.org/officeDocument/2006/relationships/hyperlink" Target="http://www.sec.gov/Archives/edgar/data/1372020/000156459016017437/gldd-ex101_156.htm" TargetMode="External"/><Relationship Id="rId135" Type="http://schemas.openxmlformats.org/officeDocument/2006/relationships/hyperlink" Target="http://www.sec.gov/Archives/edgar/data/1372020/000156459018010996/gldd-ex101_129.htm" TargetMode="External"/><Relationship Id="rId136" Type="http://schemas.openxmlformats.org/officeDocument/2006/relationships/hyperlink" Target="http://www.sec.gov/Archives/edgar/data/1372020/000156459018010996/gldd-ex102_131.htm" TargetMode="External"/><Relationship Id="rId137" Type="http://schemas.openxmlformats.org/officeDocument/2006/relationships/hyperlink" Target="http://www.sec.gov/Archives/edgar/data/1372020/000156459018010996/gldd-ex103_130.htm" TargetMode="External"/><Relationship Id="rId140" Type="http://schemas.openxmlformats.org/officeDocument/2006/relationships/hyperlink" Target="http://www.sec.gov/Archives/edgar/data/1372020/000156459019015687/gldd-ex101_108.htm" TargetMode="External"/><Relationship Id="rId141" Type="http://schemas.openxmlformats.org/officeDocument/2006/relationships/hyperlink" Target="http://www.sec.gov/Archives/edgar/data/1372020/000156459019015687/gldd-ex102_84.htm" TargetMode="External"/><Relationship Id="rId142" Type="http://schemas.openxmlformats.org/officeDocument/2006/relationships/hyperlink" Target="http://www.sec.gov/Archives/edgar/data/1372020/000156459018003940/gldd-ex1025_131.htm" TargetMode="External"/><Relationship Id="rId143" Type="http://schemas.openxmlformats.org/officeDocument/2006/relationships/hyperlink" Target="http://www.sec.gov/Archives/edgar/data/1372020/000156459017011629/gldd-ex101_9.htm" TargetMode="External"/><Relationship Id="rId144" Type="http://schemas.openxmlformats.org/officeDocument/2006/relationships/hyperlink" Target="http://www.sec.gov/Archives/edgar/data/1372020/000156459017011629/gldd-ex42_517.htm" TargetMode="External"/><Relationship Id="rId145" Type="http://schemas.openxmlformats.org/officeDocument/2006/relationships/hyperlink" Target="http://www.sec.gov/Archives/edgar/data/1372020/000156459019018122/gldd-ex101_100.htm" TargetMode="External"/><Relationship Id="rId146" Type="http://schemas.openxmlformats.org/officeDocument/2006/relationships/hyperlink" Target="http://www.sec.gov/Archives/edgar/data/1372020/000119312513134675/d474550dex1042.htm" TargetMode="External"/><Relationship Id="rId147" Type="http://schemas.openxmlformats.org/officeDocument/2006/relationships/hyperlink" Target="http://www.sec.gov/Archives/edgar/data/0001372020/000119312515276701/d58409dex103.htm" TargetMode="External"/><Relationship Id="rId148" Type="http://schemas.openxmlformats.org/officeDocument/2006/relationships/hyperlink" Target="http://www.sec.gov/Archives/edgar/data/1372020/000156459016030570/gldd-ex101_8.htm" TargetMode="External"/><Relationship Id="rId149" Type="http://schemas.openxmlformats.org/officeDocument/2006/relationships/hyperlink" Target="http://www.sec.gov/Archives/edgar/data/0001372020/000156459016019663/gldd-ex1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2020-02-26T15:19:32Z</dcterms:created>
  <dcterms:modified xsi:type="dcterms:W3CDTF">2020-02-26T15:19:32Z</dcterms:modified>
</cp:coreProperties>
</file>