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8"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6350</wp:posOffset>
            </wp:positionV>
            <wp:extent cx="874395"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Great Lakes Dredge &amp; Dock Corporation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28575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tbl>
      <w:tblPr>
        <w:tblLayout w:type="fixed"/>
        <w:tblInd w:w="1540" w:type="dxa"/>
        <w:tblCellMar>
          <w:top w:w="0" w:type="dxa"/>
          <w:left w:w="0" w:type="dxa"/>
          <w:bottom w:w="0" w:type="dxa"/>
          <w:right w:w="0" w:type="dxa"/>
        </w:tblCellMar>
      </w:tblPr>
      <w:tr>
        <w:trPr>
          <w:trHeight w:val="172"/>
        </w:trPr>
        <w:tc>
          <w:tcPr>
            <w:tcW w:w="6240" w:type="dxa"/>
            <w:vAlign w:val="bottom"/>
          </w:tcPr>
          <w:p>
            <w:pPr>
              <w:jc w:val="center"/>
              <w:ind w:right="3226"/>
              <w:spacing w:after="0"/>
              <w:rPr>
                <w:sz w:val="20"/>
                <w:szCs w:val="20"/>
                <w:color w:val="auto"/>
              </w:rPr>
            </w:pPr>
            <w:r>
              <w:rPr>
                <w:rFonts w:ascii="Arial" w:cs="Arial" w:eastAsia="Arial" w:hAnsi="Arial"/>
                <w:sz w:val="15"/>
                <w:szCs w:val="15"/>
                <w:b w:val="1"/>
                <w:bCs w:val="1"/>
                <w:color w:val="auto"/>
                <w:w w:val="94"/>
              </w:rPr>
              <w:t>Delaware</w:t>
            </w:r>
          </w:p>
        </w:tc>
        <w:tc>
          <w:tcPr>
            <w:tcW w:w="1540" w:type="dxa"/>
            <w:vAlign w:val="bottom"/>
          </w:tcPr>
          <w:p>
            <w:pPr>
              <w:jc w:val="right"/>
              <w:ind w:right="126"/>
              <w:spacing w:after="0"/>
              <w:rPr>
                <w:sz w:val="20"/>
                <w:szCs w:val="20"/>
                <w:color w:val="auto"/>
              </w:rPr>
            </w:pPr>
            <w:r>
              <w:rPr>
                <w:rFonts w:ascii="Arial" w:cs="Arial" w:eastAsia="Arial" w:hAnsi="Arial"/>
                <w:sz w:val="15"/>
                <w:szCs w:val="15"/>
                <w:b w:val="1"/>
                <w:bCs w:val="1"/>
                <w:color w:val="auto"/>
              </w:rPr>
              <w:t>20-5336063</w:t>
            </w:r>
          </w:p>
        </w:tc>
      </w:tr>
      <w:tr>
        <w:trPr>
          <w:trHeight w:val="148"/>
        </w:trPr>
        <w:tc>
          <w:tcPr>
            <w:tcW w:w="6240" w:type="dxa"/>
            <w:vAlign w:val="bottom"/>
          </w:tcPr>
          <w:p>
            <w:pPr>
              <w:jc w:val="center"/>
              <w:ind w:right="324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246"/>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6"/>
              </w:rPr>
              <w:t>Identification No.)</w:t>
            </w:r>
          </w:p>
        </w:tc>
      </w:tr>
      <w:tr>
        <w:trPr>
          <w:trHeight w:val="165"/>
        </w:trPr>
        <w:tc>
          <w:tcPr>
            <w:tcW w:w="6240" w:type="dxa"/>
            <w:vAlign w:val="bottom"/>
          </w:tcPr>
          <w:p>
            <w:pPr>
              <w:jc w:val="center"/>
              <w:ind w:right="3246"/>
              <w:spacing w:after="0" w:line="165" w:lineRule="exact"/>
              <w:rPr>
                <w:sz w:val="20"/>
                <w:szCs w:val="20"/>
                <w:color w:val="auto"/>
              </w:rPr>
            </w:pPr>
            <w:r>
              <w:rPr>
                <w:rFonts w:ascii="Arial" w:cs="Arial" w:eastAsia="Arial" w:hAnsi="Arial"/>
                <w:sz w:val="15"/>
                <w:szCs w:val="15"/>
                <w:b w:val="1"/>
                <w:bCs w:val="1"/>
                <w:color w:val="auto"/>
                <w:w w:val="93"/>
              </w:rPr>
              <w:t>9811 Katy Freeway, Suite 1200, Houston, TX</w:t>
            </w:r>
          </w:p>
        </w:tc>
        <w:tc>
          <w:tcPr>
            <w:tcW w:w="1540" w:type="dxa"/>
            <w:vAlign w:val="bottom"/>
          </w:tcPr>
          <w:p>
            <w:pPr>
              <w:jc w:val="right"/>
              <w:ind w:right="306"/>
              <w:spacing w:after="0" w:line="165" w:lineRule="exact"/>
              <w:rPr>
                <w:sz w:val="20"/>
                <w:szCs w:val="20"/>
                <w:color w:val="auto"/>
              </w:rPr>
            </w:pPr>
            <w:r>
              <w:rPr>
                <w:rFonts w:ascii="Arial" w:cs="Arial" w:eastAsia="Arial" w:hAnsi="Arial"/>
                <w:sz w:val="15"/>
                <w:szCs w:val="15"/>
                <w:b w:val="1"/>
                <w:bCs w:val="1"/>
                <w:color w:val="auto"/>
              </w:rPr>
              <w:t>77024</w:t>
            </w:r>
          </w:p>
        </w:tc>
      </w:tr>
      <w:tr>
        <w:trPr>
          <w:trHeight w:val="186"/>
        </w:trPr>
        <w:tc>
          <w:tcPr>
            <w:tcW w:w="6240" w:type="dxa"/>
            <w:vAlign w:val="bottom"/>
          </w:tcPr>
          <w:p>
            <w:pPr>
              <w:jc w:val="center"/>
              <w:ind w:right="322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5"/>
              </w:rPr>
              <w:t>(Zip Code)</w:t>
            </w:r>
          </w:p>
        </w:tc>
      </w:tr>
      <w:tr>
        <w:trPr>
          <w:trHeight w:val="165"/>
        </w:trPr>
        <w:tc>
          <w:tcPr>
            <w:tcW w:w="6240" w:type="dxa"/>
            <w:vAlign w:val="bottom"/>
          </w:tcPr>
          <w:p>
            <w:pPr>
              <w:jc w:val="center"/>
              <w:ind w:left="1846"/>
              <w:spacing w:after="0" w:line="165" w:lineRule="exact"/>
              <w:rPr>
                <w:sz w:val="20"/>
                <w:szCs w:val="20"/>
                <w:color w:val="auto"/>
              </w:rPr>
            </w:pPr>
            <w:r>
              <w:rPr>
                <w:rFonts w:ascii="Arial" w:cs="Arial" w:eastAsia="Arial" w:hAnsi="Arial"/>
                <w:sz w:val="15"/>
                <w:szCs w:val="15"/>
                <w:b w:val="1"/>
                <w:bCs w:val="1"/>
                <w:color w:val="auto"/>
                <w:w w:val="93"/>
              </w:rPr>
              <w:t>(346) 359-1010</w:t>
            </w:r>
          </w:p>
        </w:tc>
        <w:tc>
          <w:tcPr>
            <w:tcW w:w="1540" w:type="dxa"/>
            <w:vAlign w:val="bottom"/>
          </w:tcPr>
          <w:p>
            <w:pPr>
              <w:spacing w:after="0"/>
              <w:rPr>
                <w:sz w:val="14"/>
                <w:szCs w:val="14"/>
                <w:color w:val="auto"/>
              </w:rPr>
            </w:pPr>
          </w:p>
        </w:tc>
      </w:tr>
      <w:tr>
        <w:trPr>
          <w:trHeight w:val="175"/>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5"/>
                <w:szCs w:val="15"/>
                <w:color w:val="auto"/>
              </w:rPr>
            </w:pPr>
          </w:p>
        </w:tc>
      </w:tr>
      <w:tr>
        <w:trPr>
          <w:trHeight w:val="186"/>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540" w:type="dxa"/>
            <w:vAlign w:val="bottom"/>
          </w:tcPr>
          <w:p>
            <w:pPr>
              <w:spacing w:after="0"/>
              <w:rPr>
                <w:sz w:val="16"/>
                <w:szCs w:val="16"/>
                <w:color w:val="auto"/>
              </w:rPr>
            </w:pPr>
          </w:p>
        </w:tc>
      </w:tr>
    </w:tbl>
    <w:p>
      <w:pPr>
        <w:spacing w:after="0" w:line="152"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7"/>
              </w:rPr>
              <w:t>Title of each class</w:t>
            </w:r>
          </w:p>
        </w:tc>
        <w:tc>
          <w:tcPr>
            <w:tcW w:w="1120" w:type="dxa"/>
            <w:vAlign w:val="bottom"/>
          </w:tcPr>
          <w:p>
            <w:pPr>
              <w:spacing w:after="0"/>
              <w:rPr>
                <w:sz w:val="16"/>
                <w:szCs w:val="16"/>
                <w:color w:val="auto"/>
              </w:rPr>
            </w:pPr>
          </w:p>
        </w:tc>
        <w:tc>
          <w:tcPr>
            <w:tcW w:w="290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2"/>
              </w:rPr>
              <w:t>Trading Symbol(s)</w:t>
            </w:r>
          </w:p>
        </w:tc>
        <w:tc>
          <w:tcPr>
            <w:tcW w:w="3200" w:type="dxa"/>
            <w:vAlign w:val="bottom"/>
            <w:gridSpan w:val="3"/>
          </w:tcPr>
          <w:p>
            <w:pPr>
              <w:jc w:val="center"/>
              <w:ind w:left="125"/>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gridSpan w:val="3"/>
          </w:tcPr>
          <w:p>
            <w:pPr>
              <w:jc w:val="center"/>
              <w:ind w:left="268"/>
              <w:spacing w:after="0"/>
              <w:rPr>
                <w:sz w:val="20"/>
                <w:szCs w:val="20"/>
                <w:color w:val="auto"/>
              </w:rPr>
            </w:pPr>
            <w:r>
              <w:rPr>
                <w:rFonts w:ascii="Arial" w:cs="Arial" w:eastAsia="Arial" w:hAnsi="Arial"/>
                <w:sz w:val="14"/>
                <w:szCs w:val="14"/>
                <w:color w:val="auto"/>
                <w:w w:val="92"/>
              </w:rPr>
              <w:t>Common Stock, (Par Value $0.0001)</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3"/>
          </w:tcPr>
          <w:p>
            <w:pPr>
              <w:jc w:val="center"/>
              <w:ind w:right="1120"/>
              <w:spacing w:after="0"/>
              <w:rPr>
                <w:sz w:val="20"/>
                <w:szCs w:val="20"/>
                <w:color w:val="auto"/>
              </w:rPr>
            </w:pPr>
            <w:r>
              <w:rPr>
                <w:rFonts w:ascii="Arial" w:cs="Arial" w:eastAsia="Arial" w:hAnsi="Arial"/>
                <w:sz w:val="14"/>
                <w:szCs w:val="14"/>
                <w:color w:val="auto"/>
              </w:rPr>
              <w:t>GLDD</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40" w:type="dxa"/>
            <w:vAlign w:val="bottom"/>
          </w:tcPr>
          <w:p>
            <w:pPr>
              <w:jc w:val="center"/>
              <w:ind w:right="288"/>
              <w:spacing w:after="0"/>
              <w:rPr>
                <w:sz w:val="20"/>
                <w:szCs w:val="20"/>
                <w:color w:val="auto"/>
              </w:rPr>
            </w:pPr>
            <w:r>
              <w:rPr>
                <w:rFonts w:ascii="Arial" w:cs="Arial" w:eastAsia="Arial" w:hAnsi="Arial"/>
                <w:sz w:val="14"/>
                <w:szCs w:val="14"/>
                <w:color w:val="auto"/>
                <w:w w:val="95"/>
              </w:rPr>
              <w:t>Nasdaq Stock Market, LLC</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580" w:type="dxa"/>
            <w:vAlign w:val="bottom"/>
            <w:gridSpan w:val="7"/>
          </w:tcPr>
          <w:p>
            <w:pPr>
              <w:jc w:val="center"/>
              <w:ind w:right="100"/>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gridSpan w:val="2"/>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64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8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8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6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1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93" w:right="339" w:bottom="1440" w:gutter="0" w:footer="0" w:header="0"/>
        </w:sectPr>
      </w:pP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spacing w:after="0" w:line="280" w:lineRule="auto"/>
        <w:rPr>
          <w:sz w:val="20"/>
          <w:szCs w:val="20"/>
          <w:color w:val="auto"/>
        </w:rPr>
      </w:pPr>
      <w:r>
        <w:rPr>
          <w:rFonts w:ascii="Arial" w:cs="Arial" w:eastAsia="Arial" w:hAnsi="Arial"/>
          <w:sz w:val="13"/>
          <w:szCs w:val="13"/>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3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3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9"/>
        </w:trPr>
        <w:tc>
          <w:tcPr>
            <w:tcW w:w="34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1580" w:space="680"/>
            <w:col w:w="8980"/>
          </w:cols>
          <w:pgMar w:left="320" w:top="193" w:right="339" w:bottom="1440" w:gutter="0" w:footer="0" w:header="0"/>
          <w:type w:val="continuous"/>
        </w:sectPr>
      </w:pPr>
    </w:p>
    <w:p>
      <w:pPr>
        <w:ind w:right="60" w:firstLine="510"/>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1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20" w:firstLine="510"/>
        <w:spacing w:after="0" w:line="247" w:lineRule="auto"/>
        <w:rPr>
          <w:sz w:val="20"/>
          <w:szCs w:val="20"/>
          <w:color w:val="auto"/>
        </w:rPr>
      </w:pPr>
      <w:r>
        <w:rPr>
          <w:rFonts w:ascii="Arial" w:cs="Arial" w:eastAsia="Arial" w:hAnsi="Arial"/>
          <w:sz w:val="14"/>
          <w:szCs w:val="14"/>
          <w:color w:val="auto"/>
        </w:rPr>
        <w:t>The aggregate market value of voting stock held by non-affiliates of the Registrant was $586,573,144 at June 30, 2020. The aggregate market value was computed using the closing price of the common stock as of June 30, 2020 on the Nasdaq Stock Market. (For purposes of a calculating this amount only, all directors and executive officers of the registrant have been treated as affiliates.)</w:t>
      </w:r>
    </w:p>
    <w:p>
      <w:pPr>
        <w:spacing w:after="0" w:line="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19, 2021, 65,120,437 shares of Registrant’s Common Stock, par value $.0001 per share, were outstanding.</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680" w:type="dxa"/>
            <w:vAlign w:val="bottom"/>
            <w:gridSpan w:val="3"/>
          </w:tcPr>
          <w:p>
            <w:pPr>
              <w:ind w:left="42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187"/>
        </w:trPr>
        <w:tc>
          <w:tcPr>
            <w:tcW w:w="3560" w:type="dxa"/>
            <w:vAlign w:val="bottom"/>
            <w:tcBorders>
              <w:bottom w:val="single" w:sz="8" w:color="auto"/>
            </w:tcBorders>
          </w:tcPr>
          <w:p>
            <w:pPr>
              <w:jc w:val="center"/>
              <w:ind w:left="1888"/>
              <w:spacing w:after="0"/>
              <w:rPr>
                <w:sz w:val="20"/>
                <w:szCs w:val="20"/>
                <w:color w:val="auto"/>
              </w:rPr>
            </w:pPr>
            <w:r>
              <w:rPr>
                <w:rFonts w:ascii="Arial" w:cs="Arial" w:eastAsia="Arial" w:hAnsi="Arial"/>
                <w:sz w:val="14"/>
                <w:szCs w:val="14"/>
                <w:b w:val="1"/>
                <w:bCs w:val="1"/>
                <w:color w:val="auto"/>
                <w:w w:val="96"/>
              </w:rPr>
              <w:t>Part of 10-K</w:t>
            </w:r>
          </w:p>
        </w:tc>
        <w:tc>
          <w:tcPr>
            <w:tcW w:w="1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r>
      <w:tr>
        <w:trPr>
          <w:trHeight w:val="123"/>
        </w:trPr>
        <w:tc>
          <w:tcPr>
            <w:tcW w:w="3560" w:type="dxa"/>
            <w:vAlign w:val="bottom"/>
          </w:tcPr>
          <w:p>
            <w:pPr>
              <w:jc w:val="center"/>
              <w:ind w:left="1888"/>
              <w:spacing w:after="0" w:line="123" w:lineRule="exact"/>
              <w:rPr>
                <w:sz w:val="20"/>
                <w:szCs w:val="20"/>
                <w:color w:val="auto"/>
              </w:rPr>
            </w:pPr>
            <w:r>
              <w:rPr>
                <w:rFonts w:ascii="Arial" w:cs="Arial" w:eastAsia="Arial" w:hAnsi="Arial"/>
                <w:sz w:val="14"/>
                <w:szCs w:val="14"/>
                <w:color w:val="auto"/>
                <w:w w:val="96"/>
              </w:rPr>
              <w:t>Part III</w:t>
            </w:r>
          </w:p>
        </w:tc>
        <w:tc>
          <w:tcPr>
            <w:tcW w:w="1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60" w:type="dxa"/>
            <w:vAlign w:val="bottom"/>
          </w:tcPr>
          <w:p>
            <w:pPr>
              <w:jc w:val="center"/>
              <w:spacing w:after="0" w:line="123" w:lineRule="exact"/>
              <w:rPr>
                <w:sz w:val="20"/>
                <w:szCs w:val="20"/>
                <w:color w:val="auto"/>
              </w:rPr>
            </w:pPr>
            <w:r>
              <w:rPr>
                <w:rFonts w:ascii="Arial" w:cs="Arial" w:eastAsia="Arial" w:hAnsi="Arial"/>
                <w:sz w:val="14"/>
                <w:szCs w:val="14"/>
                <w:color w:val="auto"/>
                <w:w w:val="93"/>
              </w:rPr>
              <w:t>Portions of the Proxy Statement to be filed with the Securities and Exchange Commission in</w:t>
            </w:r>
          </w:p>
        </w:tc>
      </w:tr>
      <w:tr>
        <w:trPr>
          <w:trHeight w:val="167"/>
        </w:trPr>
        <w:tc>
          <w:tcPr>
            <w:tcW w:w="35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connection with the 2021 Annual Meeting of Stockholders.</w:t>
            </w:r>
          </w:p>
        </w:tc>
      </w:tr>
      <w:tr>
        <w:trPr>
          <w:trHeight w:val="891"/>
        </w:trPr>
        <w:tc>
          <w:tcPr>
            <w:tcW w:w="3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36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9360" w:type="dxa"/>
            <w:vAlign w:val="bottom"/>
          </w:tcPr>
          <w:p>
            <w:pPr>
              <w:jc w:val="center"/>
              <w:ind w:right="290"/>
              <w:spacing w:after="0"/>
              <w:rPr>
                <w:rFonts w:ascii="Arial" w:cs="Arial" w:eastAsia="Arial" w:hAnsi="Arial"/>
                <w:sz w:val="18"/>
                <w:szCs w:val="18"/>
                <w:b w:val="1"/>
                <w:bCs w:val="1"/>
                <w:u w:val="single" w:color="auto"/>
                <w:color w:val="0000EE"/>
                <w:w w:val="98"/>
              </w:rPr>
            </w:pPr>
            <w:hyperlink w:anchor="page4">
              <w:r>
                <w:rPr>
                  <w:rFonts w:ascii="Arial" w:cs="Arial" w:eastAsia="Arial" w:hAnsi="Arial"/>
                  <w:sz w:val="18"/>
                  <w:szCs w:val="18"/>
                  <w:b w:val="1"/>
                  <w:bCs w:val="1"/>
                  <w:u w:val="single" w:color="auto"/>
                  <w:color w:val="0000EE"/>
                  <w:w w:val="98"/>
                </w:rPr>
                <w:t>PART I</w:t>
              </w:r>
            </w:hyperlink>
          </w:p>
        </w:tc>
        <w:tc>
          <w:tcPr>
            <w:tcW w:w="11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3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36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93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Unresolved Staff Comments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Properties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3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36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Mine Safety Disclosures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780" w:type="dxa"/>
            <w:vAlign w:val="bottom"/>
          </w:tcPr>
          <w:p>
            <w:pPr>
              <w:spacing w:after="0"/>
              <w:rPr>
                <w:sz w:val="24"/>
                <w:szCs w:val="24"/>
                <w:color w:val="auto"/>
              </w:rPr>
            </w:pPr>
          </w:p>
        </w:tc>
        <w:tc>
          <w:tcPr>
            <w:tcW w:w="9360" w:type="dxa"/>
            <w:vAlign w:val="bottom"/>
          </w:tcPr>
          <w:p>
            <w:pPr>
              <w:jc w:val="center"/>
              <w:ind w:right="29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w:t>
              </w:r>
            </w:hyperlink>
          </w:p>
        </w:tc>
        <w:tc>
          <w:tcPr>
            <w:tcW w:w="11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360" w:type="dxa"/>
            <w:vAlign w:val="bottom"/>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Market for the Registrant’s Common Equity, Related Stockholder Matters and Issuer Purchases of Equity Securities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Selected Financial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93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936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936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Financial Statements and Supplementary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936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Changes in and Disagreements with Accountants on Accounting and Financial Disclosure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936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Controls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36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Other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8"/>
        </w:trPr>
        <w:tc>
          <w:tcPr>
            <w:tcW w:w="780" w:type="dxa"/>
            <w:vAlign w:val="bottom"/>
          </w:tcPr>
          <w:p>
            <w:pPr>
              <w:spacing w:after="0"/>
              <w:rPr>
                <w:sz w:val="24"/>
                <w:szCs w:val="24"/>
                <w:color w:val="auto"/>
              </w:rPr>
            </w:pPr>
          </w:p>
        </w:tc>
        <w:tc>
          <w:tcPr>
            <w:tcW w:w="9360" w:type="dxa"/>
            <w:vAlign w:val="bottom"/>
          </w:tcPr>
          <w:p>
            <w:pPr>
              <w:jc w:val="center"/>
              <w:ind w:right="31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PART III</w:t>
              </w:r>
            </w:hyperlink>
          </w:p>
        </w:tc>
        <w:tc>
          <w:tcPr>
            <w:tcW w:w="11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93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Directors, Executive Officers and Corporate Governance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93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93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Security Ownership of Certain Beneficial Owners and Management and Related Stockholder Matters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93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Certain Relationships and Related Transactions, and Director Independence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3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Principal Accounting Fees and Services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8"/>
        </w:trPr>
        <w:tc>
          <w:tcPr>
            <w:tcW w:w="780" w:type="dxa"/>
            <w:vAlign w:val="bottom"/>
          </w:tcPr>
          <w:p>
            <w:pPr>
              <w:spacing w:after="0"/>
              <w:rPr>
                <w:sz w:val="24"/>
                <w:szCs w:val="24"/>
                <w:color w:val="auto"/>
              </w:rPr>
            </w:pPr>
          </w:p>
        </w:tc>
        <w:tc>
          <w:tcPr>
            <w:tcW w:w="9360" w:type="dxa"/>
            <w:vAlign w:val="bottom"/>
          </w:tcPr>
          <w:p>
            <w:pPr>
              <w:jc w:val="center"/>
              <w:ind w:right="31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PART IV</w:t>
              </w:r>
            </w:hyperlink>
          </w:p>
        </w:tc>
        <w:tc>
          <w:tcPr>
            <w:tcW w:w="1100" w:type="dxa"/>
            <w:vAlign w:val="bottom"/>
          </w:tcPr>
          <w:p>
            <w:pPr>
              <w:spacing w:after="0"/>
              <w:rPr>
                <w:sz w:val="24"/>
                <w:szCs w:val="24"/>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936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 Financial Statement Schedules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8"/>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936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Form 10-K Summary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140" w:type="dxa"/>
            <w:vAlign w:val="bottom"/>
            <w:gridSpan w:val="2"/>
          </w:tcPr>
          <w:p>
            <w:pPr>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SIGNATURES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2020, and in other securities filings by Great Lakes with the SEC.</w:t>
      </w:r>
    </w:p>
    <w:p>
      <w:pPr>
        <w:spacing w:after="0" w:line="17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and Gulf Coasts of the United States and worldwide.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operates in one operating segment, which is also the Company’s sole reportable segment and reporting unit.</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During the second quarter of 2019, the Company completed the sale of its historical environmental &amp; infrastructure business. The historical environmental &amp; infrastructure segment has been retrospectively presented as discontinued operations and assets and liabilities held for sale and is no longer reflected in continuing operations. Refer to Note 14, “Business dispositions,” to the Company’s consolidated financial statements included in Item 15 of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39% over the prior three years, including 56%, 53%, 16% and 45% of the domestic capital, coastal protection, maintenance and rivers &amp; lakes sectors, respectively.</w:t>
      </w:r>
    </w:p>
    <w:p>
      <w:pPr>
        <w:spacing w:after="0" w:line="178"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Over its 130 year history, the Company has grown to be a leader in capital, coastal protection and maintenance dredging in the United States and is one of the oldest and most experienced dredging companies in the country. In addition, the Company has a long history of performing significant international projects. Over the prior three years, foreign dredging operations accounted for an average of 6% of the Company’s dredging revenues. The Company’s foreign projects are typically categorized in the capital work type, but are not included in the aforementioned bid market.</w:t>
      </w:r>
    </w:p>
    <w:p>
      <w:pPr>
        <w:spacing w:after="0" w:line="15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i w:val="1"/>
          <w:iCs w:val="1"/>
          <w:color w:val="auto"/>
        </w:rPr>
        <w:t xml:space="preserve">Capital (domestic is 46% of 2020 revenues). </w:t>
      </w:r>
      <w:r>
        <w:rPr>
          <w:rFonts w:ascii="Arial" w:cs="Arial" w:eastAsia="Arial" w:hAnsi="Arial"/>
          <w:sz w:val="17"/>
          <w:szCs w:val="17"/>
          <w:color w:val="auto"/>
        </w:rPr>
        <w:t>Capital dredging consists primarily of port expansion projects, which involve the deepening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Coastal protection (27% of 2020 revenues). </w:t>
      </w:r>
      <w:r>
        <w:rPr>
          <w:rFonts w:ascii="Arial" w:cs="Arial" w:eastAsia="Arial" w:hAnsi="Arial"/>
          <w:sz w:val="17"/>
          <w:szCs w:val="17"/>
          <w:color w:val="auto"/>
        </w:rPr>
        <w:t>Coastal protection projects generally involve moving sand from the ocean floor to shoreline locations</w:t>
      </w:r>
      <w:r>
        <w:rPr>
          <w:rFonts w:ascii="Arial" w:cs="Arial" w:eastAsia="Arial" w:hAnsi="Arial"/>
          <w:sz w:val="17"/>
          <w:szCs w:val="17"/>
          <w:i w:val="1"/>
          <w:iCs w:val="1"/>
          <w:color w:val="auto"/>
        </w:rPr>
        <w:t xml:space="preserve"> </w:t>
      </w:r>
      <w:r>
        <w:rPr>
          <w:rFonts w:ascii="Arial" w:cs="Arial" w:eastAsia="Arial" w:hAnsi="Arial"/>
          <w:sz w:val="17"/>
          <w:szCs w:val="17"/>
          <w:color w:val="auto"/>
        </w:rPr>
        <w:t>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78"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i w:val="1"/>
          <w:iCs w:val="1"/>
          <w:color w:val="auto"/>
        </w:rPr>
        <w:t xml:space="preserve">Maintenance (20% of 2020 revenues). </w:t>
      </w:r>
      <w:r>
        <w:rPr>
          <w:rFonts w:ascii="Arial" w:cs="Arial" w:eastAsia="Arial" w:hAnsi="Arial"/>
          <w:sz w:val="16"/>
          <w:szCs w:val="16"/>
          <w:color w:val="auto"/>
        </w:rPr>
        <w:t>Maintenance dredging consists of the re-dredging of previously deepened waterways and harbors to remove</w:t>
      </w:r>
      <w:r>
        <w:rPr>
          <w:rFonts w:ascii="Arial" w:cs="Arial" w:eastAsia="Arial" w:hAnsi="Arial"/>
          <w:sz w:val="16"/>
          <w:szCs w:val="16"/>
          <w:i w:val="1"/>
          <w:iCs w:val="1"/>
          <w:color w:val="auto"/>
        </w:rPr>
        <w:t xml:space="preserve"> </w:t>
      </w:r>
      <w:r>
        <w:rPr>
          <w:rFonts w:ascii="Arial" w:cs="Arial" w:eastAsia="Arial" w:hAnsi="Arial"/>
          <w:sz w:val="16"/>
          <w:szCs w:val="16"/>
          <w:color w:val="auto"/>
        </w:rPr>
        <w:t>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spacing w:after="0" w:line="15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i w:val="1"/>
          <w:iCs w:val="1"/>
          <w:color w:val="auto"/>
        </w:rPr>
        <w:t xml:space="preserve">Foreign (4% of 2020 revenues). </w:t>
      </w:r>
      <w:r>
        <w:rPr>
          <w:rFonts w:ascii="Arial" w:cs="Arial" w:eastAsia="Arial" w:hAnsi="Arial"/>
          <w:sz w:val="18"/>
          <w:szCs w:val="18"/>
          <w:color w:val="auto"/>
        </w:rPr>
        <w:t>Foreign capital projects typically involve land reclamations, channel deepening and port infrastructure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targets foreign opportunities that are well suited to the Company’s equipment and where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80"/>
        <w:spacing w:after="0" w:line="263" w:lineRule="auto"/>
        <w:rPr>
          <w:sz w:val="20"/>
          <w:szCs w:val="20"/>
          <w:color w:val="auto"/>
        </w:rPr>
      </w:pPr>
      <w:r>
        <w:rPr>
          <w:rFonts w:ascii="Arial" w:cs="Arial" w:eastAsia="Arial" w:hAnsi="Arial"/>
          <w:sz w:val="18"/>
          <w:szCs w:val="18"/>
          <w:color w:val="auto"/>
        </w:rPr>
        <w:t>faces reduced competition from its European competitors. Maintaining a presence in foreign markets has enabled the Company to diversify its customer base and take advantage of differences in global economic development. Over the last two decades, the Company has performed dredging work in the Middle East, Africa, Australia, the Caribbean and Central and South America.</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i w:val="1"/>
          <w:iCs w:val="1"/>
          <w:color w:val="auto"/>
        </w:rPr>
        <w:t xml:space="preserve">Rivers &amp; lakes (3% of 2020 revenues). </w:t>
      </w:r>
      <w:r>
        <w:rPr>
          <w:rFonts w:ascii="Arial" w:cs="Arial" w:eastAsia="Arial" w:hAnsi="Arial"/>
          <w:sz w:val="17"/>
          <w:szCs w:val="17"/>
          <w:color w:val="auto"/>
        </w:rPr>
        <w:t>Domestic rivers and lakes dredging and related operations typically consist of lake and river dredging, inland</w:t>
      </w:r>
      <w:r>
        <w:rPr>
          <w:rFonts w:ascii="Arial" w:cs="Arial" w:eastAsia="Arial" w:hAnsi="Arial"/>
          <w:sz w:val="17"/>
          <w:szCs w:val="17"/>
          <w:i w:val="1"/>
          <w:iCs w:val="1"/>
          <w:color w:val="auto"/>
        </w:rPr>
        <w:t xml:space="preserve"> </w:t>
      </w:r>
      <w:r>
        <w:rPr>
          <w:rFonts w:ascii="Arial" w:cs="Arial" w:eastAsia="Arial" w:hAnsi="Arial"/>
          <w:sz w:val="17"/>
          <w:szCs w:val="17"/>
          <w:color w:val="auto"/>
        </w:rPr>
        <w:t>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services:</w:t>
      </w:r>
    </w:p>
    <w:p>
      <w:pPr>
        <w:spacing w:after="0" w:line="131" w:lineRule="exact"/>
        <w:rPr>
          <w:sz w:val="20"/>
          <w:szCs w:val="20"/>
          <w:color w:val="auto"/>
        </w:rPr>
      </w:pPr>
    </w:p>
    <w:p>
      <w:pPr>
        <w:ind w:left="1000" w:hanging="493"/>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Most of the East Coast and Gulf ports have expansion plans that include deepening and widening in order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for international trade. International trade, particularly in the intermodal container shipping business, has been undergoing significant change as a result of the Panama Canal expansion, which was completed in 2016. Many shipping lines have announced plans to deploy larger ships which, due to the channel dimension requirements, currently would not be able to use many U.S. ports. The first phase of a multi-year deepening effort of the Savannah Harbor Expansion Project was completed in 2018. Dredging commenced on two Charleston Entrance Channel projects during 2018 and the Company was successful in securing an additional phase of deepening. All three projects are expected to continue through 2021. The ports of Los Angeles and Long Beach are resuming expansion efforts to remain competitive with deepened East Coast ports. Deepening projects in Boston, Jacksonville, Tampa and Corpus Christi were awarded in 2018. Further, projects to deepen the Mississippi River and Port of Norfolk, Virginia are being expedited. In addition, during the fourth quarter of 2018, the President signed America’s Water Infrastructure Act of 2018/Water Resources Development Act (“WRDA 2018”) into law. The Company views the bill as a positive catalyst for the domestic dredging industry as it authorizes funding for critical infrastructure improvements that are needed throughout the U.S. Further, the bill authorizes studies for future water resources improvements and makes modifications to previous authorizations. The Company believes that port deepening and expansion work authorized under current and anticipated future legislation will continue to provide significant opportunities for the domestic dredging industry.</w:t>
      </w:r>
    </w:p>
    <w:p>
      <w:pPr>
        <w:spacing w:after="0" w:line="76" w:lineRule="exact"/>
        <w:rPr>
          <w:rFonts w:ascii="Arial" w:cs="Arial" w:eastAsia="Arial" w:hAnsi="Arial"/>
          <w:sz w:val="16"/>
          <w:szCs w:val="16"/>
          <w:color w:val="auto"/>
        </w:rPr>
      </w:pPr>
    </w:p>
    <w:p>
      <w:pPr>
        <w:ind w:left="1000" w:right="60" w:hanging="493"/>
        <w:spacing w:after="0" w:line="28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Gulf coast restoration. </w:t>
      </w:r>
      <w:r>
        <w:rPr>
          <w:rFonts w:ascii="Arial" w:cs="Arial" w:eastAsia="Arial" w:hAnsi="Arial"/>
          <w:sz w:val="16"/>
          <w:szCs w:val="16"/>
          <w:color w:val="auto"/>
        </w:rPr>
        <w:t>There has been continued focus on restoring the barrier islands and wetlands that provide natural protection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storms in 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Additionally, during October 2015, BP plc settled the final Deepwater Horizon oil spill claims for approximately $20 billion. This amount reflects the preliminary agreement which was reached in the second quarter of 2015 and includes $5.5 billion related to Clean Water Act penalties. Several state and local governments have already reached agreements that resolve their claims in the disaster. During 2019, the Company was awarded an additional phase of the Mississippi coastal restoration project in the Gulf of Mexico. In 2020, the Company was awarded two coastal restoration projects in Louisiana by the Louisiana Coastal Protection and Restoration Agency. This work will be performed in 2021. Many of the Gulf States previously committed to spending a portion of the fines received to repair the natural resources impacted by the oil spill including on coastal restoration projects that include dredging. Although the bulk of the fines are to be paid over the next decade, the Company expects several coastal restoration projects envisioned by the Gulf States to come to fruition in the next couple of years providing a new source of domestic capital dredging projects on which the Company will bid. The annual bid market for domestic capital dredging, which includes deep port capital dredging and Gulf Coast restoration, averaged $529 million over the prior three years.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500" w:hanging="493"/>
        <w:spacing w:after="0" w:line="286"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Substantial need for coastal protection. </w:t>
      </w:r>
      <w:r>
        <w:rPr>
          <w:rFonts w:ascii="Arial" w:cs="Arial" w:eastAsia="Arial" w:hAnsi="Arial"/>
          <w:sz w:val="16"/>
          <w:szCs w:val="16"/>
          <w:color w:val="auto"/>
        </w:rPr>
        <w:t>Beach erosion is a recurring problem due to the normal ebb and flow of coastlines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With continued funding available for projects in the Northeast from the Superstorm Sandy supplemental appropriations, the Company expects to continue to see an increase in projects let for bid in the coastal protection market. As a result of the extreme storm systems in 2017 involving Hurricanes Harvey, Irma, and Maria, the Federal Government passed supplemental appropriations for disaster relief and recovery which includes $17.4 billion for the U.S. Army Corps of Engineers (the “Corps”) to fund projects that will reduce the risk of future damage from flood and storm events. The Corps is progressing with its plans for this funding, and it is currently believed that over $1.8 billion is expected to be added to its dredging related budget over the next few years. Most of this work is anticipated to be coastal protection related, but some funding has been provided for channel maintenance. During 2019, Congress passed an additional $3.3 billion of supplemental appropriations for disaster relief funding as a result of Hurricane Florence and Hurricane Michael and that work is in process. The annual bid market for coastal protection over the prior three years averaged $353 million.</w:t>
      </w:r>
    </w:p>
    <w:p>
      <w:pPr>
        <w:spacing w:after="0" w:line="79" w:lineRule="exact"/>
        <w:rPr>
          <w:rFonts w:ascii="Arial" w:cs="Arial" w:eastAsia="Arial" w:hAnsi="Arial"/>
          <w:sz w:val="16"/>
          <w:szCs w:val="16"/>
          <w:color w:val="auto"/>
        </w:rPr>
      </w:pPr>
    </w:p>
    <w:p>
      <w:pPr>
        <w:ind w:left="500" w:right="20" w:hanging="493"/>
        <w:spacing w:after="0" w:line="28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As noted above, WRDA 2018 was signed into law during the fourth quarter of 2018.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Additionally, on March 27, 2020, the U.S. government enacted the Coronavirus Aid, Relief and Economic Security Act (the “CARES Act”) which includes a provision that lifts caps on the HMTF, thereby allowing full access to future annual revenues. Through the increased appropriation of HMTF monies, the Company anticipates increased funding for harbor maintenance projects to be let for bid and an increase in maintenance dredging projects to be let for bid throughout 2021 and beyond. Congress has improved spending from the HMTF by providing the Corps with record annual budgets including 91% utilization of the HMTF in fiscal year 2020 and 92% in the recently passed fiscal year 2021 budget. The annual bid market for maintenance dredging over the prior three years averaged $652 million.</w:t>
      </w:r>
    </w:p>
    <w:p>
      <w:pPr>
        <w:spacing w:after="0" w:line="63" w:lineRule="exact"/>
        <w:rPr>
          <w:rFonts w:ascii="Arial" w:cs="Arial" w:eastAsia="Arial" w:hAnsi="Arial"/>
          <w:sz w:val="16"/>
          <w:szCs w:val="16"/>
          <w:color w:val="auto"/>
        </w:rPr>
      </w:pPr>
    </w:p>
    <w:p>
      <w:pPr>
        <w:ind w:left="500" w:right="60" w:hanging="493"/>
        <w:spacing w:after="0" w:line="29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Need to maintain safe navigability of the U.S. river system</w:t>
      </w:r>
      <w:r>
        <w:rPr>
          <w:rFonts w:ascii="Arial" w:cs="Arial" w:eastAsia="Arial" w:hAnsi="Arial"/>
          <w:sz w:val="16"/>
          <w:szCs w:val="16"/>
          <w:color w:val="auto"/>
        </w:rPr>
        <w:t>. There are over 12,000 miles of commercially navigable inland waterways that</w:t>
      </w:r>
      <w:r>
        <w:rPr>
          <w:rFonts w:ascii="Arial" w:cs="Arial" w:eastAsia="Arial" w:hAnsi="Arial"/>
          <w:sz w:val="16"/>
          <w:szCs w:val="16"/>
          <w:i w:val="1"/>
          <w:iCs w:val="1"/>
          <w:color w:val="auto"/>
        </w:rPr>
        <w:t xml:space="preserve"> </w:t>
      </w:r>
      <w:r>
        <w:rPr>
          <w:rFonts w:ascii="Arial" w:cs="Arial" w:eastAsia="Arial" w:hAnsi="Arial"/>
          <w:sz w:val="16"/>
          <w:szCs w:val="16"/>
          <w:color w:val="auto"/>
        </w:rPr>
        <w:t>move more than 566 million tons of commercial goods annually. Transportation by barge requires less energy, and therefore is both better for the environment and a more cost efficient way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 The annual bid market for rivers and lakes dredging over the prior three years averaged $71 million.</w:t>
      </w:r>
    </w:p>
    <w:p>
      <w:pPr>
        <w:spacing w:after="0" w:line="58" w:lineRule="exact"/>
        <w:rPr>
          <w:rFonts w:ascii="Arial" w:cs="Arial" w:eastAsia="Arial" w:hAnsi="Arial"/>
          <w:sz w:val="16"/>
          <w:szCs w:val="16"/>
          <w:color w:val="auto"/>
        </w:rPr>
      </w:pPr>
    </w:p>
    <w:p>
      <w:pPr>
        <w:ind w:left="500" w:right="60" w:hanging="493"/>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Domestic and international energy transportation. </w:t>
      </w:r>
      <w:r>
        <w:rPr>
          <w:rFonts w:ascii="Arial" w:cs="Arial" w:eastAsia="Arial" w:hAnsi="Arial"/>
          <w:sz w:val="18"/>
          <w:szCs w:val="18"/>
          <w:color w:val="auto"/>
        </w:rPr>
        <w:t>The growth in demand for transportation of energy worldwide has driven the need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dredging to support new terminals, harbors, channels and pipelines. </w:t>
      </w:r>
      <w:r>
        <w:rPr>
          <w:rFonts w:ascii="Arial" w:cs="Arial" w:eastAsia="Arial" w:hAnsi="Arial"/>
          <w:sz w:val="18"/>
          <w:szCs w:val="18"/>
          <w:color w:val="1D1C1D"/>
          <w:highlight w:val="white"/>
        </w:rPr>
        <w:t>In addition, several Liquefied Natural Gas (“LNG”), petrochemical and</w:t>
      </w:r>
      <w:r>
        <w:rPr>
          <w:rFonts w:ascii="Arial" w:cs="Arial" w:eastAsia="Arial" w:hAnsi="Arial"/>
          <w:sz w:val="18"/>
          <w:szCs w:val="18"/>
          <w:color w:val="auto"/>
        </w:rPr>
        <w:t xml:space="preserve"> </w:t>
      </w:r>
      <w:r>
        <w:rPr>
          <w:rFonts w:ascii="Arial" w:cs="Arial" w:eastAsia="Arial" w:hAnsi="Arial"/>
          <w:sz w:val="18"/>
          <w:szCs w:val="18"/>
          <w:color w:val="1D1C1D"/>
          <w:highlight w:val="white"/>
        </w:rPr>
        <w:t xml:space="preserve">crude oil projects are creating the need for port development in support of energy exports. </w:t>
      </w:r>
      <w:r>
        <w:rPr>
          <w:rFonts w:ascii="Arial" w:cs="Arial" w:eastAsia="Arial" w:hAnsi="Arial"/>
          <w:sz w:val="18"/>
          <w:szCs w:val="18"/>
          <w:color w:val="000000"/>
        </w:rPr>
        <w:t>The significant drop in crude oil prices during</w:t>
      </w:r>
      <w:r>
        <w:rPr>
          <w:rFonts w:ascii="Arial" w:cs="Arial" w:eastAsia="Arial" w:hAnsi="Arial"/>
          <w:sz w:val="18"/>
          <w:szCs w:val="18"/>
          <w:color w:val="1D1C1D"/>
          <w:highlight w:val="white"/>
        </w:rPr>
        <w:t xml:space="preserve"> </w:t>
      </w:r>
      <w:r>
        <w:rPr>
          <w:rFonts w:ascii="Arial" w:cs="Arial" w:eastAsia="Arial" w:hAnsi="Arial"/>
          <w:sz w:val="18"/>
          <w:szCs w:val="18"/>
          <w:color w:val="000000"/>
        </w:rPr>
        <w:t>recent years may lead to a slowdown in the development of LNG export plants; however, the Company continues to expect that future global energy demand will necessitate improvements in the infrastructure base around sources of rich resources and in countries that import or export global energy.</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6" w:name="page7"/>
    <w:bookmarkEnd w:id="6"/>
    <w:p>
      <w:pPr>
        <w:jc w:val="both"/>
        <w:ind w:right="60" w:firstLine="510"/>
        <w:spacing w:after="0" w:line="263" w:lineRule="auto"/>
        <w:rPr>
          <w:sz w:val="20"/>
          <w:szCs w:val="20"/>
          <w:color w:val="auto"/>
        </w:rPr>
      </w:pPr>
      <w:r>
        <w:rPr>
          <w:rFonts w:ascii="Arial" w:cs="Arial" w:eastAsia="Arial" w:hAnsi="Arial"/>
          <w:sz w:val="18"/>
          <w:szCs w:val="18"/>
          <w:color w:val="auto"/>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2020, approximately 79% of the Company’s dredging revenues were generated from 38 different contracts with federal agencies or third parties operating under contracts with federal agencies.</w:t>
      </w:r>
    </w:p>
    <w:p>
      <w:pPr>
        <w:spacing w:after="0" w:line="286"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As a result of COVID-19, the U.S. Department of Homeland Security federally designated the Company as an essential business or “critical infrastructure” company that can maintain operations during the ongoing pandemic. As mentioned above,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the current hurricane season. Despite the uncertainty surrounding COVID-19, to date, the Corps is continuing to advertise new projects and the Company’s project work is largely uninterrupted.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8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has bonding agreements with Argonaut Insurance Company, Berkley Insurance Company, Chubb Surety and Liberty Mutual Insurance Company, (collectively, the “Sureties”) under which the Company can obtain performance, bid and payment bonds. The Company also has outstanding bonds with Travelers Casualty and Surety Company of America and Zurich American Insurance Company (“Zurich”). Great Lakes has never experienced difficulty in obtaining bonding for any of its projects and Great Lakes has never failed to complete a marine project in its 130 year history. For most foreign dredging projects, letters of credit or bank guarantees issued by foreign banks are required as security for the bid, performance and, if applicable, advance payment guarantees. The Company obtains its letters of credit under the Amended Credit Agreement (as defined below). Foreign bid guarantees are usually 2% to 5% of the service provider’s bid. Foreign performance and advance payment guarantees are each typically 5% to 10% of the contract value.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80% of the Company’s defined bid market related to domestic capital, coastal protection, maintenance and rivers &amp; lakes over the prior three years.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“Business—Government Regulations” below.</w:t>
      </w:r>
    </w:p>
    <w:p>
      <w:pPr>
        <w:spacing w:after="0" w:line="18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Competition in the international market is dominated by four large European dredging companies all of which operate larger equipment and fleets that are more extensive than the Company’s fleet. Additionally, a large Chinese dredging company has emerged as a key player in the international market. There are also several governmentally supported dredging companies that operate on a local or regional basis. The Company targets opportunities that are well suited to its equipment and where it can be most competitive.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i w:val="1"/>
          <w:iCs w:val="1"/>
          <w:color w:val="auto"/>
        </w:rPr>
        <w:t xml:space="preserve">Hopper Dredges. </w:t>
      </w:r>
      <w:r>
        <w:rPr>
          <w:rFonts w:ascii="Arial" w:cs="Arial" w:eastAsia="Arial" w:hAnsi="Arial"/>
          <w:sz w:val="16"/>
          <w:szCs w:val="16"/>
          <w:color w:val="auto"/>
        </w:rPr>
        <w:t>Hopper dredges are typically self-propelled and have the general appearance of an ocean-going vessel. The dredge has hollow</w:t>
      </w:r>
      <w:r>
        <w:rPr>
          <w:rFonts w:ascii="Arial" w:cs="Arial" w:eastAsia="Arial" w:hAnsi="Arial"/>
          <w:sz w:val="16"/>
          <w:szCs w:val="16"/>
          <w:i w:val="1"/>
          <w:iCs w:val="1"/>
          <w:color w:val="auto"/>
        </w:rPr>
        <w:t xml:space="preserve"> </w:t>
      </w:r>
      <w:r>
        <w:rPr>
          <w:rFonts w:ascii="Arial" w:cs="Arial" w:eastAsia="Arial" w:hAnsi="Arial"/>
          <w:sz w:val="16"/>
          <w:szCs w:val="16"/>
          <w:color w:val="auto"/>
        </w:rPr>
        <w:t>hulls, 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In the second quarter of 2020, the Company announced and made a down-payment for a contract to build a 6,500 cubic yard trailing suction hopper dredge with expected delivery in the first quarter of 2023.</w:t>
      </w:r>
    </w:p>
    <w:p>
      <w:pPr>
        <w:spacing w:after="0" w:line="164"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i w:val="1"/>
          <w:iCs w:val="1"/>
          <w:color w:val="auto"/>
        </w:rPr>
        <w:t xml:space="preserve">Hydraulic Dredges. </w:t>
      </w:r>
      <w:r>
        <w:rPr>
          <w:rFonts w:ascii="Arial" w:cs="Arial" w:eastAsia="Arial" w:hAnsi="Arial"/>
          <w:sz w:val="17"/>
          <w:szCs w:val="17"/>
          <w:color w:val="auto"/>
        </w:rPr>
        <w:t>Hydraulic dredges remove material using a revolving cutterhead which cuts and churns the sediment on the channel or ocean</w:t>
      </w:r>
      <w:r>
        <w:rPr>
          <w:rFonts w:ascii="Arial" w:cs="Arial" w:eastAsia="Arial" w:hAnsi="Arial"/>
          <w:sz w:val="17"/>
          <w:szCs w:val="17"/>
          <w:i w:val="1"/>
          <w:iCs w:val="1"/>
          <w:color w:val="auto"/>
        </w:rPr>
        <w:t xml:space="preserve"> </w:t>
      </w:r>
      <w:r>
        <w:rPr>
          <w:rFonts w:ascii="Arial" w:cs="Arial" w:eastAsia="Arial" w:hAnsi="Arial"/>
          <w:sz w:val="17"/>
          <w:szCs w:val="17"/>
          <w:color w:val="auto"/>
        </w:rPr>
        <w:t>floor 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30” and operate at between 1,900 and 16,650 total horsepower.</w:t>
      </w:r>
    </w:p>
    <w:p>
      <w:pPr>
        <w:spacing w:after="0" w:line="178"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i w:val="1"/>
          <w:iCs w:val="1"/>
          <w:color w:val="auto"/>
        </w:rPr>
        <w:t xml:space="preserve">Mechanical Dredges. </w:t>
      </w:r>
      <w:r>
        <w:rPr>
          <w:rFonts w:ascii="Arial" w:cs="Arial" w:eastAsia="Arial" w:hAnsi="Arial"/>
          <w:sz w:val="16"/>
          <w:szCs w:val="16"/>
          <w:color w:val="auto"/>
        </w:rPr>
        <w:t>There are two basic types of mechanical dredges: clamshell and backhoe. In both types, the dredge uses a bucket to excavate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from the channel or ocean floor. The dredged material is placed by the bucket into material barges, or “scows,” for transport to the designated disposal area. The scows are emptied by bottom-dumping, direct pump-out or removal by a 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w:t>
      </w:r>
    </w:p>
    <w:p>
      <w:pPr>
        <w:spacing w:after="0" w:line="16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i w:val="1"/>
          <w:iCs w:val="1"/>
          <w:color w:val="auto"/>
        </w:rPr>
        <w:t xml:space="preserve">Scows. </w:t>
      </w:r>
      <w:r>
        <w:rPr>
          <w:rFonts w:ascii="Arial" w:cs="Arial" w:eastAsia="Arial" w:hAnsi="Arial"/>
          <w:sz w:val="16"/>
          <w:szCs w:val="16"/>
          <w:color w:val="auto"/>
        </w:rPr>
        <w:t>The Company has the largest fleet of material barges in the domestic industry, which provides cost advantages when dredged material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disposed far offshore or when material requires controlled disposal. The Company uses scows with its hydraulic dredges and mechanical dredges. Scows are an efficient and cost effective way to move material and increase dredging production. The Company has twelve scows in its fleet with a capacity ranging from 5,000 to 8,800 cubic yards. The Company is currently in the process of building three new scows, each 7,100 cubic yards in size.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right="240" w:firstLine="510"/>
        <w:spacing w:after="0" w:line="311" w:lineRule="auto"/>
        <w:rPr>
          <w:sz w:val="20"/>
          <w:szCs w:val="20"/>
          <w:color w:val="auto"/>
        </w:rPr>
      </w:pPr>
      <w:r>
        <w:rPr>
          <w:rFonts w:ascii="Arial" w:cs="Arial" w:eastAsia="Arial" w:hAnsi="Arial"/>
          <w:sz w:val="16"/>
          <w:szCs w:val="16"/>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w:t>
      </w:r>
    </w:p>
    <w:p>
      <w:pPr>
        <w:spacing w:after="0" w:line="14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Seasonality generally does not have a significant impact on the Company’s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6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At December 31, 2020, the Company employed 405 full-time salaried personnel in the U.S., including those in a corporate function. In addition, the Company employs U.S. hourly personnel, most of whom are unionized, on a project-by-project basis. Crews are generally available for hire on relatively short notice. During 2020, the Company employed an average of approximately 757 hourly personnel to meet domestic project requirements.</w:t>
      </w:r>
    </w:p>
    <w:p>
      <w:pPr>
        <w:spacing w:after="0" w:line="41"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At December 31, 2020, the Company employed 24 foreign nationals and 7 local staff to manage and administer its Middle East operations. During 2020, the Company also employed a daily average of 20 hourly personnel to meet project requirements in the Middle East.</w:t>
      </w:r>
    </w:p>
    <w:p>
      <w:pPr>
        <w:spacing w:after="0" w:line="38"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seek to identify, recruit, retain, incentivize and integrate our existing and future employees. To achieve our goal of attracting and retaining the most talented employees in the industry, we offer competitive compensation and benefits that support their physical, financial, and emotional health. The principal objective of our equity incentive plans is to attract, retain and motivate selected employees and directors through the granting of stock-based compensation awards. We offer employees benefits including a 401(k) plan with employer contributions; health, life, and disability insurance; additional voluntary insurance; paid time off and parental leave; and paid counseling assistance.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Safety of its employees is one of the Company’s core values. The Company employs behavioral and system based programs utilizing an Incident &amp; Injury Free® (IIF®) approach. The Company’s safety culture is committed to training, behavioral based awareness and mutual responsibility for the wellbeing of its employees. The Company’s goal is sustainable safety excellence. Incident prevention in all areas have top priority in the Company’s business planning, in the overall conduct of its business, and in the operation and maintenance of our equipment (marine and land) and facilities.</w:t>
      </w:r>
    </w:p>
    <w:p>
      <w:pPr>
        <w:spacing w:after="0" w:line="49"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During the ongoing COVID-19 pandemic, the health and safety of our employees are our primary goal. Our commitment to health and safety during the pandemic reaches for beyond our employees and embraces their families, our customers, and our community. The unique nature of our business requires many of our employees to live and work in close proximity to one another. We have instituted and strictly adhere to rigorous measures designed to provide our employees with a safe working environment and allow them to safely execute tasks. We follow enhanced safety and health protocols— including screenings, social distancing, and use of personal protective equipment. We have mandated and strictly implemented a robust at-home virus testing program, and mandate virus testing before boarding our vessels and before leaving our vessels. All other employees have been instructed to work remotely and have been provided the support and tools necessary for a successful remote working regime. Access to all of our facilities is restricted to only those employees who are required access to perform their work for the Company, and pre-access and periodic COVID testing is mandatory.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Relocation of our Corporate Headquarters</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October 2020, we announced that we would relocate our headquarters from Oakbrook Terrace, Illinois to Houston, Texas. We began the transition of key members of the management team to Houston in January 2021. While one of the objectives of the relocation was improving our ability to secure more public and private business opportunities in our core coastal areas, including the Gulf of Mexico, our relocation also provides us access to a unique talent pool that has roots in the maritime industries as well as world class engineering experience and innovation. Access to research and development initiatives at Texas A&amp;M University, boasting the only dredging-focused course of study in the United States, is only 90 miles away, and two other campuses with emphasis on coastal and offshore studies are also nearby. The region is also known for its robust community college and technical school system that provides skilled labor and training to the maritime trades. Our new Houston location will allow us to increase our engagement with other local maritime businesses, giving us the opportunity to learn and improve by sharing the best industry practices for safety, operations, and innovation. The relocation also presents challenges, however, in that certain members of senior management have decided to leave the Company instead of relocating, and there is a possibility that other members of senior management or key employees may also decide not to relocate.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Unions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master and ancillary contracts with IUOE Local 25 expire in September 2021. Our agreements with Seafarers International Union expire in February 2023.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240"/>
        <w:spacing w:after="0" w:line="263" w:lineRule="auto"/>
        <w:rPr>
          <w:sz w:val="20"/>
          <w:szCs w:val="20"/>
          <w:color w:val="auto"/>
        </w:rPr>
      </w:pPr>
      <w:r>
        <w:rPr>
          <w:rFonts w:ascii="Arial" w:cs="Arial" w:eastAsia="Arial" w:hAnsi="Arial"/>
          <w:sz w:val="18"/>
          <w:szCs w:val="18"/>
          <w:color w:val="auto"/>
        </w:rPr>
        <w:t>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64"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names and ages of all of the Company’s executive officers and the positions and offices presently held by them.</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7840" w:type="dxa"/>
            <w:vAlign w:val="bottom"/>
          </w:tcPr>
          <w:p>
            <w:pPr>
              <w:ind w:left="360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Lasse J. Petterson</w:t>
            </w:r>
          </w:p>
        </w:tc>
        <w:tc>
          <w:tcPr>
            <w:tcW w:w="280" w:type="dxa"/>
            <w:vAlign w:val="bottom"/>
          </w:tcPr>
          <w:p>
            <w:pPr>
              <w:spacing w:after="0"/>
              <w:rPr>
                <w:sz w:val="19"/>
                <w:szCs w:val="19"/>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340" w:type="dxa"/>
            <w:vAlign w:val="bottom"/>
          </w:tcPr>
          <w:p>
            <w:pPr>
              <w:spacing w:after="0"/>
              <w:rPr>
                <w:sz w:val="19"/>
                <w:szCs w:val="19"/>
                <w:color w:val="auto"/>
              </w:rPr>
            </w:pPr>
          </w:p>
        </w:tc>
        <w:tc>
          <w:tcPr>
            <w:tcW w:w="7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W. Marinko</w:t>
            </w:r>
          </w:p>
        </w:tc>
        <w:tc>
          <w:tcPr>
            <w:tcW w:w="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w:t>
            </w:r>
          </w:p>
        </w:tc>
        <w:tc>
          <w:tcPr>
            <w:tcW w:w="81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Chief Financial Officer and Senior Vice President</w:t>
            </w:r>
          </w:p>
        </w:tc>
      </w:tr>
      <w:tr>
        <w:trPr>
          <w:trHeight w:val="229"/>
        </w:trPr>
        <w:tc>
          <w:tcPr>
            <w:tcW w:w="258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r>
      <w:tr>
        <w:trPr>
          <w:trHeight w:val="230"/>
        </w:trPr>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Vivienne R. Schiffer</w:t>
            </w:r>
          </w:p>
        </w:tc>
        <w:tc>
          <w:tcPr>
            <w:tcW w:w="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81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Senior Vice President, Chief Legal Officer, Chief Compliance Officer and Corporate Secretary</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James J. Tastard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180" w:type="dxa"/>
            <w:vAlign w:val="bottom"/>
            <w:gridSpan w:val="2"/>
          </w:tcPr>
          <w:p>
            <w:pPr>
              <w:ind w:left="340"/>
              <w:spacing w:after="0"/>
              <w:rPr>
                <w:sz w:val="20"/>
                <w:szCs w:val="20"/>
                <w:color w:val="auto"/>
              </w:rPr>
            </w:pPr>
            <w:r>
              <w:rPr>
                <w:rFonts w:ascii="Arial" w:cs="Arial" w:eastAsia="Arial" w:hAnsi="Arial"/>
                <w:sz w:val="18"/>
                <w:szCs w:val="18"/>
                <w:color w:val="auto"/>
              </w:rPr>
              <w:t>Senior Vice President and Chief Human Resources and Administrative Officer</w:t>
            </w:r>
          </w:p>
        </w:tc>
      </w:tr>
      <w:tr>
        <w:trPr>
          <w:trHeight w:val="230"/>
        </w:trPr>
        <w:tc>
          <w:tcPr>
            <w:tcW w:w="2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William H. Hanson</w:t>
            </w:r>
          </w:p>
        </w:tc>
        <w:tc>
          <w:tcPr>
            <w:tcW w:w="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64</w:t>
            </w:r>
          </w:p>
        </w:tc>
        <w:tc>
          <w:tcPr>
            <w:tcW w:w="81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Senior Vice President—Government Relations and Business Development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Lasse J. Petterson, President, Chief Executive Officer and Director</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Mr. Petterson has served as Chief Executive Officer (“CEO”) since May 2017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of 20 years. He spent the first nine years of his career in various positions at Norwegian Contractors, an offshore oil &amp; gas platform contractor.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Petterson holds both master’s and bachelor’s degrees from the Norwegian University of Technology.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W. Marinko, Senior Vice President and Chief Financial Officer</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Mr. Marinko has served as Senior Vice President and Chief Financial Officer since June 2014. Mr. Marinko was most recently President of the Consumer Services division at TransUnion leading the direct to consumer and business market, customer service, consumer compliance and marketing for the credit information company. Prior to his position as President, Mr. Marinko has been in increasing accounting and financial roles as Controller and Vice President of Finance at TransUnion since 1996. Prior to TransUnion, Mr. Marinko served as controller of Official Airline Guides. In his over 30 years of professional experience, Mr. Marinko has held roles specializing in accounting, finance, sales, systems and business operations. Mr. Marinko earned a Bachelor of Arts degree in Accounting and Business Administration from Augustana College.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Chief Operating Officer</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Mr. Simonelli was named Chief Operating Officer in March 2020. Mr. Simonelli was most recently President—Dredging Division, a title held since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Vivienne R. Schiffer, Senior Vice President, Chief Legal Officer, Chief Compliance Officer and Corporate Secretary</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Ms. Schiffer was named Senior Vice President, Chief Legal Officer, Chief Compliance Officer and Corporate Secretary in December 2020 when she joined the Company. Ms. Schiffer leads the Company's legal and compliance organization, providing legal counsel. Ms. Schiffer’s specific responsibilities include the oversight of corporate governance, policy and regulatory strategy development, litigation, environmental matters, intellectual property, global corporate compliance and labor and employment laws. Ms. Schiffer was a corporate and securities partner in the global firm of Thompson &amp; Knight, LLP, from 2003 to 2010. She was of counsel in the firm’s corporate and securities section from 2011 until 2020. She has over 37 years of experience and has held significant legal, business and operational leadership roles in the industrials sector.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J. Tastard, Senior Vice President and Chief Human Resources and Administrative Officer</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 xml:space="preserve">Mr. </w:t>
      </w:r>
      <w:r>
        <w:rPr>
          <w:rFonts w:ascii="Arial" w:cs="Arial" w:eastAsia="Arial" w:hAnsi="Arial"/>
          <w:sz w:val="17"/>
          <w:szCs w:val="17"/>
          <w:color w:val="2E2E2E"/>
        </w:rPr>
        <w:t>Tastard was named Senior Vice President and Chief Human Resources and Administrative Officer in October 2020. He is responsible for the</w:t>
      </w:r>
      <w:r>
        <w:rPr>
          <w:rFonts w:ascii="Arial" w:cs="Arial" w:eastAsia="Arial" w:hAnsi="Arial"/>
          <w:sz w:val="17"/>
          <w:szCs w:val="17"/>
          <w:color w:val="auto"/>
        </w:rPr>
        <w:t xml:space="preserve"> </w:t>
      </w:r>
      <w:r>
        <w:rPr>
          <w:rFonts w:ascii="Arial" w:cs="Arial" w:eastAsia="Arial" w:hAnsi="Arial"/>
          <w:sz w:val="17"/>
          <w:szCs w:val="17"/>
          <w:color w:val="2E2E2E"/>
        </w:rPr>
        <w:t xml:space="preserve">Company’s Human Resources organization, talent management, leadership development and learning, compensation and benefits, employee relations, payroll, risk management, marketing and communications and environment, social and governance (ESG). Mr. Tastard most recently served as President and Founder of High Performance Network, LLC since 2018 as a strategic talent and leadership consultant. Prior to consulting, he worked as Senior Vice President, Chief Human Resource Officer at Geokinetics, a global seismic oil and gas exploration company, from 2017 to 2018. From 2014 to 2016, Mr. Tastard was Vice President of Human Resources at Freeport LNG and from 2010 to 2014, Mr. Tastard was Vice President of Human Resources at Statoil (now Equinor). Prior to Statoil, between 2002 to 2009, Mr. Tastard was Senior Vice President Human Resources and Health, Safety and Environment at Aker Solutions. Mr. Tastard earned a bachelor’s degree from California State University, Long Beach, an MBA from the University of Phoenix and a Ph.D. in Business, Organization and Management from Capella </w:t>
      </w:r>
      <w:r>
        <w:rPr>
          <w:rFonts w:ascii="Arial" w:cs="Arial" w:eastAsia="Arial" w:hAnsi="Arial"/>
          <w:sz w:val="17"/>
          <w:szCs w:val="17"/>
          <w:color w:val="000000"/>
        </w:rPr>
        <w:t>University.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William </w:t>
      </w:r>
      <w:r>
        <w:rPr>
          <w:rFonts w:ascii="Arial" w:cs="Arial" w:eastAsia="Arial" w:hAnsi="Arial"/>
          <w:sz w:val="18"/>
          <w:szCs w:val="18"/>
          <w:i w:val="1"/>
          <w:iCs w:val="1"/>
          <w:color w:val="2E2E2E"/>
        </w:rPr>
        <w:t>H. Hanson, Senior Vice President - Government Relations &amp; Business</w:t>
      </w:r>
      <w:r>
        <w:rPr>
          <w:rFonts w:ascii="Arial" w:cs="Arial" w:eastAsia="Arial" w:hAnsi="Arial"/>
          <w:sz w:val="18"/>
          <w:szCs w:val="18"/>
          <w:i w:val="1"/>
          <w:iCs w:val="1"/>
          <w:color w:val="auto"/>
        </w:rPr>
        <w:t xml:space="preserve"> Development</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 xml:space="preserve">Mr. </w:t>
      </w:r>
      <w:r>
        <w:rPr>
          <w:rFonts w:ascii="Arial" w:cs="Arial" w:eastAsia="Arial" w:hAnsi="Arial"/>
          <w:sz w:val="16"/>
          <w:szCs w:val="16"/>
          <w:color w:val="2E2E2E"/>
        </w:rPr>
        <w:t>Hanson was named the Senior Vice President - Government Relations &amp; Business Development in March 2020. He was named Vice President</w:t>
      </w:r>
      <w:r>
        <w:rPr>
          <w:rFonts w:ascii="Arial" w:cs="Arial" w:eastAsia="Arial" w:hAnsi="Arial"/>
          <w:sz w:val="16"/>
          <w:szCs w:val="16"/>
          <w:color w:val="auto"/>
        </w:rPr>
        <w:t xml:space="preserve"> </w:t>
      </w:r>
      <w:r>
        <w:rPr>
          <w:rFonts w:ascii="Arial" w:cs="Arial" w:eastAsia="Arial" w:hAnsi="Arial"/>
          <w:sz w:val="16"/>
          <w:szCs w:val="16"/>
          <w:color w:val="2E2E2E"/>
        </w:rPr>
        <w:t xml:space="preserve">of the Company in 2004. He joined the Company in 1988. Mr. Hanson was most recently with Connolly Pacific of Long Beach, California. Prior to his work at Connolly Pacific, Mr. Hanson was with the U.S. Army Corps of Engineers. Mr. Hanson serves on several Federal Advisory 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Arial" w:cs="Arial" w:eastAsia="Arial" w:hAnsi="Arial"/>
          <w:sz w:val="16"/>
          <w:szCs w:val="16"/>
          <w:color w:val="000000"/>
        </w:rPr>
        <w:t>2013.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Great Lakes’ SEC filings are also available to the public, free of charge, on our corporate website, </w:t>
      </w:r>
      <w:r>
        <w:rPr>
          <w:rFonts w:ascii="Arial" w:cs="Arial" w:eastAsia="Arial" w:hAnsi="Arial"/>
          <w:sz w:val="16"/>
          <w:szCs w:val="16"/>
          <w:u w:val="single" w:color="auto"/>
          <w:color w:val="auto"/>
        </w:rPr>
        <w:t>www.gldd.com</w:t>
      </w:r>
      <w:r>
        <w:rPr>
          <w:rFonts w:ascii="Arial" w:cs="Arial" w:eastAsia="Arial" w:hAnsi="Arial"/>
          <w:sz w:val="16"/>
          <w:szCs w:val="16"/>
          <w:color w:val="auto"/>
        </w:rPr>
        <w:t>, at “Investors – Financials</w:t>
      </w:r>
    </w:p>
    <w:p>
      <w:pPr>
        <w:spacing w:after="0" w:line="2" w:lineRule="exact"/>
        <w:rPr>
          <w:sz w:val="20"/>
          <w:szCs w:val="20"/>
          <w:color w:val="auto"/>
        </w:rPr>
      </w:pPr>
    </w:p>
    <w:p>
      <w:pPr>
        <w:ind w:right="440" w:firstLine="8"/>
        <w:spacing w:after="0" w:line="290" w:lineRule="auto"/>
        <w:tabs>
          <w:tab w:leader="none" w:pos="185"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left="520"/>
        <w:spacing w:after="0"/>
        <w:tabs>
          <w:tab w:leader="none" w:pos="1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w:t>
      </w:r>
    </w:p>
    <w:p>
      <w:pPr>
        <w:spacing w:after="0" w:line="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have grouped our Risk Factors under captions that we believe describe various categories of potential risk. For the reader’s convenience, we have not duplicated risk factors that could be considered to be included in more than one category.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or have adversely affected, the Company’s business, operating results and financial condition:</w:t>
      </w:r>
    </w:p>
    <w:p>
      <w:pPr>
        <w:spacing w:after="0" w:line="62" w:lineRule="exact"/>
        <w:rPr>
          <w:sz w:val="20"/>
          <w:szCs w:val="20"/>
          <w:color w:val="auto"/>
        </w:rPr>
      </w:pPr>
    </w:p>
    <w:p>
      <w:pPr>
        <w:ind w:left="1260" w:hanging="37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the COVID-19 pandemic and related responsive measures, including project delays and increased expenditures;</w:t>
      </w:r>
    </w:p>
    <w:p>
      <w:pPr>
        <w:spacing w:after="0" w:line="34" w:lineRule="exact"/>
        <w:rPr>
          <w:rFonts w:ascii="Arial" w:cs="Arial" w:eastAsia="Arial" w:hAnsi="Arial"/>
          <w:sz w:val="17"/>
          <w:szCs w:val="17"/>
          <w:color w:val="auto"/>
        </w:rPr>
      </w:pPr>
    </w:p>
    <w:p>
      <w:pPr>
        <w:ind w:left="1260" w:hanging="375"/>
        <w:spacing w:after="0" w:line="265"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and retain federal government dredging and other contracts, which is impacted by the amount of government funding for dredging and other projects and the degree to which government funding is directed to the Corps and certain other customers, which could be impacted by extended federal government shutdowns or declarations of additional national emergencies;</w:t>
      </w:r>
    </w:p>
    <w:p>
      <w:pPr>
        <w:ind w:left="1260" w:right="10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qualify as an eligible bidder under government contract criteria and to compete successfully against other qualified bidders in order to obtain government dredging and other contracts;</w:t>
      </w: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over-runs, operating cost inflation and potential claims for liquidated damages, particularly with respect to our fixed cost contracts;</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our performance on contracts and new contracts being awarded to us;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liabilities that could be imposed were we to fail to comply with government contracting regulations;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costs to operate and maintain aging vessels and comply with applicable regulations or standards;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or mechanical failures;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to our facilities and suppliers from pandemics, epidemics or outbreaks of infectious disease affecting our markets;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dredging operations;</w:t>
      </w:r>
    </w:p>
    <w:p>
      <w:pPr>
        <w:spacing w:after="0" w:line="9" w:lineRule="exact"/>
        <w:rPr>
          <w:rFonts w:ascii="Arial" w:cs="Arial" w:eastAsia="Arial" w:hAnsi="Arial"/>
          <w:sz w:val="18"/>
          <w:szCs w:val="18"/>
          <w:color w:val="auto"/>
        </w:rPr>
      </w:pPr>
    </w:p>
    <w:p>
      <w:pPr>
        <w:ind w:left="1260" w:right="32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Instability and declining relationships amongst certain governments in the Middle East and the impact this may have on infrastructure investment, asset value of such operations, and local licensing, permitting and royalty issues;</w:t>
      </w: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and operational costs due to environmental regulations;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regulatory responses to climate change;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penalties for any projects that are completed late;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 majeure events, including natural disasters and terrorists’ actions;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amount of our estimated backlog;</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negative changes to large, single customer contracts from which a significant portion of our international revenue is derived;</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Unforeseen delays and cost overruns related to the construction of new vessels, including potential mechanical and engineering issues;</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failure to comply with Section 27 of the Jones Act provisions on coastwise trade, or if those provisions were modified or repealed;</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fuel prices, particularly given our dependence on petroleum-based products;</w:t>
      </w:r>
    </w:p>
    <w:p>
      <w:pPr>
        <w:spacing w:after="0" w:line="9" w:lineRule="exact"/>
        <w:rPr>
          <w:rFonts w:ascii="Arial" w:cs="Arial" w:eastAsia="Arial" w:hAnsi="Arial"/>
          <w:sz w:val="18"/>
          <w:szCs w:val="18"/>
          <w:color w:val="auto"/>
        </w:rPr>
      </w:pPr>
    </w:p>
    <w:p>
      <w:pPr>
        <w:ind w:left="1260" w:right="60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bonding or letters of credit and risks associated with draws by the surety on outstanding bonds or calls by the beneficiary on outstanding letters of credit;</w:t>
      </w:r>
    </w:p>
    <w:p>
      <w:pPr>
        <w:ind w:left="1260" w:hanging="37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integration and consolidation, including transaction expenses, unexpected liabilities and operational challenges and risks;</w:t>
      </w:r>
    </w:p>
    <w:p>
      <w:pPr>
        <w:spacing w:after="0" w:line="32" w:lineRule="exact"/>
        <w:rPr>
          <w:rFonts w:ascii="Arial" w:cs="Arial" w:eastAsia="Arial" w:hAnsi="Arial"/>
          <w:sz w:val="16"/>
          <w:szCs w:val="16"/>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Divestitures and discontinued operations, including retained liabilities from businesses that we sell or discontinue;</w:t>
      </w:r>
    </w:p>
    <w:p>
      <w:pPr>
        <w:spacing w:after="0" w:line="9" w:lineRule="exact"/>
        <w:rPr>
          <w:rFonts w:ascii="Arial" w:cs="Arial" w:eastAsia="Arial" w:hAnsi="Arial"/>
          <w:sz w:val="18"/>
          <w:szCs w:val="18"/>
          <w:color w:val="auto"/>
        </w:rPr>
      </w:pPr>
    </w:p>
    <w:p>
      <w:pPr>
        <w:ind w:left="1260" w:right="260" w:hanging="375"/>
        <w:spacing w:after="0" w:line="250"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penalties and reputational damage as a result of legal and regulatory proceedings, including a pending criminal proceeding in Louisiana;</w:t>
      </w: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liabilities imposed on us for the obligations of joint ventures, partners and subcontractors;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fiscal, immigration, and other policies of the current U.S. Presidential Administration;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 w:name="page14"/>
    <w:bookmarkEnd w:id="13"/>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costs of certain material used in our operations due to newly imposed tariffs;</w:t>
      </w:r>
    </w:p>
    <w:p>
      <w:pPr>
        <w:spacing w:after="0" w:line="23"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Unionized labor force work stoppages;</w:t>
      </w:r>
    </w:p>
    <w:p>
      <w:pPr>
        <w:spacing w:after="0" w:line="9" w:lineRule="exact"/>
        <w:rPr>
          <w:rFonts w:ascii="Arial" w:cs="Arial" w:eastAsia="Arial" w:hAnsi="Arial"/>
          <w:sz w:val="18"/>
          <w:szCs w:val="18"/>
          <w:color w:val="auto"/>
        </w:rPr>
      </w:pPr>
    </w:p>
    <w:p>
      <w:pPr>
        <w:ind w:left="1260" w:right="22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liabilities for job-related claims under federal law, which does not provide for the liability limitations typically present under state law;</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hazards, including any liabilities or losses relating to personal or property damage resulting from our operations;</w:t>
      </w:r>
    </w:p>
    <w:p>
      <w:pPr>
        <w:spacing w:after="0" w:line="102" w:lineRule="exact"/>
        <w:rPr>
          <w:rFonts w:ascii="Arial" w:cs="Arial" w:eastAsia="Arial" w:hAnsi="Arial"/>
          <w:sz w:val="18"/>
          <w:szCs w:val="18"/>
          <w:color w:val="auto"/>
        </w:rPr>
      </w:pPr>
    </w:p>
    <w:p>
      <w:pPr>
        <w:ind w:left="1260" w:right="120" w:hanging="375"/>
        <w:spacing w:after="0" w:line="258"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relocation of our headquarters from Oakbrook Terrace, Illinois to Houston, Texas, including costs associated with the transition and risks relating to employee retention;</w:t>
      </w:r>
    </w:p>
    <w:p>
      <w:pPr>
        <w:spacing w:after="0" w:line="1"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contract with qualified MBE or DBE contractors to perform as subcontractors;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amount of indebtedness, which makes us more vulnerable to adverse economic and competitive conditions;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operation of our business imposed by financing covenants;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Impacts of adverse capital and credit market conditions on our ability to meet liquidity needs and access capital;</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expand our credit capacity;</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hedging strategy imposed by statutory and regulatory requirements for derivative transactions;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exchange risks;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attributable to our investments in privately financed projects;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foreign ownership of our common stock;</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imposed by Delaware law and our charter on takeover transactions that stockholders may consider to be favorable;</w:t>
      </w:r>
    </w:p>
    <w:p>
      <w:pPr>
        <w:spacing w:after="0" w:line="20" w:lineRule="exact"/>
        <w:rPr>
          <w:rFonts w:ascii="Arial" w:cs="Arial" w:eastAsia="Arial" w:hAnsi="Arial"/>
          <w:sz w:val="17"/>
          <w:szCs w:val="17"/>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our ability to declare dividends imposed by our financing agreements and Delaware law;</w:t>
      </w:r>
    </w:p>
    <w:p>
      <w:pPr>
        <w:spacing w:after="0" w:line="9" w:lineRule="exact"/>
        <w:rPr>
          <w:rFonts w:ascii="Arial" w:cs="Arial" w:eastAsia="Arial" w:hAnsi="Arial"/>
          <w:sz w:val="18"/>
          <w:szCs w:val="18"/>
          <w:color w:val="auto"/>
        </w:rPr>
      </w:pPr>
    </w:p>
    <w:p>
      <w:pPr>
        <w:ind w:left="1260" w:right="28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fluctuations on the market price of our common stock, which may make it difficult for holders to resell our common stock when they want or at prices that they find attractive;</w:t>
      </w:r>
    </w:p>
    <w:p>
      <w:pPr>
        <w:ind w:left="1260" w:right="44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previous recorded net revenue and profit as a result of the significant estimates made in connection with our methods of accounting for recognized revenue;</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 adequate level of insurance coverage;</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skilled labor;</w:t>
      </w:r>
    </w:p>
    <w:p>
      <w:pPr>
        <w:spacing w:after="0" w:line="9" w:lineRule="exact"/>
        <w:rPr>
          <w:rFonts w:ascii="Arial" w:cs="Arial" w:eastAsia="Arial" w:hAnsi="Arial"/>
          <w:sz w:val="18"/>
          <w:szCs w:val="18"/>
          <w:color w:val="auto"/>
        </w:rPr>
      </w:pPr>
    </w:p>
    <w:p>
      <w:pPr>
        <w:ind w:left="1260" w:right="100" w:hanging="375"/>
        <w:spacing w:after="0" w:line="250"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failures, data corruptions, cyber-based attacks or security breaches of the information technology systems on which we rely to conduct our business; and</w:t>
      </w:r>
    </w:p>
    <w:p>
      <w:pPr>
        <w:ind w:left="1260" w:hanging="37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of our goodwill or other intangible assets.</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08" w:lineRule="exact"/>
        <w:rPr>
          <w:sz w:val="20"/>
          <w:szCs w:val="20"/>
          <w:color w:val="auto"/>
        </w:rPr>
      </w:pPr>
    </w:p>
    <w:p>
      <w:pPr>
        <w:ind w:right="120" w:firstLine="674"/>
        <w:spacing w:after="0" w:line="257"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88"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Our clients, the Corps, private clients and other federal or state agencies, have been impacted by the COVID-19 pandemic. These impacts have led to delays in some of our projects. If the pandemic is prolonged, it may lead to additional delays or cancelations in current or future projects. Funds for dredging projects may also be diverted for public health, economic, or other priorities. Even after the COVID-19 pandemic has subsided, we may experience adverse impacts to our business as a result of its effect on global economies and financial markets, including any recession or economic downturn that has occurred or may occur in the future.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project delays, the COVID-19 pandemic may affect, our business, including, but not limited to, in the following ways:</w:t>
      </w:r>
    </w:p>
    <w:p>
      <w:pPr>
        <w:spacing w:after="0" w:line="211" w:lineRule="exact"/>
        <w:rPr>
          <w:sz w:val="20"/>
          <w:szCs w:val="20"/>
          <w:color w:val="auto"/>
        </w:rPr>
      </w:pPr>
    </w:p>
    <w:p>
      <w:pPr>
        <w:ind w:left="1420" w:right="20" w:hanging="373"/>
        <w:spacing w:after="0" w:line="253"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much of our client base is federal, state, or other governmental entities, some of our clients may be unable to meet their payment obligations to us in a timely manner, including as a result of deteriorating financial condition or bankruptcy resulting from the COVID-19 pandemic and resulting economic impacts. Further, other third parties, such as suppliers, subcontractors, and other outside business partners, may experience significant disruptions in their ability to fulfill their obligations toward us, or they may not be unable to fulfill their obligations to us at all.</w:t>
      </w:r>
    </w:p>
    <w:p>
      <w:pPr>
        <w:spacing w:after="0" w:line="3" w:lineRule="exact"/>
        <w:rPr>
          <w:rFonts w:ascii="Arial" w:cs="Arial" w:eastAsia="Arial" w:hAnsi="Arial"/>
          <w:sz w:val="18"/>
          <w:szCs w:val="18"/>
          <w:color w:val="auto"/>
        </w:rPr>
      </w:pPr>
    </w:p>
    <w:p>
      <w:pPr>
        <w:ind w:left="1420" w:hanging="373"/>
        <w:spacing w:after="0" w:line="271"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Many employers, including us, and governments continue to require all or a significant portion of employees to work from home or not go into their offices. While many of our employees can effectively perform their responsibilities while working remotely, much of our work is conducted on vessels, where our crew is required to live for extended periods of time. We have experienced, and may continue to experience, temporary work stoppages because of viral outbreaks on board our vessels. Temporary work stoppages may lead to decreased revenue and affect our ability to timely and satisfactorily complete our clients’ projects.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4" w:name="page15"/>
    <w:bookmarkEnd w:id="14"/>
    <w:p>
      <w:pPr>
        <w:ind w:left="1420" w:hanging="373"/>
        <w:spacing w:after="0" w:line="253"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Viral outbreaks on board our vessels have required us, and may continue to require us, to incur additional expenses to protect the health and safety of our employees, our clients, and other business partners. These costs include regular, mandated testing for our employees before they leave their homes and travel to the vessel, before they board the vessel, and before they leave the vessel to return home; costs associated with accommodations for crew members who are quarantined or otherwise unable to board a vessel or return home; and overtime costs associated with the extended length of time crew members may be required to work or be available because of COVID-19 safety measures.</w:t>
      </w:r>
    </w:p>
    <w:p>
      <w:pPr>
        <w:spacing w:after="0" w:line="1" w:lineRule="exact"/>
        <w:rPr>
          <w:rFonts w:ascii="Arial" w:cs="Arial" w:eastAsia="Arial" w:hAnsi="Arial"/>
          <w:sz w:val="18"/>
          <w:szCs w:val="18"/>
          <w:color w:val="auto"/>
        </w:rPr>
      </w:pPr>
    </w:p>
    <w:p>
      <w:pPr>
        <w:ind w:left="1420" w:right="100" w:hanging="373"/>
        <w:spacing w:after="0" w:line="25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existing travel restrictions implemented in response to the COVID-19 pandemic, jurisdictions may continue to close borders, impose prolonged quarantines and further restrict travel and business activity, which could impair our ability to support our operations and clients (both domestic and international), to source supplies through the global supply chain and to identify, pursue and capture new business opportunities, and which could continue to restrict the ability of our employees to access their workplaces. We also face the possibility of increased overhead or other expenses resulting from compliance with any future government orders or other measures enacted in response to the COVID-19 pandemic.</w:t>
      </w:r>
    </w:p>
    <w:p>
      <w:pPr>
        <w:spacing w:after="0" w:line="194"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We are unable at this time to quantify the extent to which the continued global spread of the COVID-19 pandemic may adversely affect our business, financial condition, and results of operations, including the duration and magnitude of such impacts. The impacts from this unprecedented global event will depend on numerous evolving factors that we may not be able to accurately predict or assess. COVID-19, and the volatile regional and global economic conditions stemming from the pandemic, as well as reactions to future pandemics or resurgences of COVID-19, could also precipitate or aggravate the other risk factors that we identify in in this Annual Report on Form 10-K, which in turn could materially adversely affect our business, financial condition and results of operations. There may be other adverse consequences to our business, financial condition and results of operations from the spread of COVID-19 that we have not considered or have not become apparent. As a result, we cannot assure you that if the COVID-19 pandemic persists or worsens, it would not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reduction in government funding for dredging or other contracts, or government cancellation of such contracts, could materially adversely affect our business operations, revenues and profits.</w:t>
      </w:r>
    </w:p>
    <w:p>
      <w:pPr>
        <w:spacing w:after="0" w:line="62"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2020, 2019 and 2018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revenue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468,421</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 of revenue from federal government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bl>
    <w:p>
      <w:pPr>
        <w:spacing w:after="0" w:line="24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ind w:right="300"/>
        <w:spacing w:after="0" w:line="263" w:lineRule="auto"/>
        <w:rPr>
          <w:sz w:val="20"/>
          <w:szCs w:val="20"/>
          <w:color w:val="auto"/>
        </w:rPr>
      </w:pPr>
      <w:r>
        <w:rPr>
          <w:rFonts w:ascii="Arial" w:cs="Arial" w:eastAsia="Arial" w:hAnsi="Arial"/>
          <w:sz w:val="18"/>
          <w:szCs w:val="18"/>
          <w:color w:val="auto"/>
        </w:rPr>
        <w:t>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w:t>
      </w:r>
    </w:p>
    <w:p>
      <w:pPr>
        <w:spacing w:after="0" w:line="1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Administration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inability to qualify as an eligible bidder for government contracts or to compete successfully with other qualified bidders for certain contracts could materially adversely affect our business operations, revenues and profits.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30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significant amount of fixed-price contracts subjects us to risks associated with cost over-runs, operating cost inflation and potential claims for liquidated damages. If we are unable to accurately estimate our project costs our profitability could suffer.</w:t>
      </w:r>
    </w:p>
    <w:p>
      <w:pPr>
        <w:spacing w:after="0" w:line="3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vary significantly based on the timing of contract awards and performance.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76"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disruption or early termination of projects, unanticipated recovery costs or liability exposure, and additional contract expenses;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and unplanned equipment downtime, or equipment mobilization to and from projects;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recognized only when the parties to a contract approve a modification that either creates new, or changes existing, enforceable rights and obligations of the parties to the contract;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6" w:name="page17"/>
    <w:bookmarkEnd w:id="16"/>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w:t>
      </w:r>
    </w:p>
    <w:p>
      <w:pPr>
        <w:spacing w:after="0" w:line="225"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government contracting regulations, we could be subject to significant potential liabilities and loss of revenue.</w:t>
      </w:r>
    </w:p>
    <w:p>
      <w:pPr>
        <w:spacing w:after="0" w:line="1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which could include claims for up to treble damages.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have been filed against us and that we are not aware of such actions or have been ordered by the court not to discuss them until the seal is lifted.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Thus, it is possible that we are subject to liability exposure arising out of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w:t>
      </w:r>
    </w:p>
    <w:p>
      <w:pPr>
        <w:spacing w:after="0" w:line="2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Costs necessary to operate and maintain our vessels tend to increase with the age of the vessel and may also increase due to changes in applicable regulations or standards, which could decrease our profits.</w:t>
      </w:r>
    </w:p>
    <w:p>
      <w:pPr>
        <w:spacing w:after="0" w:line="6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2020, by equipment type,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Quantity</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Age in</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Drillboats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Material and Other Barges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 to satisfy any such requirements, we may need to take our vessels out of service for extended periods of time, with corresponding losses of revenues.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Equipment or mechanical failures could result in increased costs, project delays and reduced revenues.</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successful performance of contracts requires a high degree of reliability of our vessels, barges and other equipment. The average age of our marine fleet as of December 31, 2020 was 27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affecting our markets or impacting our facilities or suppliers could adversely impact our business.</w:t>
      </w:r>
    </w:p>
    <w:p>
      <w:pPr>
        <w:spacing w:after="0" w:line="170"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Our clients, such as the Corps, private clients and other federal or state agencies, may be impacted by a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dredging operations subject us to competitive, political, regulatory and other risks.</w:t>
      </w:r>
    </w:p>
    <w:p>
      <w:pPr>
        <w:spacing w:after="0" w:line="11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Revenue from foreign contracts and its percentage to total dredging revenue for the years ended December 31, 2020, 2019 and 2018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Foreign revenue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 of revenue from foreign countries</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4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modern and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17"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and risks of terrorist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licensing, permitting and royalty issues, particularly with respect to our overseas operations in Bahrain and the Middle East;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international anticorruption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which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instability in the Middle East may adversely affect business conditions and may disrupt our operations.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Saudi Arabia, Bahrain and other Middle East countries have experienced political turbulence in the recent past. Political uprisings and conflicts, including armed hostilities and civil unrest, may affect the political stability of the region. Tensions in the region between the U.S. and Iran have escalated, resulting in increased military and militia activity in Iraq and other Middle East countries. In addition, there has been a decline in the relationships between and amongst certain governments in the Middle East, such as continued conflicts between Saudi Arabia and Iran.</w:t>
      </w:r>
    </w:p>
    <w:p>
      <w:pPr>
        <w:spacing w:after="0" w:line="17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Deterioration in the political, economic, and social conditions or other relevant policies of the government, such as changes in laws or regulations, export restrictions, expropriation of our assets or resource nationalization, could materially and adversely affect our business, access to markets, financial condition, and results of operations. Similar civil unrest and political turbulence has occurred in other countries in the region.</w:t>
      </w:r>
    </w:p>
    <w:p>
      <w:pPr>
        <w:spacing w:after="0" w:line="165"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In addition, such events may affect plans for infrastructure investment. If the government changes or significant restrictions are established, our dredging operations in the Middle East, including the value of our assets related to such operations, may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6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40"/>
        <w:spacing w:after="0" w:line="263" w:lineRule="auto"/>
        <w:rPr>
          <w:sz w:val="20"/>
          <w:szCs w:val="20"/>
          <w:color w:val="auto"/>
        </w:rPr>
      </w:pPr>
      <w:r>
        <w:rPr>
          <w:rFonts w:ascii="Arial" w:cs="Arial" w:eastAsia="Arial" w:hAnsi="Arial"/>
          <w:sz w:val="18"/>
          <w:szCs w:val="18"/>
          <w:color w:val="auto"/>
        </w:rPr>
        <w:t>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84" w:lineRule="exact"/>
        <w:rPr>
          <w:sz w:val="20"/>
          <w:szCs w:val="20"/>
          <w:color w:val="auto"/>
        </w:rPr>
      </w:pPr>
    </w:p>
    <w:p>
      <w:pPr>
        <w:ind w:right="400" w:firstLine="510"/>
        <w:spacing w:after="0" w:line="311" w:lineRule="auto"/>
        <w:rPr>
          <w:sz w:val="20"/>
          <w:szCs w:val="20"/>
          <w:color w:val="auto"/>
        </w:rPr>
      </w:pPr>
      <w:r>
        <w:rPr>
          <w:rFonts w:ascii="Arial" w:cs="Arial" w:eastAsia="Arial" w:hAnsi="Arial"/>
          <w:sz w:val="16"/>
          <w:szCs w:val="16"/>
          <w:color w:val="auto"/>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225"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Penalties for late completion of contracts could reduce our profits.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 could negatively impact our business, operations, revenues, cash flows and profits.</w:t>
      </w:r>
    </w:p>
    <w:p>
      <w:pPr>
        <w:spacing w:after="0" w:line="117" w:lineRule="exact"/>
        <w:rPr>
          <w:sz w:val="20"/>
          <w:szCs w:val="20"/>
          <w:color w:val="auto"/>
        </w:rPr>
      </w:pPr>
    </w:p>
    <w:p>
      <w:pPr>
        <w:jc w:val="both"/>
        <w:ind w:right="340" w:firstLine="510"/>
        <w:spacing w:after="0" w:line="301"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5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may change and may not be indicative of future revenues.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6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backlog (70% in 2020)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320" w:firstLine="510"/>
        <w:spacing w:after="0" w:line="277" w:lineRule="auto"/>
        <w:rPr>
          <w:sz w:val="20"/>
          <w:szCs w:val="20"/>
          <w:color w:val="auto"/>
        </w:rPr>
      </w:pPr>
      <w:r>
        <w:rPr>
          <w:rFonts w:ascii="Arial" w:cs="Arial" w:eastAsia="Arial" w:hAnsi="Arial"/>
          <w:sz w:val="18"/>
          <w:szCs w:val="18"/>
          <w:color w:val="auto"/>
        </w:rPr>
        <w:t>Below is our backlog from federal government contracts as of December 31, 2020, 2019, and 2018 and the percentage of those contracts to total backlog as of the same date.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backlog (in US $1,000)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390,345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586,568</w:t>
            </w:r>
          </w:p>
        </w:tc>
        <w:tc>
          <w:tcPr>
            <w:tcW w:w="18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Percentage of backlog from federal government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bl>
    <w:p>
      <w:pPr>
        <w:spacing w:after="0" w:line="24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single customer contract could significantly decrease our international revenue.</w:t>
      </w:r>
    </w:p>
    <w:p>
      <w:pPr>
        <w:spacing w:after="0" w:line="117"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The Company has earned significant international revenue from governmental entities and private parties in the Middle East. Revenue from foreign projects has been concentrated in the Middle East which comprised 100% of our foreign dredging revenues in each of the years ended December 31, 2020, 2019 and 2018. A single customer contract represented substantially all of the Company’s foreign dredging revenue in the year ended December 31, 2020.</w:t>
      </w:r>
    </w:p>
    <w:p>
      <w:pPr>
        <w:spacing w:after="0" w:line="14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While the Company does not currently have significant operations or equipment in the Middle East, we may seek contracts there in the future. 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Other Middle East governments have national dredging companies and may be incentivized to use the national dredging company of another Middle East government or have significant history with competitive dredging vendors other than the Company. The Company could lose future contracts for work in the Middle East to these competitors or could be forced to accept lower margins on contracts in order to utilize the equipment that is located in the Middle East. Lower utilization, workforce reductions or asset relocations could have a material adverse effect on our business, operating results, cash flows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Unforeseen delays and cost overruns could delay or halt plans to build new vessels and, as a result, negatively impact our business strategy.</w:t>
      </w:r>
    </w:p>
    <w:p>
      <w:pPr>
        <w:spacing w:after="0" w:line="14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have previously disclosed our plans to build new vessels.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2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Jones Act provisions on coastwise trade, or if those provisions were modified or repealed.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are subject to Section 27 of the Merchant Marine Act of 1920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120"/>
        <w:spacing w:after="0" w:line="308" w:lineRule="auto"/>
        <w:rPr>
          <w:sz w:val="20"/>
          <w:szCs w:val="20"/>
          <w:color w:val="auto"/>
        </w:rPr>
      </w:pPr>
      <w:r>
        <w:rPr>
          <w:rFonts w:ascii="Arial" w:cs="Arial" w:eastAsia="Arial" w:hAnsi="Arial"/>
          <w:sz w:val="17"/>
          <w:szCs w:val="17"/>
          <w:color w:val="auto"/>
        </w:rPr>
        <w:t>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46"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costs depend significantly on the price of petroleum-based products, and price increases could adversely affect our profits.</w:t>
      </w:r>
    </w:p>
    <w:p>
      <w:pPr>
        <w:spacing w:after="0" w:line="12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on January 1, 2020, the International Maritime Organization’s regulations regarding use of low sulfur fuel went into effect, which subsequently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3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An inability to obtain bonding or letters of credit would limit our ability to obtain future contracts, which could, along with any draws on existing arrangements, adversely affect our business, operating results, cash flows and financial condition.</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are generally required to post bonds in connection with our domestic dredging contracts and bonds or letters of credit with our foreign dredging contracts to ensure job completion if we ever fail to finish a project. We have entered into bonding agreements with the sureties, or the “Sureties”, pursuant to which the Sureties issue bid bonds, performance bonds and payment bonds, and provide guarantees required by us in the day-to-day operations of our dredging business. The Company also has outstanding bonds with Travelers Casualty and Surety Company of America and Zurich. Historically, we have had a strong bonding capacity, but surety companies issue bonds on a project-by-project basis and can decline to issue bonds at any time or require the posting of collateral as a condition to issuing any bonds. With respect to our foreign dredging business, we generally obtain letters of credit under our Amended Credit Agreement. However, access to our senior credit facility under our Amended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8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Acquisitions involve integration, consolidation and strategic risks and may involve significant transaction expenses and unexpected liabilities, which could adversely affect our business and results of operations.</w:t>
      </w:r>
    </w:p>
    <w:p>
      <w:pPr>
        <w:spacing w:after="0" w:line="6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may seek business acquisition activities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76"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7"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left="1000" w:right="8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75"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unprofitable projects that pose future risks to our working capital needs, cash flows and the profitability of related operations;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Divestitures and discontinued operations could negatively impact our business, and any retained liabilities could adversely affect our financial results.</w:t>
      </w:r>
    </w:p>
    <w:p>
      <w:pPr>
        <w:spacing w:after="0" w:line="15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a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spacing w:after="0" w:line="168" w:lineRule="exact"/>
        <w:rPr>
          <w:sz w:val="20"/>
          <w:szCs w:val="20"/>
          <w:color w:val="auto"/>
        </w:rPr>
      </w:pPr>
    </w:p>
    <w:p>
      <w:pPr>
        <w:ind w:right="260" w:firstLine="510"/>
        <w:spacing w:after="0" w:line="272" w:lineRule="auto"/>
        <w:rPr>
          <w:sz w:val="20"/>
          <w:szCs w:val="20"/>
          <w:color w:val="auto"/>
        </w:rPr>
      </w:pPr>
      <w:r>
        <w:rPr>
          <w:rFonts w:ascii="Arial" w:cs="Arial" w:eastAsia="Arial" w:hAnsi="Arial"/>
          <w:sz w:val="17"/>
          <w:szCs w:val="17"/>
          <w:color w:val="auto"/>
        </w:rPr>
        <w:t>On April 24, 2014, the Company announced that it had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pursuant to the agreement pursuant to which the Company’s historical demolition business was sold. In connection with the sale of our historical 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spacing w:after="0" w:line="17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During the second quarter of 2019, the Company completed the sale of the historical environmental &amp; infrastructure business. The Company retained responsibility for pre-closing liabilities and indemnification for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120"/>
        <w:spacing w:after="0" w:line="277" w:lineRule="auto"/>
        <w:rPr>
          <w:sz w:val="20"/>
          <w:szCs w:val="20"/>
          <w:color w:val="auto"/>
        </w:rPr>
      </w:pPr>
      <w:r>
        <w:rPr>
          <w:rFonts w:ascii="Arial" w:cs="Arial" w:eastAsia="Arial" w:hAnsi="Arial"/>
          <w:sz w:val="18"/>
          <w:szCs w:val="18"/>
          <w:b w:val="1"/>
          <w:bCs w:val="1"/>
          <w:i w:val="1"/>
          <w:iCs w:val="1"/>
          <w:color w:val="auto"/>
        </w:rPr>
        <w:t>We could face liabilities and/or damage to our reputation as a result of certain legal and regulatory proceedings, including a pending legal proceeding in Louisiana.</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w:t>
      </w:r>
    </w:p>
    <w:p>
      <w:pPr>
        <w:spacing w:after="0" w:line="18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In particular, in June 2019, the U.S. Attorney’s Office for the Eastern District of Louisiana informed the Company that it intends to file criminal charges against the Company alleging that the Company violated provisions of the Clean Water Act in connection with a September 2016 oil spill. The oil spill occurred during the Company’s Cheniere Ronquille project, allegedly resulting in the discharge of around 160 barrels of crude oil in Bay Long, Louisiana. The Company vigorously denies the allegations. However, if the government initiates suspension or debarment proceedings pending the outcome of a trial on the matter, we may be prohibited from bidding for, entering into, or completing certain government projects, and if the Company is ultimately found guilty, suspension or debarment actions could occur. These suspension or debarment actions may be limited in time and scope, but we cannot guarantee that any such action will not have a material adverse effect on our business and operations. This matter is subject to many uncertainties, and it is possible that we may not be able to reach a favorable resolution before trial, or that we may be found guilty of the allegations. An adverse outcome of the matter could have a material adverse effect on our business, results of operations, cash flows or financial condition. Furthermore, a pending trial on the matter is likely to involve significant management time and attention. In addition, whether the ultimate outcome is favorable or unfavorable to us, the indictment and the allegations against us will likely lead to negative publicity and press speculation about us, whether valid or not, which may harm our reputation and be damaging to our business, results of operations, cash flows or financial condition.</w:t>
      </w:r>
    </w:p>
    <w:p>
      <w:pPr>
        <w:spacing w:after="0" w:line="60"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are also currently a defendant in a number of other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for the obligations of our joint ventures, partners and subcontractors could materially decrease our profitability and liquidity.</w:t>
      </w:r>
    </w:p>
    <w:p>
      <w:pPr>
        <w:spacing w:after="0" w:line="1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8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surrounding the new U.S. Presidential Administration’s domestic policy changes may adversely affect our business.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current U.S. Presidential administration has called for changes to fiscal, immigration and other policies, which may include changes to infrastructure spending. Our business is heavily dependent on government funding allocation decisions, and we cannot predict the impact, if any, that any domestic policy changes may have on our business. Until we know what changes are enacted and when, we will not know whether in total we benefit from, or are negatively affected by, such changes.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New tariffs have increased our costs and could adversely affect our business operations, revenues and profits.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lead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Two unions represent approximately 70% of our hourly dredging employees—the IUOE Local 25 and the Seafarers International Union. The Company’s master and ancillary contracts with IUOE Local 25 expire in September 2021. The Company’s master contract with Seafarers International Union expires in February 2023.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imposed by federal laws for job-related claims by seagoing employees could increase our costs and reduce our profitability.</w:t>
      </w:r>
    </w:p>
    <w:p>
      <w:pPr>
        <w:spacing w:after="0" w:line="1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significant operating risks and hazards inherent in the operation of our business could result in personal or property damage, which could result in losses or liabilities to us.</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200" w:lineRule="exact"/>
        <w:rPr>
          <w:sz w:val="20"/>
          <w:szCs w:val="20"/>
          <w:color w:val="auto"/>
        </w:rPr>
      </w:pPr>
    </w:p>
    <w:p>
      <w:pPr>
        <w:spacing w:after="0" w:line="2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experience unexpected difficulties and incur unexpected costs in the relocation of our headquarters from Oakbrook Terrace, Illinois to Houston, Texas.</w:t>
      </w:r>
    </w:p>
    <w:p>
      <w:pPr>
        <w:spacing w:after="0" w:line="170"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October 2020, we announced that we would relocate our headquarters from Oakbrook Terrace, Illinois to Houston, Texas. We began the relocation of key executives to Houston in January 2021. The objectives of the relocation including securing more public and private business opportunities and attracting and retaining a specialized workforce may not materialize to the Company’s expectations or as the Company envisions. Certain members of senior management have decided to leave the Company instead of moving to Houston, and it is possible that other members of senior management or key employees may decide not to relocate. The loss of services of members of senior management or other key employees could significantly delay or prevent the achievement of our strategic objectives and could adversely affect our business, financial condition and operating results. In addition, actual costs related to the relocation may exceed our estimates.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identify and contract with qualified MBE or DBE contractors to perform as subcontractors, which could materially and adversely impact our financial position, results of operations, cash flows and liquidity.</w:t>
      </w:r>
    </w:p>
    <w:p>
      <w:pPr>
        <w:spacing w:after="0" w:line="6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Certain of our government agency projects contain goals for minimum minority business enterprise (“MBE”) and/or disadvantaged business enterprise (“DBE”) participation clauses. If we subsequently fail to reach our goals for the minimum MBE and/or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makes us more vulnerable to adverse economic and competitive conditions.</w:t>
      </w:r>
    </w:p>
    <w:p>
      <w:pPr>
        <w:spacing w:after="0" w:line="117" w:lineRule="exact"/>
        <w:rPr>
          <w:sz w:val="20"/>
          <w:szCs w:val="20"/>
          <w:color w:val="auto"/>
        </w:rPr>
      </w:pPr>
    </w:p>
    <w:p>
      <w:pPr>
        <w:jc w:val="both"/>
        <w:ind w:right="20" w:firstLine="510"/>
        <w:spacing w:after="0" w:line="301" w:lineRule="auto"/>
        <w:rPr>
          <w:sz w:val="20"/>
          <w:szCs w:val="20"/>
          <w:color w:val="auto"/>
        </w:rPr>
      </w:pPr>
      <w:r>
        <w:rPr>
          <w:rFonts w:ascii="Arial" w:cs="Arial" w:eastAsia="Arial" w:hAnsi="Arial"/>
          <w:sz w:val="16"/>
          <w:szCs w:val="16"/>
          <w:color w:val="auto"/>
        </w:rPr>
        <w:t>We currently have a substantial amount of indebtedness. As of December 31, 2020, we had indebtedness of $325.0 million, consisting of our senior subordinated notes. Currently, we have no borrowings on our revolving credit facility and approximately $36.4 million of undrawn letters of credit, leaving $163.2 million of additional borrowing capacity under our revolving credit facility. These figures exclude contingent obligations, including $1.2 billion of performance bonds outstanding under the Company’s agreements with the Sureties and other bonding agreements. Our level of indebtedness could:</w:t>
      </w:r>
    </w:p>
    <w:p>
      <w:pPr>
        <w:spacing w:after="0" w:line="49" w:lineRule="exact"/>
        <w:rPr>
          <w:sz w:val="20"/>
          <w:szCs w:val="20"/>
          <w:color w:val="auto"/>
        </w:rPr>
      </w:pPr>
    </w:p>
    <w:p>
      <w:pPr>
        <w:ind w:left="1000" w:right="240" w:hanging="493"/>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our financing arrangements limit, and other future financing agreements may limit, our ability to operate our business.</w:t>
      </w:r>
    </w:p>
    <w:p>
      <w:pPr>
        <w:spacing w:after="0" w:line="1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credit agreement governing our senior revolving credit facility and the indenture governing our senior notes contain, and any of our other future financing agreements may contain covenants imposing operating and financial restrictions on our business.</w:t>
      </w:r>
    </w:p>
    <w:p>
      <w:pPr>
        <w:spacing w:after="0" w:line="17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For example,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 governing our senior revolving credit facility and the indenture governing our senior notes, subject to specified exceptions and to varying degrees, restrict our ability to, among other things:</w:t>
      </w:r>
    </w:p>
    <w:p>
      <w:pPr>
        <w:spacing w:after="0" w:line="53"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operating leases;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 loans and advancements;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reorganize with, or dispose of all or substantially all assets to, a third party;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 or redeem other indebtedness;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certain types of capital stock.</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access capital and meet liquidity needs.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spacing w:after="0" w:line="18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spacing w:after="0" w:line="19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credit capacity, which would adversely affect our operations and business.</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use credit facilities to support our working capital and acquisition needs. If we exhaust our borrowing capacity under our Amended Credit Agreement, and cash flows from operations do not increase sufficiently, our ability to fund the working capital, capital expenditure and other needs of our existing operations could be constrained and our business and results of operations could be materially adversely affected. If we experience operational difficulties or our operating results do not improve, we may need to increase our available borrowing capacity or seek amendments to the terms of our Amended Credit Agreement. Our Amended Credit Agreement is scheduled to expire on May 3, 2024. We are seeking to enter into new arrangements on terms that are more favorable than the terms of the Amended Credit Agreement, but we cannot guarantee that we will be able to obtain financing on commercially reasonable terms or at all, or alternatively that we will be able to secure any additional capacity or amend our Amended Credit Agreement or do so on terms that are acceptable to us, in which case, our costs of borrowing could rise and our business and results of operations could be materially adversely affected.</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for derivative transactions could adversely impact our ability to hedge interest rate, currency or commodity risks.</w:t>
      </w:r>
    </w:p>
    <w:p>
      <w:pPr>
        <w:spacing w:after="0" w:line="129"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may be subject to foreign exchange risks, which could result in large cash losses.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exposed to market risk associated with changes in foreign currency exchange rates. The primary foreign currency to which the Company has exposure is the Bahraini dinar.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Bahraini dinar were no longer to be so pegged, whether due to civil unrest in Bahrain or otherwise, the Company could become subject to additional, and substantial, foreign currency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and extensions of payment terms for, privately financed projects could result in significant losses.</w:t>
      </w:r>
    </w:p>
    <w:p>
      <w:pPr>
        <w:spacing w:after="0" w:line="117"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7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our stockholders may consider favorable.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40"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the ability of stockholders to amend our charter documents, including stockholder supermajority voting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80" w:firstLine="510"/>
        <w:spacing w:after="0" w:line="263"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not receive dividends, including because of restrictions in our debt agreements or Delaware law.</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our Amended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Significant fluctuations in the market price of our common stock may affect the ability of holders to resell our common stock at prices that they find attractive.</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announcements of strategic developments, significant contracts, acquisitions and other material events by us or our competitors;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methods of accounting for recognizing revenue involve significant estimates and could result in a change in previously recorded revenue and profit.</w:t>
      </w:r>
    </w:p>
    <w:p>
      <w:pPr>
        <w:spacing w:after="0" w:line="62"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We recognize revenue on our projects using generally accepted accounting principles in the United States (“GAAP”) including the percentage-of-completion method prior to December 31, 2017 and guidance from Revenue from Contracts with Customers, as amended (commonly referred to as ASC</w:t>
      </w:r>
    </w:p>
    <w:p>
      <w:pPr>
        <w:ind w:right="340" w:firstLine="8"/>
        <w:spacing w:after="0" w:line="260" w:lineRule="auto"/>
        <w:tabs>
          <w:tab w:leader="none" w:pos="3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subsequent to year-end December 31, 2017. The majority of our work is performed on a fixed-price basis. Contract revenue is recorded over time based on estimates which we develop from information known to us at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jc w:val="both"/>
        <w:ind w:right="60"/>
        <w:spacing w:after="0" w:line="263" w:lineRule="auto"/>
        <w:rPr>
          <w:sz w:val="20"/>
          <w:szCs w:val="20"/>
          <w:color w:val="auto"/>
        </w:rPr>
      </w:pPr>
      <w:r>
        <w:rPr>
          <w:rFonts w:ascii="Arial" w:cs="Arial" w:eastAsia="Arial" w:hAnsi="Arial"/>
          <w:sz w:val="18"/>
          <w:szCs w:val="18"/>
          <w:color w:val="auto"/>
        </w:rPr>
        <w:t>time of recording, 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skilled labor and key personnel, including governance personnel, our business, results of operations, cash flows or financial condition could be materially and adversely affected.</w:t>
      </w:r>
    </w:p>
    <w:p>
      <w:pPr>
        <w:spacing w:after="0" w:line="62"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93"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spacing w:after="0" w:line="200" w:lineRule="exact"/>
        <w:rPr>
          <w:sz w:val="20"/>
          <w:szCs w:val="20"/>
          <w:color w:val="auto"/>
        </w:rPr>
      </w:pPr>
    </w:p>
    <w:p>
      <w:pPr>
        <w:spacing w:after="0" w:line="3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Disruption, failure, data corruption, cyber-based attacks or security breaches of our IT systems could adversely affect our business and results of operations.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information technology (“IT”) systems in order to achieve our business objectives, including to transmit and store electronic information, to capture knowledge of our business including vessel operation systems containing information about 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its data, loss or damage to its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Impairments to our goodwill or other intangible assets could negatively affect our financial condition and results of operations.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cash flows or financial condition.</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13"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Type of</w:t>
            </w:r>
          </w:p>
        </w:tc>
        <w:tc>
          <w:tcPr>
            <w:tcW w:w="84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Size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Facility</w:t>
            </w:r>
          </w:p>
        </w:tc>
        <w:tc>
          <w:tcPr>
            <w:tcW w:w="8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Staten Island, NY</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Yard</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Morgan City, LA</w:t>
            </w: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Yard</w:t>
            </w: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Acres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Norfolk, VA</w:t>
            </w:r>
          </w:p>
        </w:tc>
        <w:tc>
          <w:tcPr>
            <w:tcW w:w="12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Yard</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Channelview, TX</w:t>
            </w: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tcPr>
          <w:p>
            <w:pPr>
              <w:jc w:val="right"/>
              <w:spacing w:after="0"/>
              <w:rPr>
                <w:sz w:val="20"/>
                <w:szCs w:val="20"/>
                <w:color w:val="auto"/>
              </w:rPr>
            </w:pPr>
            <w:r>
              <w:rPr>
                <w:rFonts w:ascii="Arial" w:cs="Arial" w:eastAsia="Arial" w:hAnsi="Arial"/>
                <w:sz w:val="18"/>
                <w:szCs w:val="18"/>
                <w:color w:val="auto"/>
              </w:rPr>
              <w:t>1,302</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Cape Girardeau, MO</w:t>
            </w:r>
          </w:p>
        </w:tc>
        <w:tc>
          <w:tcPr>
            <w:tcW w:w="12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Cape Girardeau, MO</w:t>
            </w: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Storage</w:t>
            </w:r>
          </w:p>
        </w:tc>
        <w:tc>
          <w:tcPr>
            <w:tcW w:w="840" w:type="dxa"/>
            <w:vAlign w:val="bottom"/>
          </w:tcPr>
          <w:p>
            <w:pPr>
              <w:jc w:val="right"/>
              <w:spacing w:after="0"/>
              <w:rPr>
                <w:sz w:val="20"/>
                <w:szCs w:val="20"/>
                <w:color w:val="auto"/>
              </w:rPr>
            </w:pPr>
            <w:r>
              <w:rPr>
                <w:rFonts w:ascii="Arial" w:cs="Arial" w:eastAsia="Arial" w:hAnsi="Arial"/>
                <w:sz w:val="18"/>
                <w:szCs w:val="18"/>
                <w:color w:val="auto"/>
              </w:rPr>
              <w:t>7,200</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Cape Girardeau, MO</w:t>
            </w:r>
          </w:p>
        </w:tc>
        <w:tc>
          <w:tcPr>
            <w:tcW w:w="12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Yard</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Houston, TX</w:t>
            </w: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tcPr>
          <w:p>
            <w:pPr>
              <w:jc w:val="right"/>
              <w:spacing w:after="0"/>
              <w:rPr>
                <w:sz w:val="20"/>
                <w:szCs w:val="20"/>
                <w:color w:val="auto"/>
              </w:rPr>
            </w:pPr>
            <w:r>
              <w:rPr>
                <w:rFonts w:ascii="Arial" w:cs="Arial" w:eastAsia="Arial" w:hAnsi="Arial"/>
                <w:sz w:val="18"/>
                <w:szCs w:val="18"/>
                <w:color w:val="auto"/>
              </w:rPr>
              <w:t>2,894</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Jacksonville, FL</w:t>
            </w:r>
          </w:p>
        </w:tc>
        <w:tc>
          <w:tcPr>
            <w:tcW w:w="12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w:t>
            </w:r>
          </w:p>
        </w:tc>
        <w:tc>
          <w:tcPr>
            <w:tcW w:w="1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Oakbrook Terrace, IL</w:t>
            </w:r>
          </w:p>
        </w:tc>
        <w:tc>
          <w:tcPr>
            <w:tcW w:w="1240" w:type="dxa"/>
            <w:vAlign w:val="bottom"/>
            <w:gridSpan w:val="3"/>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tcPr>
          <w:p>
            <w:pPr>
              <w:jc w:val="right"/>
              <w:spacing w:after="0"/>
              <w:rPr>
                <w:sz w:val="20"/>
                <w:szCs w:val="20"/>
                <w:color w:val="auto"/>
              </w:rPr>
            </w:pPr>
            <w:r>
              <w:rPr>
                <w:rFonts w:ascii="Arial" w:cs="Arial" w:eastAsia="Arial" w:hAnsi="Arial"/>
                <w:sz w:val="18"/>
                <w:szCs w:val="18"/>
                <w:color w:val="auto"/>
              </w:rPr>
              <w:t>44,219</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Houston, TX</w:t>
            </w:r>
          </w:p>
        </w:tc>
        <w:tc>
          <w:tcPr>
            <w:tcW w:w="12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Office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23,336</w:t>
            </w:r>
          </w:p>
        </w:tc>
        <w:tc>
          <w:tcPr>
            <w:tcW w:w="1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Square feet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For additional discussion of certain litigation involving the Company, see the disclosures under “Legal proceedings and other contingencies” included within Note 13, “Commitments and contingencies,” to the Company’s consolidated financial statements.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Arial" w:cs="Arial" w:eastAsia="Arial" w:hAnsi="Arial"/>
          <w:sz w:val="18"/>
          <w:szCs w:val="18"/>
          <w:color w:val="auto"/>
        </w:rPr>
        <w:t>Our common stock is traded under the symbol “GLDD” on the NASDAQ Global Market.</w:t>
      </w:r>
    </w:p>
    <w:p>
      <w:pPr>
        <w:spacing w:after="0" w:line="225"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graph below shows the cumulative total return to stockholders of the Company’s common stock during a five year period ended December 31, 2020, the last trading day of our 2020 fiscal year, compared with the return on the NASDAQ Composite Index and a group of our peers which we use internally as a benchmark for our performance. The graph assumes initial investments of $100 each on December 31, 2015, in GLDD stock (assuming reinvestment of all dividends paid during the period), the NASDAQ Composite Index and the peer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108585</wp:posOffset>
            </wp:positionV>
            <wp:extent cx="6172200" cy="4046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12/31/2015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12/31/2016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12/31/2017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12/31/2018</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12/31/2019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12/31/2020</w:t>
            </w:r>
          </w:p>
        </w:tc>
        <w:tc>
          <w:tcPr>
            <w:tcW w:w="100" w:type="dxa"/>
            <w:vAlign w:val="bottom"/>
          </w:tcPr>
          <w:p>
            <w:pPr>
              <w:spacing w:after="0"/>
              <w:rPr>
                <w:sz w:val="14"/>
                <w:szCs w:val="14"/>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Great Lakes Dredge &amp; Dock Corp</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167.17</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286.11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Peer Average (see below)</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257.38</w:t>
            </w:r>
          </w:p>
        </w:tc>
        <w:tc>
          <w:tcPr>
            <w:tcW w:w="100" w:type="dxa"/>
            <w:vAlign w:val="bottom"/>
            <w:shd w:val="clear" w:color="auto" w:fill="CFF0FC"/>
          </w:tcPr>
          <w:p>
            <w:pPr>
              <w:spacing w:after="0"/>
              <w:rPr>
                <w:sz w:val="19"/>
                <w:szCs w:val="19"/>
                <w:color w:val="auto"/>
              </w:rPr>
            </w:pPr>
          </w:p>
        </w:tc>
      </w:tr>
      <w:tr>
        <w:trPr>
          <w:trHeight w:val="648"/>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color w:val="auto"/>
        </w:rPr>
        <w:t>The peer group in the graph above is comprised of the following member companies:</w:t>
      </w:r>
    </w:p>
    <w:p>
      <w:pPr>
        <w:spacing w:after="0" w:line="230" w:lineRule="exact"/>
        <w:rPr>
          <w:sz w:val="20"/>
          <w:szCs w:val="20"/>
          <w:color w:val="auto"/>
        </w:rPr>
      </w:pPr>
    </w:p>
    <w:tbl>
      <w:tblPr>
        <w:tblLayout w:type="fixed"/>
        <w:tblInd w:w="1600" w:type="dxa"/>
        <w:tblCellMar>
          <w:top w:w="0" w:type="dxa"/>
          <w:left w:w="0" w:type="dxa"/>
          <w:bottom w:w="0" w:type="dxa"/>
          <w:right w:w="0" w:type="dxa"/>
        </w:tblCellMar>
      </w:tblPr>
      <w:tr>
        <w:trPr>
          <w:trHeight w:val="17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Arial" w:cs="Arial" w:eastAsia="Arial" w:hAnsi="Arial"/>
                <w:sz w:val="14"/>
                <w:szCs w:val="14"/>
                <w:b w:val="1"/>
                <w:bCs w:val="1"/>
                <w:color w:val="auto"/>
              </w:rPr>
              <w:t>Ticker</w:t>
            </w:r>
          </w:p>
        </w:tc>
      </w:tr>
      <w:tr>
        <w:trPr>
          <w:trHeight w:val="223"/>
        </w:trPr>
        <w:tc>
          <w:tcPr>
            <w:tcW w:w="20" w:type="dxa"/>
            <w:vAlign w:val="bottom"/>
          </w:tcPr>
          <w:p>
            <w:pPr>
              <w:spacing w:after="0"/>
              <w:rPr>
                <w:sz w:val="19"/>
                <w:szCs w:val="19"/>
                <w:color w:val="auto"/>
              </w:rPr>
            </w:pPr>
          </w:p>
        </w:tc>
        <w:tc>
          <w:tcPr>
            <w:tcW w:w="6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Aegion Corporation, successor to Insituform Technologies, Inc.</w:t>
            </w:r>
          </w:p>
        </w:tc>
        <w:tc>
          <w:tcPr>
            <w:tcW w:w="18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AEGN</w:t>
            </w: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Ameresco</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AMRC</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Argan,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AGX</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Badger Daylighting Ltd</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BADFF</w:t>
            </w: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Construction Partners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ROAD</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Hill International</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HIL</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IES Holdings</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IESC</w:t>
            </w: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Infrastructure &amp; Energy Alternatives</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IEA</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Limbach Holdings</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LMB</w:t>
            </w: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Logistec Corporation</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LGT</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Matrix Service Company</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MTRX</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Mistras Group</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MG</w:t>
            </w: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MYR Group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MYRG</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NV5 Global Inc</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NVEE</w:t>
            </w: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Orion Marine Group,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ORN</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Seacor Holdings</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CKH</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Sterling Construction Company,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STRL</w:t>
            </w: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Team, Inc.</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TISI</w:t>
            </w:r>
          </w:p>
        </w:tc>
      </w:tr>
      <w:tr>
        <w:trPr>
          <w:trHeight w:val="22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Tidewater Inc.</w:t>
            </w:r>
          </w:p>
        </w:tc>
        <w:tc>
          <w:tcPr>
            <w:tcW w:w="2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TDW</w:t>
            </w:r>
          </w:p>
        </w:tc>
      </w:tr>
    </w:tbl>
    <w:p>
      <w:pPr>
        <w:spacing w:after="0" w:line="229"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Given the usage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As of February 19, 2021, the Company had approximately 21 shareholders of record of the Company’s common stock. A substantial number of holders of the Company’s common stock are “street name” or beneficial holders, whose shares are held of record by banks, brokers and other financial institutions.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 provides information regarding purchases of the Company’s common stock by the Company during the year ended December 31, 2020: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Number of Shares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Purchased as Part of</w:t>
            </w:r>
          </w:p>
        </w:tc>
        <w:tc>
          <w:tcPr>
            <w:tcW w:w="8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b w:val="1"/>
                <w:bCs w:val="1"/>
                <w:color w:val="auto"/>
                <w:w w:val="94"/>
              </w:rPr>
              <w:t>Maximum Aggregate Dollar Value That</w:t>
            </w: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Price Paid</w:t>
            </w:r>
          </w:p>
        </w:tc>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Publicly Announced Plans</w:t>
            </w:r>
          </w:p>
        </w:tc>
        <w:tc>
          <w:tcPr>
            <w:tcW w:w="8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May Yet Be Purchased Under the Plans</w:t>
            </w: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 Share</w:t>
            </w:r>
          </w:p>
        </w:tc>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40" w:type="dxa"/>
            <w:vAlign w:val="bottom"/>
          </w:tcPr>
          <w:p>
            <w:pPr>
              <w:jc w:val="right"/>
              <w:ind w:right="910"/>
              <w:spacing w:after="0"/>
              <w:rPr>
                <w:sz w:val="20"/>
                <w:szCs w:val="20"/>
                <w:color w:val="auto"/>
              </w:rPr>
            </w:pPr>
            <w:r>
              <w:rPr>
                <w:rFonts w:ascii="Arial" w:cs="Arial" w:eastAsia="Arial" w:hAnsi="Arial"/>
                <w:sz w:val="18"/>
                <w:szCs w:val="18"/>
                <w:b w:val="1"/>
                <w:bCs w:val="1"/>
                <w:color w:val="auto"/>
              </w:rPr>
              <w:t>or Programs (1)</w:t>
            </w:r>
          </w:p>
        </w:tc>
      </w:tr>
      <w:tr>
        <w:trPr>
          <w:trHeight w:val="223"/>
        </w:trPr>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September 1, 2020 - September 30, 2020</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424,739</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424,739</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71,140,429</w:t>
            </w: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1, 2020 - October 31, 2020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1,400</w:t>
            </w:r>
          </w:p>
        </w:tc>
        <w:tc>
          <w:tcPr>
            <w:tcW w:w="5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71,127,473</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December 1, 2020 - December 31, 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71,127,473</w:t>
            </w:r>
          </w:p>
        </w:tc>
      </w:tr>
      <w:tr>
        <w:trPr>
          <w:trHeight w:val="223"/>
        </w:trPr>
        <w:tc>
          <w:tcPr>
            <w:tcW w:w="3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426,139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426,139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71,127,473</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ind w:left="-8" w:firstLine="8"/>
        <w:spacing w:after="0" w:line="263" w:lineRule="auto"/>
        <w:tabs>
          <w:tab w:leader="none" w:pos="2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4, 2020, the Company announced a share repurchase program approved by its board of directors, authorizing, but not obligating, the repurchase of up to an aggregate amount of $75,000,000 of its common stock, up to a pre-determined price ceiling per our internal guidance, from time to time through July 31, 2021.</w:t>
      </w:r>
    </w:p>
    <w:p>
      <w:pPr>
        <w:spacing w:after="0" w:line="18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2"/>
          </w:cols>
          <w:pgMar w:left="328" w:top="449" w:right="49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259" w:lineRule="exact"/>
        <w:rPr>
          <w:sz w:val="20"/>
          <w:szCs w:val="20"/>
          <w:color w:val="auto"/>
        </w:rPr>
      </w:pPr>
    </w:p>
    <w:tbl>
      <w:tblPr>
        <w:tblLayout w:type="fixed"/>
        <w:tblInd w:w="520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r>
    </w:tbl>
    <w:p>
      <w:pPr>
        <w:spacing w:after="0" w:line="4"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(in millions except shares in thousands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Contract revenues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733.6</w:t>
            </w:r>
          </w:p>
        </w:tc>
        <w:tc>
          <w:tcPr>
            <w:tcW w:w="14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620.8</w:t>
            </w:r>
          </w:p>
        </w:tc>
        <w:tc>
          <w:tcPr>
            <w:tcW w:w="140" w:type="dxa"/>
            <w:vAlign w:val="bottom"/>
          </w:tcPr>
          <w:p>
            <w:pPr>
              <w:spacing w:after="0"/>
              <w:rPr>
                <w:sz w:val="20"/>
                <w:szCs w:val="20"/>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592.2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 — net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2"/>
              </w:rPr>
              <w:t>Basic earnings (loss) per share attributable to income from continuing</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operations (1)</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w w:val="94"/>
              </w:rPr>
              <w:t>Basic loss per share attributable to loss on discontinued operations,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of income taxes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Diluted earnings (loss) per share attributable to income from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continuing operations (1)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0"/>
                <w:szCs w:val="20"/>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2"/>
              </w:rPr>
              <w:t>Diluted loss per share attributable to loss on discontinued operations,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of income taxes</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 earnings (loss) per share</w:t>
            </w: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7"/>
          </w:tcPr>
          <w:p>
            <w:pPr>
              <w:jc w:val="right"/>
              <w:ind w:right="6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(in millions)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8"/>
                <w:szCs w:val="18"/>
                <w:color w:val="auto"/>
              </w:rPr>
              <w:t>Other Data: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 (2)</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cash flows from operating activities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cash flows (used in) from financing activities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Maintenance expense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right="200" w:hanging="492"/>
        <w:spacing w:after="0" w:line="258"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 to Note 2, “Earnings per share,” in the Company’s consolidated financial statements for the years ended December 31, 2020, 2019 and 2018 and above information for additional details regarding these calculations.</w:t>
      </w:r>
    </w:p>
    <w:p>
      <w:pPr>
        <w:spacing w:after="0" w:line="1" w:lineRule="exact"/>
        <w:rPr>
          <w:rFonts w:ascii="Arial" w:cs="Arial" w:eastAsia="Arial" w:hAnsi="Arial"/>
          <w:sz w:val="18"/>
          <w:szCs w:val="18"/>
          <w:color w:val="auto"/>
        </w:rPr>
      </w:pPr>
    </w:p>
    <w:p>
      <w:pPr>
        <w:ind w:left="500" w:right="420" w:hanging="492"/>
        <w:spacing w:after="0" w:line="260"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definition of Adjusted EBITDA from continuing operations in Item 7. “Management’s Discussion and Analysis of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207"/>
        </w:trPr>
        <w:tc>
          <w:tcPr>
            <w:tcW w:w="4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54"/>
              <w:spacing w:after="0"/>
              <w:rPr>
                <w:sz w:val="20"/>
                <w:szCs w:val="20"/>
                <w:color w:val="auto"/>
              </w:rPr>
            </w:pPr>
            <w:r>
              <w:rPr>
                <w:rFonts w:ascii="Arial" w:cs="Arial" w:eastAsia="Arial" w:hAnsi="Arial"/>
                <w:sz w:val="16"/>
                <w:szCs w:val="16"/>
                <w:color w:val="auto"/>
                <w:w w:val="98"/>
              </w:rPr>
              <w:t>(in millions)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216.5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34.5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186.4</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958.0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897.6</w:t>
            </w:r>
          </w:p>
        </w:tc>
        <w:tc>
          <w:tcPr>
            <w:tcW w:w="240" w:type="dxa"/>
            <w:vAlign w:val="bottom"/>
          </w:tcPr>
          <w:p>
            <w:pPr>
              <w:spacing w:after="0"/>
              <w:rPr>
                <w:sz w:val="19"/>
                <w:szCs w:val="19"/>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730.3</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832.4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893.6</w:t>
            </w: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promissory notes and subordinated notes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323.7</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322.0</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428.1</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346.7</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279.4</w:t>
            </w:r>
          </w:p>
        </w:tc>
        <w:tc>
          <w:tcPr>
            <w:tcW w:w="24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221.3</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operates in one reportable segment.</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w:t>
      </w:r>
    </w:p>
    <w:p>
      <w:pPr>
        <w:spacing w:after="0" w:line="186"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During the second quarter of 2019, the Company completed the sale of our historical environmental &amp; infrastructure business. The historical environmental &amp; infrastructure segment has been retrospectively presented as discontinued operations and assets and liabilities held for sale and is no longer reflected in continuing operations. Refer to Note 14, “Business dispositions,” to our consolidated financial statements included in Item 15 of this Annual Report on Form 10-K.</w:t>
      </w:r>
    </w:p>
    <w:p>
      <w:pPr>
        <w:spacing w:after="0" w:line="187"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8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The Company’s largest domestic dredging customer is the U.S. Army Corps of Engineers (the “Corps”); the Corps oversees the majority of these critical infrastructure projects and, in this capacity, has continued to follow their bid schedule and prioritize all types of dredging including port maintenance and expansion and coastal protection projects that are necessary to avoid potential storm damage during hurricane season. Despite the uncertainty surrounding COVID-19, to date, the Corps is continuing to advertise new projects and the Company’s project work has only experienced minor delays.</w:t>
      </w:r>
    </w:p>
    <w:p>
      <w:pPr>
        <w:spacing w:after="0" w:line="177"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auto"/>
        </w:rPr>
        <w:t>Executive Management established a COVID-19 Command Team that meets several times each week to update contingency plans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 On vessels and job sites, the Company has instituted fewer employee shift changes and increased sanitary and social distancing measures. Although we have had crew members on certain of our vessels contract COVID-19, such instances have not to date had a material impact on our business. Since March, the Company’s corporate employees have effectively transitioned to a remote working environment and have discontinued non-essential travel to follow recommended physical and social distancing guidelines in order to reduce the risk of infection.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As of December 31, 2020, the Company experienced some project delays due to COVID-19 but overall business has not been significantly impacted. Due to the uncertainty that surrounds this virus, the Company will be continually evaluating safety and operational contingency plans and the potential future impact that this evolving environment has on the Company’s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right="40" w:firstLine="510"/>
        <w:spacing w:after="0" w:line="255" w:lineRule="auto"/>
        <w:rPr>
          <w:sz w:val="20"/>
          <w:szCs w:val="20"/>
          <w:color w:val="auto"/>
        </w:rPr>
      </w:pPr>
      <w:r>
        <w:rPr>
          <w:rFonts w:ascii="Arial" w:cs="Arial" w:eastAsia="Arial" w:hAnsi="Arial"/>
          <w:sz w:val="18"/>
          <w:szCs w:val="18"/>
          <w:color w:val="auto"/>
        </w:rPr>
        <w:t>In 2020, the U.S. government enacted the Coronavirus Aid, Relief and Economic Security Act (the “CARES Act”) and other legislation which contain tax incentives designed to help businesses deal with the current economic turmoil caused by the pandemic. The coronavirus relief tax acts provide emergency economic stimulus which, among other things, includes various tax provisions relating to refundable payroll tax credits, deferment of the employer side of certain payroll taxes and social security payments, net operating loss carryback periods, alternative minimum tax credit refunds and modifications to the net interest deduction limitations. The Company has elected to defer the employer side of certain payroll taxes and expects to pay such amounts when due in 2021 and 2022.</w:t>
      </w:r>
    </w:p>
    <w:p>
      <w:pPr>
        <w:spacing w:after="0" w:line="19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2020, the Company announced the relocation of its headquarters from Illinois to Houston, Texas, with the new Houston office lease beginning in January 2021. The relocation will place the Company closer to key regional customers and new markets, especially along the Gulf Coast and the Mississippi River.</w:t>
      </w:r>
    </w:p>
    <w:p>
      <w:pPr>
        <w:spacing w:after="0" w:line="184"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39% over the prior three years, including 56%, 53%, 16% and 45% of the domestic capital, coastal protection, maintenance and rivers &amp; lakes sectors, respectively.</w:t>
      </w:r>
    </w:p>
    <w:p>
      <w:pPr>
        <w:spacing w:after="0" w:line="14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Company’s fleet, which includes 20 dredges, 17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w:t>
      </w:r>
    </w:p>
    <w:p>
      <w:pPr>
        <w:spacing w:after="0" w:line="17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As mentioned above, the Company’s largest domestic customer is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2020, our revenues earned from contracts with federal government agencies were approximately 79% of total revenue, up from our prior three year average of 74%.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4"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results of operations for a calendar or quarterly period are generally determined by the following three factors:</w:t>
      </w:r>
    </w:p>
    <w:p>
      <w:pPr>
        <w:spacing w:after="0" w:line="117" w:lineRule="exact"/>
        <w:rPr>
          <w:sz w:val="20"/>
          <w:szCs w:val="20"/>
          <w:color w:val="auto"/>
        </w:rPr>
      </w:pPr>
    </w:p>
    <w:p>
      <w:pPr>
        <w:ind w:left="1000" w:hanging="493"/>
        <w:spacing w:after="0" w:line="293"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Bid wins and dredge employment</w:t>
      </w:r>
      <w:r>
        <w:rPr>
          <w:rFonts w:ascii="Arial" w:cs="Arial" w:eastAsia="Arial" w:hAnsi="Arial"/>
          <w:sz w:val="16"/>
          <w:szCs w:val="16"/>
          <w:color w:val="auto"/>
        </w:rPr>
        <w:t>— The Company recognizes backlog upon a project being awarded. We begin to recognize revenues when a</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spacing w:after="0" w:line="56" w:lineRule="exact"/>
        <w:rPr>
          <w:rFonts w:ascii="Arial" w:cs="Arial" w:eastAsia="Arial" w:hAnsi="Arial"/>
          <w:sz w:val="16"/>
          <w:szCs w:val="16"/>
          <w:color w:val="auto"/>
        </w:rPr>
      </w:pPr>
    </w:p>
    <w:p>
      <w:pPr>
        <w:ind w:left="1000" w:right="20" w:hanging="493"/>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 The Company’s domestic dredging projects generally involve capital, maintenance, coastal protection and rivers &amp;</w:t>
      </w:r>
      <w:r>
        <w:rPr>
          <w:rFonts w:ascii="Arial" w:cs="Arial" w:eastAsia="Arial" w:hAnsi="Arial"/>
          <w:sz w:val="18"/>
          <w:szCs w:val="18"/>
          <w:i w:val="1"/>
          <w:iCs w:val="1"/>
          <w:color w:val="auto"/>
        </w:rPr>
        <w:t xml:space="preserve"> </w:t>
      </w:r>
      <w:r>
        <w:rPr>
          <w:rFonts w:ascii="Arial" w:cs="Arial" w:eastAsia="Arial" w:hAnsi="Arial"/>
          <w:sz w:val="18"/>
          <w:szCs w:val="18"/>
          <w:color w:val="auto"/>
        </w:rPr>
        <w:t>lakes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spacing w:after="0" w:line="84" w:lineRule="exact"/>
        <w:rPr>
          <w:rFonts w:ascii="Arial" w:cs="Arial" w:eastAsia="Arial" w:hAnsi="Arial"/>
          <w:sz w:val="18"/>
          <w:szCs w:val="18"/>
          <w:color w:val="auto"/>
        </w:rPr>
      </w:pPr>
    </w:p>
    <w:p>
      <w:pPr>
        <w:ind w:left="1020" w:right="40"/>
        <w:spacing w:after="0" w:line="271" w:lineRule="auto"/>
        <w:rPr>
          <w:rFonts w:ascii="Arial" w:cs="Arial" w:eastAsia="Arial" w:hAnsi="Arial"/>
          <w:sz w:val="18"/>
          <w:szCs w:val="18"/>
          <w:color w:val="auto"/>
        </w:rPr>
      </w:pPr>
      <w:r>
        <w:rPr>
          <w:rFonts w:ascii="Arial" w:cs="Arial" w:eastAsia="Arial" w:hAnsi="Arial"/>
          <w:sz w:val="17"/>
          <w:szCs w:val="17"/>
          <w:color w:val="auto"/>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spacing w:after="0" w:line="70" w:lineRule="exact"/>
        <w:rPr>
          <w:rFonts w:ascii="Arial" w:cs="Arial" w:eastAsia="Arial" w:hAnsi="Arial"/>
          <w:sz w:val="18"/>
          <w:szCs w:val="18"/>
          <w:color w:val="auto"/>
        </w:rPr>
      </w:pPr>
    </w:p>
    <w:p>
      <w:pPr>
        <w:ind w:left="1000" w:right="100" w:hanging="493"/>
        <w:spacing w:after="0" w:line="293"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Project execution</w:t>
      </w:r>
      <w:r>
        <w:rPr>
          <w:rFonts w:ascii="Arial" w:cs="Arial" w:eastAsia="Arial" w:hAnsi="Arial"/>
          <w:sz w:val="16"/>
          <w:szCs w:val="16"/>
          <w:color w:val="auto"/>
        </w:rPr>
        <w:t>—The Company seeks to execute all of our projects consistent with or at a higher production than our as-bid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In general, our ability to achieve our project estimates depends upon 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estimates. We do our best to estimate for events and circumstances that are not within our control; however, these situations are inherent in dredging.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Company’s significant accounting policies are discussed in the Notes to our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spacing w:after="0" w:line="178"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i w:val="1"/>
          <w:iCs w:val="1"/>
          <w:color w:val="auto"/>
        </w:rPr>
        <w:t>Cost-to-cost method of revenue recognition</w:t>
      </w:r>
      <w:r>
        <w:rPr>
          <w:rFonts w:ascii="Arial" w:cs="Arial" w:eastAsia="Arial" w:hAnsi="Arial"/>
          <w:sz w:val="17"/>
          <w:szCs w:val="17"/>
          <w:color w:val="auto"/>
        </w:rPr>
        <w:t>— Revenue is recognized using contract fulfillment costs incurred to date compared to total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at completion, also known as cost-to-cost, to measure progress towards completion. Additionally, we capitalize 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spacing w:after="0" w:line="17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right="40"/>
        <w:spacing w:after="0" w:line="273" w:lineRule="auto"/>
        <w:rPr>
          <w:sz w:val="20"/>
          <w:szCs w:val="20"/>
          <w:color w:val="auto"/>
        </w:rPr>
      </w:pPr>
      <w:r>
        <w:rPr>
          <w:rFonts w:ascii="Arial" w:cs="Arial" w:eastAsia="Arial" w:hAnsi="Arial"/>
          <w:sz w:val="17"/>
          <w:szCs w:val="17"/>
          <w:color w:val="auto"/>
        </w:rPr>
        <w:t>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21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i w:val="1"/>
          <w:iCs w:val="1"/>
          <w:color w:val="auto"/>
        </w:rPr>
        <w:t>Impairment of goodwill</w:t>
      </w:r>
      <w:r>
        <w:rPr>
          <w:rFonts w:ascii="Arial" w:cs="Arial" w:eastAsia="Arial" w:hAnsi="Arial"/>
          <w:sz w:val="17"/>
          <w:szCs w:val="17"/>
          <w:color w:val="auto"/>
        </w:rPr>
        <w:t>—Goodwill is tested for impairment at the reporting unit level on an annual basis and between annual tests if an event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w:t>
      </w:r>
    </w:p>
    <w:p>
      <w:pPr>
        <w:spacing w:after="0" w:line="23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227"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the current year, the Company assessed the fair value of our reporting unit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we believe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2" w:lineRule="exact"/>
        <w:rPr>
          <w:sz w:val="20"/>
          <w:szCs w:val="20"/>
          <w:color w:val="auto"/>
        </w:rPr>
      </w:pPr>
    </w:p>
    <w:p>
      <w:pPr>
        <w:ind w:right="520" w:firstLine="510"/>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We analyze companies that perform similar services or are considered peers. Due to the fact that there are no public companies that are direct competitors, we weigh the results of this approach less than the income approach.</w:t>
      </w:r>
    </w:p>
    <w:p>
      <w:pPr>
        <w:spacing w:after="0" w:line="17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has one operating segment which is also our one reportable segment and reporting unit. The historical environmental &amp; infrastructure segment has been retrospectively presented as discontinued operations and assets and liabilities held for sale and is no longer reflected in continuing operations. We performed our annual goodwill impairment test as of July 1, 2020 with no indication of impairment as of the test date. As of the test date, the fair value of the reporting unit was substantially in excess of its carrying value. We will perform the next scheduled annual test of goodwill in the third quarter of 2021 should no triggering events occur which would require a test prior to the next annual test. At December 31, 2020 and 2019, our goodwill was $76.6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Operations—Fiscal Years Ended December 31, 2020, 2019 and 2018</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following table sets forth the components of net income attributable to common stockholders of Great Lakes Dredge &amp; Dock Corporation and Adjusted EBITDA from continuing operations, as defined below, as a percentage of contract revenues for the years ended December 31 2020, 2019 and 2018. The selected financial data presented below have been derived from the Company’s consolidated financial statements; items may not sum due to rounding.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Contract revenues</w:t>
            </w:r>
          </w:p>
        </w:tc>
        <w:tc>
          <w:tcPr>
            <w:tcW w:w="1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(82.0)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2"/>
              </w:rPr>
              <w:t>Income from continuing operations before income taxes</w:t>
            </w:r>
          </w:p>
        </w:tc>
        <w:tc>
          <w:tcPr>
            <w:tcW w:w="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provision</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Loss from discontinued operations, net of income taxes</w:t>
            </w:r>
          </w:p>
        </w:tc>
        <w:tc>
          <w:tcPr>
            <w:tcW w:w="8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40" w:type="dxa"/>
            <w:vAlign w:val="bottom"/>
            <w:vMerge w:val="restart"/>
          </w:tcPr>
          <w:p>
            <w:pPr>
              <w:spacing w:after="0"/>
              <w:rPr>
                <w:sz w:val="11"/>
                <w:szCs w:val="11"/>
                <w:color w:val="auto"/>
              </w:rPr>
            </w:pPr>
          </w:p>
        </w:tc>
        <w:tc>
          <w:tcPr>
            <w:tcW w:w="4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jc w:val="right"/>
              <w:ind w:right="492"/>
              <w:spacing w:after="0"/>
              <w:rPr>
                <w:sz w:val="20"/>
                <w:szCs w:val="20"/>
                <w:color w:val="auto"/>
              </w:rPr>
            </w:pPr>
            <w:r>
              <w:rPr>
                <w:rFonts w:ascii="Arial" w:cs="Arial" w:eastAsia="Arial" w:hAnsi="Arial"/>
                <w:sz w:val="18"/>
                <w:szCs w:val="18"/>
                <w:color w:val="auto"/>
              </w:rPr>
              <w:t>39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2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our operating trends. We believe that Adjusted EBITDA from continuing operations is a measure frequently used to evaluate performance of companies with substantial leverage and that our primary stakeholders (i.e., its stockholders, bondholders and banks) use Adjusted EBITDA from continuing operations to evaluate our period to period performance. Additionally, management believes that Adjusted EBITDA from continuing operations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operating income to measure our operating performance and use Adjusted EBITDA from continuing operations only as a supplement. The following is a reconciliation of Adjusted EBITDA from continuing operations to net income (loss) attributable to common stockholders of Great Lakes Dredge &amp; Dock Corporation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9"/>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460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(17,309)</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Adjusted for:</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33,578</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expense</w:t>
            </w:r>
          </w:p>
        </w:tc>
        <w:tc>
          <w:tcPr>
            <w:tcW w:w="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50,389</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6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100,420</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contract revenues for the years ended December 31,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Capital—U.S.</w:t>
            </w:r>
          </w:p>
        </w:tc>
        <w:tc>
          <w:tcPr>
            <w:tcW w:w="22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336,163</w:t>
            </w:r>
          </w:p>
        </w:tc>
        <w:tc>
          <w:tcPr>
            <w:tcW w:w="52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299,706</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Capital—foreign</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Coastal protection</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182,369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Maintenance</w:t>
            </w:r>
          </w:p>
        </w:tc>
        <w:tc>
          <w:tcPr>
            <w:tcW w:w="1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Rivers &amp; lakes</w:t>
            </w:r>
          </w:p>
        </w:tc>
        <w:tc>
          <w:tcPr>
            <w:tcW w:w="1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21,418</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76,071</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Total revenue was $733.6 million in 2020, an increase of $22.1 million, or 3.1%, from 2019 total revenue of $711.5 million. The increase was largely attributable to increases in domestic capital, coastal protection and maintenance revenues as compared to the prior year. This increase was partially offset by a decrease in rivers &amp; lakes and foreign capital revenues during the current year as compared to the prior year. The Company categorizes revenue by service type to understand the market in which we operate and to assess how we are performing on bidding work or projects and are generating revenue from backlog.</w:t>
      </w:r>
    </w:p>
    <w:p>
      <w:pPr>
        <w:spacing w:after="0" w:line="188" w:lineRule="exact"/>
        <w:rPr>
          <w:sz w:val="20"/>
          <w:szCs w:val="20"/>
          <w:color w:val="auto"/>
        </w:rPr>
      </w:pPr>
    </w:p>
    <w:p>
      <w:pPr>
        <w:ind w:right="1040" w:firstLine="510"/>
        <w:spacing w:after="0" w:line="308" w:lineRule="auto"/>
        <w:rPr>
          <w:sz w:val="20"/>
          <w:szCs w:val="20"/>
          <w:color w:val="auto"/>
        </w:rPr>
      </w:pPr>
      <w:r>
        <w:rPr>
          <w:rFonts w:ascii="Arial" w:cs="Arial" w:eastAsia="Arial" w:hAnsi="Arial"/>
          <w:sz w:val="17"/>
          <w:szCs w:val="17"/>
          <w:color w:val="auto"/>
        </w:rPr>
        <w:t>Domestic capital dredging revenues increased $36.5 million, or 12.2%, to $336.2 million in 2020 when compared to 2019 revenues of $299.7 million. The increase in domestic capital dredging revenue was primarily driven by greater revenue earned from</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42" w:name="page43"/>
    <w:bookmarkEnd w:id="42"/>
    <w:p>
      <w:pPr>
        <w:ind w:right="20"/>
        <w:spacing w:after="0" w:line="311" w:lineRule="auto"/>
        <w:rPr>
          <w:sz w:val="20"/>
          <w:szCs w:val="20"/>
          <w:color w:val="auto"/>
        </w:rPr>
      </w:pPr>
      <w:r>
        <w:rPr>
          <w:rFonts w:ascii="Arial" w:cs="Arial" w:eastAsia="Arial" w:hAnsi="Arial"/>
          <w:sz w:val="16"/>
          <w:szCs w:val="16"/>
          <w:color w:val="auto"/>
        </w:rPr>
        <w:t>deepening projects in Charleston and Jacksonville and a coastal restoration project in Mississippi in the current year when compared to the prior year period. This increase was partially offset by a greater amount of revenue earned on deepening projects in Tampa, Corpus Christi and on the Delaware River during the prior year. We earned 78% of backlog relating to our capital dredging operations that had been carried forward from December 31, 2019.</w:t>
      </w:r>
    </w:p>
    <w:p>
      <w:pPr>
        <w:spacing w:after="0" w:line="14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Revenues from foreign dredging operations in 2020 totaled $25.9 million, a decrease of $22.7 million, or 46.7%, from 2019 revenues of $48.6 million. The decrease in foreign dredging revenue was driven by decreased revenue earned on a project in Bahrain in 2020 as compared to 2019. We earned 78% of backlog relating to our foreign dredging operations that had been carried forward from December 31, 2019.</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Coastal protection revenues were $201.4 million in 2020, an increase of $19.0 million, or 10.4%, from $182.4 million in 2019. The increase in coastal protection revenue for the year ended December 31, 2020 was mostly attributable to a greater amount of revenue earned on projects in Florida, Louisiana and Georgia in the current year as compared to the prior year. This increase was partially offset by a greater amount of revenue earned on projects in North Carolina and Delaware during the prior year when compared to the current year. We earned 100% of backlog relating to coastal protection operations that had been carried forward from December 31, 2019.</w:t>
      </w:r>
    </w:p>
    <w:p>
      <w:pPr>
        <w:spacing w:after="0" w:line="188"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Revenues from maintenance dredging projects in 2020 were $148.8 million, an increase of $44.0 million, or 42.0%, from $104.8 million in 2019. The increase in maintenance revenue during the current year was mostly attributable to revenue earned on projects in Maryland, Virginia, New York and New Jersey. This increase was partially offset by greater revenue earned on projects in Texas, North Carolina and South Carolina in the prior year when compared to the current year. We earned 100% of backlog relating to maintenance dredging projects that had been carried forward from December 31, 2019.</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Rivers &amp; lakes revenues were $21.4 million for 2020, a decrease of $54.7 million, or 71.9%, from $76.1 million in 2019. The decrease in rivers &amp; lakes revenue during the current year was mostly attributable to a greater amount of revenue earned during the prior year on a large flood mitigation project in Texas as a result of Hurricane Harvey, as well as a project in Louisiana, when compared to the current year. This decrease was partially offset by revenue earned on projects in Mississippi and Nebraska in the current year. We earned 97% of backlog relating to rivers &amp; lakes operations that had been carried forward from December 31, 2019.</w:t>
      </w:r>
    </w:p>
    <w:p>
      <w:pPr>
        <w:spacing w:after="0" w:line="18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Gross profit for the year ended December 31, 2020 increased by $17.4 million, or 11.3%, to $171.2 million from $153.8 million for the year ended December 31, 2019. Gross profit margin (gross profit divided by revenue) for the full year 2020 was 23.3%, higher than prior year gross profit margin of 21.6%. The higher gross profit for 2020 was driven by an increase in the profitability of the Company’s domestic capital, coastal protection and maintenance projects in the current year. This increase in profitability was partially offset by lower gross profit results in the rivers &amp; lakes dredging projects during the prior year.</w:t>
      </w:r>
    </w:p>
    <w:p>
      <w:pPr>
        <w:spacing w:after="0" w:line="188"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General and administrative expenses totaled $62.8 million for the year ended December 31, 2020, up from $59.1 million for the year ended December 31, 2019. The increase in general and administrative expense for the full year 2020 as compared to 2019 was attributable to an increase in payroll and benefits, mostly related to an increase in severance pay, increases in technical and consulting fees and increases in legal fees of $1.1 million, $0.8 million and $0.6 million, respectively. Additionally, there were increases related to relocation costs and office expenses in the current year when compared to the prior year.</w:t>
      </w:r>
    </w:p>
    <w:p>
      <w:pPr>
        <w:spacing w:after="0" w:line="188"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Operating income was $111.8 million and $98.1 million for the years ended December 31, 2020 and 2019, respectively. The increase in operating income during the year ended December 31, 2020 was a result of higher gross profit, as described above. This increase was partially offset by higher general and administrative expense compared to the prior year, as described above. Additionally, there was a $1.6 million gain on sale of assets as well as $2.9 million lower proceeds from loss of use claims for the year ended December 31, 2020 when comparing to the prior year.</w:t>
      </w:r>
    </w:p>
    <w:p>
      <w:pPr>
        <w:spacing w:after="0" w:line="15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Company’s net interest expense for 2020 totaled $26.6 million compared to $27.5 million in 2019. The decrease in interest expense was attributable to a decrease of $0.5 million in extinguishment of debt and $0.6 million of amortization of deferred financing fees when compared to the prior year period. Additionally, $0.6 million of capitalized interest contributed to the decrease in the current year when compared to the prior year. These decreases were offset by a $1.0 million decrease in interest income when comparing the current year to the prior year.</w:t>
      </w:r>
    </w:p>
    <w:p>
      <w:pPr>
        <w:spacing w:after="0" w:line="17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Income tax provision in 2020 was $20.2 million, compared to an income tax provision of $15.3 million in 2019. The change in income tax provision is primarily related to higher pretax income during the current year, as described above. The effective tax rate for the year ended December 31, 2020 was 23.4%, above the effective tax rate of 21.5% for the same period of 2019. The lower effective tax rate in the prior year was due to a change in deferred state tax rate that did not repeat in the current year.</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the year ended December 31, 2020, net income from continuing operations was $66.1 million compared to net income of $55.7 million for the year ended December 31, 2019. The increase in net income from continuing operations for the year ended December 31, 2020 was driven by the increase to gross profit, as described above, a $1.6 million gain on sale of assets, a decrease of interest expense, as described above, and an increase to other income of $0.8 million. This increase was partially offset by an increase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60"/>
        <w:spacing w:after="0" w:line="277" w:lineRule="auto"/>
        <w:rPr>
          <w:sz w:val="20"/>
          <w:szCs w:val="20"/>
          <w:color w:val="auto"/>
        </w:rPr>
      </w:pPr>
      <w:r>
        <w:rPr>
          <w:rFonts w:ascii="Arial" w:cs="Arial" w:eastAsia="Arial" w:hAnsi="Arial"/>
          <w:sz w:val="18"/>
          <w:szCs w:val="18"/>
          <w:color w:val="auto"/>
        </w:rPr>
        <w:t>to general and administrative expense, as described above, a $4.9 million increase in income tax provision and a decrease in proceeds of a loss of use claim of $2.9 million, during the current year when compared to the prior year.</w:t>
      </w:r>
    </w:p>
    <w:p>
      <w:pPr>
        <w:spacing w:after="0" w:line="170"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Adjusted EBITDA from continuing operations (as defined and reconciled on page 40) was $151.1 million and $135.6 million for the years ended December 31, 2020 and 2019, respectively. The increase in Adjusted EBITDA from continuing operations of $15.5 million, up 11.4% from 2019 was attributable to higher gross profit, excluding depreciation, a $1.6 million in gain on sale of assets, and an increase to other income of $0.8 million. This increase was partially offset by an increase to general and administrative expense, as described above and a decrease in proceeds of a loss of use claim of $2.9 million, during the current year when compared to the prior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35"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For a discussion comparing our consolidated operating results from the year ended December 31, 2019 with the year ended December 31, 2018, refer to Part II, Item 7. “Management’s Discussion and Analysis of Financial Condition and Results of Operation – Year Ended December 31, 2019 Compared to Year Ended December 31, 2018” in our Annual Report on Form 10-K for the year ended December 31, 2019, which was filed with the Commission on February 26,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backlog as of the dates indicated (in thousands):</w:t>
      </w:r>
    </w:p>
    <w:p>
      <w:pPr>
        <w:spacing w:after="0" w:line="298" w:lineRule="exact"/>
        <w:rPr>
          <w:sz w:val="20"/>
          <w:szCs w:val="20"/>
          <w:color w:val="auto"/>
        </w:rPr>
      </w:pPr>
    </w:p>
    <w:tbl>
      <w:tblPr>
        <w:tblLayout w:type="fixed"/>
        <w:tblInd w:w="1760" w:type="dxa"/>
        <w:tblCellMar>
          <w:top w:w="0" w:type="dxa"/>
          <w:left w:w="0" w:type="dxa"/>
          <w:bottom w:w="0" w:type="dxa"/>
          <w:right w:w="0" w:type="dxa"/>
        </w:tblCellMar>
      </w:tblPr>
      <w:tr>
        <w:trPr>
          <w:trHeight w:val="186"/>
        </w:trPr>
        <w:tc>
          <w:tcPr>
            <w:tcW w:w="2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Backlog</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270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Capital - U.S.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320,920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347,377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447,139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Capital - foreign</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6,865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30,571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Coastal protection</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97,986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141,039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Maintenance</w:t>
            </w: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125,090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60,891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Rivers &amp; lakes</w:t>
            </w:r>
          </w:p>
        </w:tc>
        <w:tc>
          <w:tcPr>
            <w:tcW w:w="1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9,528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559,376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589,406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70% of our 2020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Approximately 90% of the Company’s backlog at December 31, 2020 is expected to be completed and converted to revenue in 2021.</w:t>
      </w:r>
    </w:p>
    <w:p>
      <w:pPr>
        <w:spacing w:after="0" w:line="22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2020 domestic dredging bid market totaled $1,792 million, which is in line with the 2019 domestic dredging bid market of $1,786 million. Total domestic dredging bid market for the current year period included awards for additional phases of the Jacksonville, Charleston and Corpus Christi deepening projects, two coastal restoration projects in Louisiana, maintenance work on the Ohio and Mississippi River, hopper maintenance work on the West Coast and a liquefied natural gas (“LNG”) capital project in Louisiana. There were increases in domestic capital, maintenance and rivers and lakes projects let to bid in the current period and decreases in coastal protection projects. The Company won 39% of the overall 2020 domestic bid market, up from a 26% win rate of the overall 2019 domestic bid market. Variability in contract wins from period to period is not unusual. We believe trends in our win rate over the prior three year periods provide a historical background against which current year results can be compared.</w:t>
      </w:r>
    </w:p>
    <w:p>
      <w:pPr>
        <w:spacing w:after="0" w:line="16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Company’s December 31, 2020 contracted backlog was $559.4 million. This represents a decrease of $30.0 million, or 5.1%, over our December 31, 2019 backlog of $589.4 million. These amounts do not reflect approximately $472.3 million of domestic low bids pending formal award and additional phases (“options”) pending on projects currently in backlog, including two large LNG projects. At December 31, 2019, the amount of domestic low bids pending award was $201.3 million. Backlog at December 31,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and 2019 includes deepening projects in Charleston and Jacksonville totaling approximately $216 million and $254 million, respectively.</w:t>
      </w:r>
    </w:p>
    <w:p>
      <w:pPr>
        <w:spacing w:after="0" w:line="225"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The Company won 49%, or $308.7 million, of the domestic capital dredging projects awarded in 2020, compared to 20%, or $65.4 million, in the prior year. During 2020, the Company was awarded an additional phase of the Jacksonville Deepening project for $105 million, an additional phase of the Charleston Deepening project for $53 million, three projects in Louisiana which consisted of two coastal restoration projects of $30 million and $28 million, respectively, and an LNG project for a private client. Domestic capital dredging work made up $320.9 million, or 57%, of our December 31, 2020 contracted backlog. During 2020, we continued to earn revenue on deepening projects in Charleston, Jacksonville and Corpus Christi and a coastal restoration project in Mississippi, which were in backlog at December 31, 2019. We expect 85% of our domestic capital backlog at December 31, 2020 to be performed in 2021, with the remainder to be performed in 2022. Government funded projects coming into the pipeline include additional phases of the Boston, Charleston, Jacksonville and Corpus Christi deepenings, as well as new deepenings for ports in Mobile, Alabama and the Everglades in Florida.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7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Foreign capital dredging backlog decreased to $6.9 million at December 31, 2020 from $30.6 million at the end of 2019. During 2020, the Company continued to earn revenue on a project in the Middle East which was in backlog at December 31, 2019. We expect substantially all of our foreign capital backlog at December 31, 2020 to be performed in the first half of 2021.</w:t>
      </w:r>
    </w:p>
    <w:p>
      <w:pPr>
        <w:spacing w:after="0" w:line="184"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Company won 65%, or $152.3 million, of the coastal protection projects awarded in 2020, compared to 47%, or $247.4 million, in the prior year. During 2020, the Company was awarded coastal protection projects of $31 million in North Carolina, $24 million in New Jersey and $21 million in Florida. We have contracted backlog related to coastal protection of $98.0 million at December 31, 2020 compared to $141.0 million at the end of 2019. During the year ended December 31, 2020, the Company continued to earn revenue on coastal protection projects in New York, North Carolina, and Florida which were in backlog at December 31, 2019. We expect substantially all of our coastal protection backlog at December 31, 2020 to be performed in 2021. Coastal protection and storm impacts continue to provide the major impetus for coastal project investment at federal and state levels.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7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won 27%, or $199.7 million, of the maintenance dredging projects awarded in 2020 compared to 16%, or $142.6 million, in 2019. During 2020 we were awarded maintenance projects of $45 million in Louisiana, $22 million in Florida and $18 million in Maryland and Virginia. During the year ended December 31, 2020, we continued to work on projects in Maryland, North Carolina and Florida which were in backlog at December 31, 2019. Our contracted maintenance dredging backlog at December 31, 2020 of $125.1 million is $64.2 million higher than the backlog of $60.9 million at December 31, 2019. We expect substantially all of our maintenance dredging backlog at December 31, 2020 to be performed in 2021. Past Water Resources Development Act (“WRDA”) bills called for full use of the Harbor Maintenance Trust Fund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The 2020 Water Resources Development Act (WRDA) legislation was included in the Consolidated Appropriations Act 2021 signed into law on December 27, 2020. This continues the trend of WRDA legislation in each session of Congress since 2014. The legislation provides access to the $9.3 billion in unspent HMTF tax collections, establishes a funds distribution process for HMTF funding and approves projects to proceed to construction. Through the increased appropriation of HMTF monies, the Company anticipates increased funding for harbor maintenance projects to be let for bid.</w:t>
      </w:r>
    </w:p>
    <w:p>
      <w:pPr>
        <w:spacing w:after="0" w:line="179"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 won 17%, or $32.1 million, of the rivers &amp; lakes projects in the markets where the group operates during the current year, compared to 48%, or $11.5 million, in 2019. During the current year, we were awarded new work in Texas, Mississippi and Nebraska. For the year ended December 31, 2020, we continued to earn revenue on a large project in Texas which was in backlog at December 31, 2019. We have contracted dredging backlog related to rivers &amp; lakes of $8.5 million at December 31, 2020, which is $1.0 million lower than the backlog of $9.5 million at December 31, 2019. We expect substantially all of our rivers &amp; lakes backlog at December 31, 2020 to be performed in 2021.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spacing w:after="0" w:line="1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On August 4, 2020, the Company announced that its board of directors approved a share repurchase program, authorizing, but not obligating, the repurchase of up to an aggregate amount of $75.0 million of its common stock from time to time through July 31, 2021.</w:t>
      </w:r>
    </w:p>
    <w:p>
      <w:pPr>
        <w:spacing w:after="0" w:line="170"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Company’s net cash provided by operating activities of continuing operations for the years ended December 31, 2020, 2019 and 2018 totaled $78.9 million, $201.8 million and $141.7 million, respectively. Normal increases or decreases in the level of working capital relative to the level of operational activity impact cash flow from operating activities. The decrease in cash provided by operating activities of continuing operations during 2020 compared to the same period in the prior year was driven by billings and collections on large projects during the prior period as well as an increase in working capital due to an increase in receivables during the current year when compared to the same period in the prior year. This decrease was partially offset by an increase in net income in the current year when compared to the prior year period. Cash provided by operating activities for the year ended December 31, 2019 was up compared to 2018 due to higher net income during 2019.</w:t>
      </w:r>
    </w:p>
    <w:p>
      <w:pPr>
        <w:spacing w:after="0" w:line="17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Company’s net cash flows used in investing activities of continuing operations for the years ended December 31, 2020, 2019 and 2018 totaled $43.2 million, $43.8 million and $35.5 million, respectively. Investing activities in all periods primarily relate to normal course upgrades and capital maintenance of our dredging fleet. In the second quarter of 2020, the Company announced and made a down payment for a contract to build a 6,500 cubic yard trailing suction hopper dredge with expected delivery in the first quarter of 2023. In 2020 and 2019, we received $4.5 million and $5.6 million, respectively, in proceeds from dispositions of property and equipment. During 2018, we received $4.5 million in cash proceeds from a sale-leaseback of a dredge as well as $9.4 million in proceeds from the sale of underperforming and underutilized assets identified through our strategic review. Further, we bought out two leases for $14.3 million as part of the restructuring initiative of disposing underperforming assets during the year ended December 31, 2018.</w:t>
      </w:r>
    </w:p>
    <w:p>
      <w:pPr>
        <w:spacing w:after="0" w:line="19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Company’s net cash flows used in financing activities of continuing operations for the years ended December 31, 2020, 2019 and 2018 totaled $6.3 million, $14.1 million and $83.9 million, respectively. The decrease in cash used in financing activities primarily relates to changes in the net repayments on the Company’s revolving credit facility in the prior year of $11.5 million compared to none in the current year. Of the previously announced $75.0 million share repurchase program, the Company repurchased $3.9 million of common stock during 2020. Additionally, we paid $2.3 million in financing fees on the Amended Credit Agreement for the senior secured credit facility during 2019. The Company has the ability to call the bonds at par in May 2021. During 2018, we made net repayments on the Company’s revolving credit facility of $83.5 million.</w:t>
      </w:r>
    </w:p>
    <w:p>
      <w:pPr>
        <w:spacing w:after="0" w:line="17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 maintains a favorable cash on hand position and revolver availability and as a result is well positioned for changes in the current economic environment. To date, the Company has not had a significant operational or financial impact as a result of the ongoing coronavirus (COVID-19) pandemic but will continue to assess the potential economic impact that the virus and actions taken to contain it could have on the Company’s operations and liquidity.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Commitments, contingencies and liquidity matters</w:t>
      </w:r>
    </w:p>
    <w:p>
      <w:pPr>
        <w:spacing w:after="0" w:line="13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Refer to Note 6, “Long-term debt,” in the Notes to Condensed Consolidated Financial Statements for discussion of the Company’s Amended Credit Agreement. Additionally, refer to Note 13, “Commitments and contingencies,” in the Notes to Condensed Consolidated Financial Statements for discussion of the Company’s surety agreements.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May 2017, the Company issued $325 million in aggregate principal amount of our 8% Senior Notes due May 15, 2022 (“8% Senior Notes”). Approximately $283 million of the net proceeds from the issuance of the 8% Senior Notes were used to prepay all of our 7.375% senior notes due February 2019, including a tender premium and accrued and unpaid interest.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our restricted subsidiaries; and (vii) create guarantees of indebtedness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restricted subsidiaries. These covenants are subject to a number of important limitations and exceptions that are described in the indenture.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Amended Credit Agreement, surety bonding agreement and the indenture relating to our senior notes. Accordingly, we cannot make any assurances as to the size of any such dividend or that it will pay any such dividend in future quarters.</w:t>
      </w:r>
    </w:p>
    <w:p>
      <w:pPr>
        <w:spacing w:after="0" w:line="184"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Company believes our cash and cash equivalents, our anticipated cash flows from operations and availability under our revolving credit facility will be sufficient to fund our operations, capital expenditures and the scheduled debt service requirements for the next twelve months. Beyond the next twelve months, our ability to fund our working capital needs, planned capital expenditures, scheduled debt payments and dividends, if any, and to comply with all the financial covenants required under the Amended Credit Agreement, depends on our future operating performance and cash flows, which in turn are subject to prevailing economic conditions and to financial, business and other factors, some of which are beyond our control.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The following table summarizes the Company’s contractual cash obligations at December 31, 2020. Additional information related to these obligations can be found in Note 6, “Long-term debt,” and Note 13, “Commitments and contingencies,” to our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jc w:val="right"/>
              <w:ind w:right="335"/>
              <w:spacing w:after="0"/>
              <w:rPr>
                <w:sz w:val="20"/>
                <w:szCs w:val="20"/>
                <w:color w:val="auto"/>
              </w:rPr>
            </w:pPr>
            <w:r>
              <w:rPr>
                <w:rFonts w:ascii="Arial" w:cs="Arial" w:eastAsia="Arial" w:hAnsi="Arial"/>
                <w:sz w:val="14"/>
                <w:szCs w:val="14"/>
                <w:b w:val="1"/>
                <w:bCs w:val="1"/>
                <w:color w:val="auto"/>
              </w:rPr>
              <w:t>Obligations coming due in year(s) ending:</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2022 - 2024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2025 - 2027</w:t>
            </w:r>
          </w:p>
        </w:tc>
        <w:tc>
          <w:tcPr>
            <w:tcW w:w="30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2028 and beyond</w:t>
            </w: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notes (1)</w:t>
            </w:r>
          </w:p>
        </w:tc>
        <w:tc>
          <w:tcPr>
            <w:tcW w:w="13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361.8</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26.0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434.6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8.000%.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$36.4 million at December 31, 2020. We have granted liens on a substantial portion of the owned operating equipment as security for borrowings under the Amended Credit Agreement and other indebtedness.</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At December 31, 2020, the Company had outstanding performance bonds with a notional amount of $1,187.9 million of which $17.4 million relates to projects from our historical environmental &amp; infrastructure businesses. The revenue value remaining in backlog related to the projects in continuing operations totaled $524.4 million.</w:t>
      </w:r>
    </w:p>
    <w:p>
      <w:pPr>
        <w:spacing w:after="0" w:line="184" w:lineRule="exact"/>
        <w:rPr>
          <w:sz w:val="20"/>
          <w:szCs w:val="20"/>
          <w:color w:val="auto"/>
        </w:rPr>
      </w:pPr>
    </w:p>
    <w:p>
      <w:pPr>
        <w:jc w:val="both"/>
        <w:ind w:right="420" w:firstLine="510"/>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it unlikely that it would have to perform under any of the aforementioned contingent obligations.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At December 31, 2020, the Company had long-term senior notes outstanding with a recorded face value of $325.0 million. The fair value of these existing notes, which bear interest at a fixed rate of 8.000%, was $333.3 million at December 31, 2020 based on market prices. Assuming a 10% decrease in interest rates from the rates at December 31, 2020 the fair value of this fixed rate debt would have increased to $337.0 million.</w:t>
      </w:r>
    </w:p>
    <w:p>
      <w:pPr>
        <w:spacing w:after="0" w:line="165"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A significant operating cost for the Company is diesel fuel, which represents approximately 8% of our costs of contract revenues. We use fuel commodity forward contracts, typically with durations of less than one year, to reduce the impacts of changing fuel prices on operations. We do not purchase fuel hedges for trading purposes. Based on our 2021 projected domestic fuel consumption, a 10% increase in the average price per gallon of fuel would have an immaterial effect on fuel expense, after the effect of fuel commodity contracts in place at December 31, 2020. At December 31, 2020 we had outstanding arrangements to hedge the price of a portion of our fuel purchases related to domestic dredging work in backlog, representing approximately 80% of its anticipated domestic fuel requirements through December 2020. As of December 31, 2020, there were 11.9 million gallons remaining on these contracts. Under these agreements, we will pay fixed prices ranging from $1.12 to $1.90 per gallon. At December 31, 2020, the fair value asset on these contracts was estimated to be $1.7 million, based on quoted market prices and is recorded in other current assets. A 10% change in forward fuel prices would result in an immaterial change in the fair value of fuel hedges outstanding at December 31, 2020.</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consolidated financial statements (including financial statement schedules listed under Item 15 of this Report) of the Company called for by this Item, together with the Report of Independent Registered Public Accounting Firm dated February 24, 2021, are set forth on pages 51 to 76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right="300" w:firstLine="510"/>
        <w:spacing w:after="0" w:line="287" w:lineRule="auto"/>
        <w:rPr>
          <w:sz w:val="20"/>
          <w:szCs w:val="20"/>
          <w:color w:val="auto"/>
        </w:rPr>
      </w:pPr>
      <w:r>
        <w:rPr>
          <w:rFonts w:ascii="Arial" w:cs="Arial" w:eastAsia="Arial" w:hAnsi="Arial"/>
          <w:sz w:val="16"/>
          <w:szCs w:val="16"/>
          <w:color w:val="auto"/>
        </w:rPr>
        <w:t>The following tables set forth our unaudited quarterly results of operations for 2020 and 2019.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presented. The historical environmental &amp; infrastructure segment has been retrospectively presented as discontinued operations and is no longer reflected in continuing operations.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r>
      <w:tr>
        <w:trPr>
          <w:trHeight w:val="146"/>
        </w:trPr>
        <w:tc>
          <w:tcPr>
            <w:tcW w:w="5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center"/>
              <w:ind w:right="480"/>
              <w:spacing w:after="0" w:line="147" w:lineRule="exact"/>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Contract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175.8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(149.2)</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(138.8)</w:t>
            </w: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 — net</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43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792"/>
              <w:spacing w:after="0"/>
              <w:rPr>
                <w:sz w:val="20"/>
                <w:szCs w:val="20"/>
                <w:color w:val="auto"/>
              </w:rPr>
            </w:pPr>
            <w:r>
              <w:rPr>
                <w:rFonts w:ascii="Arial" w:cs="Arial" w:eastAsia="Arial" w:hAnsi="Arial"/>
                <w:sz w:val="18"/>
                <w:szCs w:val="18"/>
                <w:color w:val="auto"/>
                <w:w w:val="99"/>
              </w:rPr>
              <w:t>47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center"/>
              <w:ind w:right="480"/>
              <w:spacing w:after="0" w:line="147" w:lineRule="exact"/>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6"/>
                <w:szCs w:val="16"/>
                <w:color w:val="auto"/>
              </w:rPr>
            </w:pPr>
          </w:p>
        </w:tc>
        <w:tc>
          <w:tcPr>
            <w:tcW w:w="566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c>
          <w:tcPr>
            <w:tcW w:w="0" w:type="dxa"/>
            <w:vAlign w:val="bottom"/>
          </w:tcPr>
          <w:p>
            <w:pPr>
              <w:spacing w:after="0"/>
              <w:rPr>
                <w:sz w:val="1"/>
                <w:szCs w:val="1"/>
                <w:color w:val="auto"/>
              </w:rPr>
            </w:pPr>
          </w:p>
        </w:tc>
      </w:tr>
      <w:tr>
        <w:trPr>
          <w:trHeight w:val="215"/>
        </w:trPr>
        <w:tc>
          <w:tcPr>
            <w:tcW w:w="5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Gain (loss) on sale of assets — net</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Interest expense — net</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Basic earnings per share attributable to income from continuing</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380" w:type="dxa"/>
            <w:vAlign w:val="bottom"/>
            <w:vMerge w:val="restart"/>
          </w:tcPr>
          <w:p>
            <w:pPr>
              <w:spacing w:after="0"/>
              <w:rPr>
                <w:sz w:val="20"/>
                <w:szCs w:val="20"/>
                <w:color w:val="auto"/>
              </w:rPr>
            </w:pPr>
            <w:r>
              <w:rPr>
                <w:rFonts w:ascii="Arial" w:cs="Arial" w:eastAsia="Arial" w:hAnsi="Arial"/>
                <w:sz w:val="18"/>
                <w:szCs w:val="18"/>
                <w:color w:val="auto"/>
              </w:rPr>
              <w:t>operations</w:t>
            </w:r>
          </w:p>
        </w:tc>
        <w:tc>
          <w:tcPr>
            <w:tcW w:w="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income (loss) per share attributable to income (loss) from</w:t>
            </w:r>
          </w:p>
        </w:tc>
        <w:tc>
          <w:tcPr>
            <w:tcW w:w="20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discontinued operations, net of tax</w:t>
            </w:r>
          </w:p>
        </w:tc>
        <w:tc>
          <w:tcPr>
            <w:tcW w:w="20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80" w:type="dxa"/>
            <w:vAlign w:val="bottom"/>
            <w:vMerge w:val="continue"/>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43" w:right="339" w:bottom="1440" w:gutter="0" w:footer="0" w:header="0"/>
        </w:sectPr>
      </w:pPr>
    </w:p>
    <w:p>
      <w:pPr>
        <w:spacing w:after="0"/>
        <w:rPr>
          <w:sz w:val="20"/>
          <w:szCs w:val="20"/>
          <w:color w:val="auto"/>
        </w:rPr>
      </w:pPr>
      <w:r>
        <w:rPr>
          <w:rFonts w:ascii="Arial" w:cs="Arial" w:eastAsia="Arial" w:hAnsi="Arial"/>
          <w:sz w:val="18"/>
          <w:szCs w:val="18"/>
          <w:color w:val="auto"/>
        </w:rPr>
        <w:t>Basic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5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Diluted earnings per share attributable to income from continuing operations</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Diluted income (loss) per share attributable to income (loss) from discontinued operations,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46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62.9</w:t>
            </w:r>
          </w:p>
        </w:tc>
        <w:tc>
          <w:tcPr>
            <w:tcW w:w="5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5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63.9</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567"/>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445"/>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-788035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-496570</wp:posOffset>
            </wp:positionV>
            <wp:extent cx="7132320" cy="282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740" w:space="640"/>
            <w:col w:w="5860"/>
          </w:cols>
          <w:pgMar w:left="320" w:top="643"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53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Diluted earnings per share</w:t>
            </w:r>
          </w:p>
        </w:tc>
        <w:tc>
          <w:tcPr>
            <w:tcW w:w="500" w:type="dxa"/>
            <w:vAlign w:val="bottom"/>
            <w:tcBorders>
              <w:top w:val="single" w:sz="8" w:color="auto"/>
            </w:tcBorders>
            <w:shd w:val="clear" w:color="auto" w:fill="CFF0FC"/>
          </w:tcPr>
          <w:p>
            <w:pPr>
              <w:jc w:val="right"/>
              <w:ind w:right="310"/>
              <w:spacing w:after="0" w:line="20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0.27</w:t>
            </w:r>
          </w:p>
        </w:tc>
        <w:tc>
          <w:tcPr>
            <w:tcW w:w="2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0"/>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0.13</w:t>
            </w:r>
          </w:p>
        </w:tc>
        <w:tc>
          <w:tcPr>
            <w:tcW w:w="2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0"/>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0.12</w:t>
            </w:r>
          </w:p>
        </w:tc>
        <w:tc>
          <w:tcPr>
            <w:tcW w:w="2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30"/>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0.25</w:t>
            </w:r>
          </w:p>
        </w:tc>
        <w:tc>
          <w:tcPr>
            <w:tcW w:w="120" w:type="dxa"/>
            <w:vAlign w:val="bottom"/>
            <w:tcBorders>
              <w:top w:val="single" w:sz="8" w:color="CFF0FC"/>
            </w:tcBorders>
            <w:shd w:val="clear" w:color="auto" w:fill="CFF0FC"/>
          </w:tcPr>
          <w:p>
            <w:pPr>
              <w:spacing w:after="0"/>
              <w:rPr>
                <w:sz w:val="17"/>
                <w:szCs w:val="17"/>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 Items may not sum due to rounding.</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2020.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2"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Based on that evaluation, the Chief Executive Officer and the Chief Financial Officer have concluded that the Company’s disclosure controls and procedures, as designed and implemented, were effective as of December 31, 2020. Notwithstanding the foregoing, a control system, no matter how well designed, implemented and operated can provide only reasonable, not absolute,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type w:val="continuous"/>
        </w:sectPr>
      </w:pPr>
    </w:p>
    <w:bookmarkStart w:id="50" w:name="page51"/>
    <w:bookmarkEnd w:id="50"/>
    <w:p>
      <w:pPr>
        <w:ind w:right="480"/>
        <w:spacing w:after="0" w:line="277" w:lineRule="auto"/>
        <w:rPr>
          <w:sz w:val="20"/>
          <w:szCs w:val="20"/>
          <w:color w:val="auto"/>
        </w:rPr>
      </w:pPr>
      <w:r>
        <w:rPr>
          <w:rFonts w:ascii="Arial" w:cs="Arial" w:eastAsia="Arial" w:hAnsi="Arial"/>
          <w:sz w:val="18"/>
          <w:szCs w:val="18"/>
          <w:color w:val="auto"/>
        </w:rPr>
        <w:t>assurance that it will detect or uncover failures within the Company to disclose material information otherwise required to be set forth in our periodic reports.</w:t>
      </w:r>
    </w:p>
    <w:p>
      <w:pPr>
        <w:spacing w:after="0" w:line="278"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2020 that have materially affected, or are reasonably likely to materially affect, our internal control over financial reporting.</w:t>
      </w:r>
    </w:p>
    <w:p>
      <w:pPr>
        <w:spacing w:after="0" w:line="23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000" w:right="1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00" w:right="38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7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 xml:space="preserve">We have audited the internal control over financial reporting of Great Lakes Dredge &amp; Dock Corporation and subsidiaries (the “Company”)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2020, of the Company and our report dated February 24, 2021 expressed an unqualified opinion on those financial statements and financial statement schedule.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3" w:name="page54"/>
    <w:bookmarkEnd w:id="53"/>
    <w:p>
      <w:pPr>
        <w:ind w:left="53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Information regarding our executive officers is incorporated by reference herein from the discussion under Item 1. “Business—Information about our Executive Officers”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our employees, including our principal executive officer, principal financial officer, controller, and persons performing similar functions. The Company’s code of ethics can be found on our website at www.gldd.com. We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remaining information called for by this Item 10 is incorporated by reference herein from the discussions under the headings “Election of Directors,” “Corporate Governance,” “Security Ownership of Certain Beneficial Owners and Management” and “Delinquent Section 16(a) Reports” in the definitive Proxy Statement for the 2021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“Compensation Discussion and Analysis,” “Corporate Governance” and “CEO Pay Ratio” in the definitive Proxy Statement for the 2021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headings “Security Ownership of Certain Beneficial Owners and Management” and “Equity Compensation Plan Information” in our definitive Proxy Statement for the 2021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“Corporate Governance” and “Potential Payments Upon Termination or Change of Control” and “Certain Relationships and Related Transactions” in the definitive Proxy Statement for the 2021 Annual Meeting of Stockholders.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2021 Annual Meeting of Stockholders.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ind w:right="7920" w:firstLine="8"/>
        <w:spacing w:after="0" w:line="377" w:lineRule="auto"/>
        <w:tabs>
          <w:tab w:leader="none" w:pos="25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54 to 80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81, are omitted because they are not required or the required information is shown in the financial statements or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31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vMerge w:val="restart"/>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w w:val="97"/>
              </w:rPr>
              <w:t>CONSOLIDATED FINANCIAL STATEMENTS AS OF DECEMBER 31, 2020 AND 2019, AND FOR THE YEARS ENDED DECEMBER</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31, 2020, 2019 AND 2018</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2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480" w:type="dxa"/>
            <w:vAlign w:val="bottom"/>
          </w:tcPr>
          <w:p>
            <w:pPr>
              <w:ind w:left="2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480" w:type="dxa"/>
            <w:vAlign w:val="bottom"/>
          </w:tcPr>
          <w:p>
            <w:pPr>
              <w:ind w:left="2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Income (Loss)</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480" w:type="dxa"/>
            <w:vAlign w:val="bottom"/>
          </w:tcPr>
          <w:p>
            <w:pPr>
              <w:ind w:left="2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Equity</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480" w:type="dxa"/>
            <w:vAlign w:val="bottom"/>
          </w:tcPr>
          <w:p>
            <w:pPr>
              <w:ind w:left="2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Cash Flows</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10480" w:type="dxa"/>
            <w:vAlign w:val="bottom"/>
          </w:tcPr>
          <w:p>
            <w:pPr>
              <w:ind w:left="2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Notes to Consolidated Financial Statements</w:t>
              </w:r>
            </w:hyperlink>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850"/>
        </w:trPr>
        <w:tc>
          <w:tcPr>
            <w:tcW w:w="10480" w:type="dxa"/>
            <w:vAlign w:val="bottom"/>
          </w:tcPr>
          <w:p>
            <w:pPr>
              <w:ind w:left="5540"/>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audited the accompanying consolidated balance sheets of Great Lakes Dredge &amp; Dock Corporation and subsidiaries (the "Company") as of December 31, 2020 and 2019, the related consolidated statements of operations, comprehensive income (loss), equity, and cash flows,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2021,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changed its method of accounting for leases in the year ended December 31, 2019 due to the adoption of Accounting Standard Update No</w:t>
      </w:r>
      <w:r>
        <w:rPr>
          <w:rFonts w:ascii="Arial" w:cs="Arial" w:eastAsia="Arial" w:hAnsi="Arial"/>
          <w:sz w:val="18"/>
          <w:szCs w:val="18"/>
          <w:i w:val="1"/>
          <w:iCs w:val="1"/>
          <w:color w:val="auto"/>
        </w:rPr>
        <w:t>. 2016-02, Leases (Topic 842)</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right="3080"/>
        <w:spacing w:after="0" w:line="378" w:lineRule="auto"/>
        <w:rPr>
          <w:sz w:val="20"/>
          <w:szCs w:val="20"/>
          <w:color w:val="auto"/>
        </w:rPr>
      </w:pPr>
      <w:r>
        <w:rPr>
          <w:rFonts w:ascii="Arial" w:cs="Arial" w:eastAsia="Arial" w:hAnsi="Arial"/>
          <w:sz w:val="18"/>
          <w:szCs w:val="18"/>
          <w:b w:val="1"/>
          <w:bCs w:val="1"/>
          <w:color w:val="auto"/>
        </w:rPr>
        <w:t xml:space="preserve">Revenue Recognition – Estimated Costs at Completion— Refer to Notes 1 &amp; 10 to the financial statements </w:t>
      </w:r>
      <w:r>
        <w:rPr>
          <w:rFonts w:ascii="Arial" w:cs="Arial" w:eastAsia="Arial" w:hAnsi="Arial"/>
          <w:sz w:val="18"/>
          <w:szCs w:val="18"/>
          <w:i w:val="1"/>
          <w:iCs w:val="1"/>
          <w:color w:val="auto"/>
        </w:rPr>
        <w:t>Critical Audit Matter Description</w:t>
      </w:r>
    </w:p>
    <w:p>
      <w:pPr>
        <w:ind w:right="220"/>
        <w:spacing w:after="0" w:line="279" w:lineRule="auto"/>
        <w:rPr>
          <w:sz w:val="20"/>
          <w:szCs w:val="20"/>
          <w:color w:val="auto"/>
        </w:rPr>
      </w:pPr>
      <w:r>
        <w:rPr>
          <w:rFonts w:ascii="Arial" w:cs="Arial" w:eastAsia="Arial" w:hAnsi="Arial"/>
          <w:sz w:val="17"/>
          <w:szCs w:val="17"/>
          <w:color w:val="auto"/>
        </w:rPr>
        <w:t>During 2020 the Company’s contract revenues were $733.6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management’s estimate of fulfillment costs at completion.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ind w:right="60"/>
        <w:spacing w:after="0" w:line="259" w:lineRule="auto"/>
        <w:rPr>
          <w:sz w:val="20"/>
          <w:szCs w:val="20"/>
          <w:color w:val="auto"/>
        </w:rPr>
      </w:pPr>
      <w:r>
        <w:rPr>
          <w:rFonts w:ascii="Arial" w:cs="Arial" w:eastAsia="Arial" w:hAnsi="Arial"/>
          <w:sz w:val="18"/>
          <w:szCs w:val="18"/>
          <w:color w:val="auto"/>
        </w:rPr>
        <w:t>We identified estimated contract fulfillment costs at completion used in revenue recognition as a critical audit matter because of the judgments inherent in management’s estimates related to contracts that were in progress at December 31, 2020. This required extensive audit effort and a high degree of auditor judgment when performing audit procedures on the total estimated contract fulfillment costs which underlie management’s determination of revenue on contracts in progress.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audit procedures related to contract fulfillment costs incurred to date and management’s estimates of the total costs at completion for contracts in progress included the following, among others:</w:t>
      </w:r>
    </w:p>
    <w:p>
      <w:pPr>
        <w:spacing w:after="0" w:line="170" w:lineRule="exact"/>
        <w:rPr>
          <w:sz w:val="20"/>
          <w:szCs w:val="20"/>
          <w:color w:val="auto"/>
        </w:rPr>
      </w:pPr>
    </w:p>
    <w:p>
      <w:pPr>
        <w:ind w:left="38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revenue recognition, including management’s controls over contract fulfillment costs incurred to date and estimated total costs at completion.</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we performed the following:</w:t>
      </w:r>
    </w:p>
    <w:p>
      <w:pPr>
        <w:spacing w:after="0" w:line="117" w:lineRule="exact"/>
        <w:rPr>
          <w:rFonts w:ascii="Arial" w:cs="Arial" w:eastAsia="Arial" w:hAnsi="Arial"/>
          <w:sz w:val="18"/>
          <w:szCs w:val="18"/>
          <w:color w:val="auto"/>
        </w:rPr>
      </w:pPr>
    </w:p>
    <w:p>
      <w:pPr>
        <w:ind w:left="1120" w:right="620" w:hanging="370"/>
        <w:spacing w:after="0" w:line="258"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Compared the total revenue amounts used by management to the consideration expected to be received based on current rights and obligations under the contracts and any modifications that were agreed with the customers.</w:t>
      </w:r>
    </w:p>
    <w:p>
      <w:pPr>
        <w:spacing w:after="0" w:line="1" w:lineRule="exact"/>
        <w:rPr>
          <w:rFonts w:ascii="Arial" w:cs="Arial" w:eastAsia="Arial" w:hAnsi="Arial"/>
          <w:sz w:val="18"/>
          <w:szCs w:val="18"/>
          <w:color w:val="auto"/>
        </w:rPr>
      </w:pPr>
    </w:p>
    <w:p>
      <w:pPr>
        <w:ind w:left="1120" w:right="280" w:hanging="370"/>
        <w:spacing w:after="0" w:line="281" w:lineRule="auto"/>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management’s ability to achieve the estimates of total cost by inquiring with the Company’s project managers and engineers, comparing the estimates to management’s work plans, and comparing expected profit margins to those achieved on similar contracts.</w:t>
      </w:r>
    </w:p>
    <w:p>
      <w:pPr>
        <w:spacing w:after="0" w:line="1" w:lineRule="exact"/>
        <w:rPr>
          <w:rFonts w:ascii="Arial" w:cs="Arial" w:eastAsia="Arial" w:hAnsi="Arial"/>
          <w:sz w:val="16"/>
          <w:szCs w:val="16"/>
          <w:color w:val="auto"/>
        </w:rPr>
      </w:pPr>
    </w:p>
    <w:p>
      <w:pPr>
        <w:ind w:left="1120" w:right="620" w:hanging="370"/>
        <w:spacing w:after="0" w:line="323" w:lineRule="auto"/>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 certain contracts, we performed virtual meetings with the project site managers and utilized global positioning system tracking technology to virtually validate equipment deployed on-site and discuss the contract activities with operational management.</w:t>
      </w:r>
    </w:p>
    <w:p>
      <w:pPr>
        <w:spacing w:after="0" w:line="138" w:lineRule="exact"/>
        <w:rPr>
          <w:rFonts w:ascii="Arial" w:cs="Arial" w:eastAsia="Arial" w:hAnsi="Arial"/>
          <w:sz w:val="16"/>
          <w:szCs w:val="16"/>
          <w:color w:val="auto"/>
        </w:rPr>
      </w:pPr>
    </w:p>
    <w:p>
      <w:pPr>
        <w:ind w:left="1120" w:hanging="370"/>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revenue</w:t>
      </w:r>
    </w:p>
    <w:p>
      <w:pPr>
        <w:spacing w:after="0" w:line="117" w:lineRule="exact"/>
        <w:rPr>
          <w:rFonts w:ascii="Arial" w:cs="Arial" w:eastAsia="Arial" w:hAnsi="Arial"/>
          <w:sz w:val="18"/>
          <w:szCs w:val="18"/>
          <w:color w:val="auto"/>
        </w:rPr>
      </w:pPr>
    </w:p>
    <w:p>
      <w:pPr>
        <w:ind w:left="380" w:right="16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accuracy and occurrence of contract fulfillment costs incurred to date by selecting a sample of costs from contract cost general ledger detail and obtaining supporting documentation in the form of invoices or pay statements and time-charged records.</w:t>
      </w:r>
    </w:p>
    <w:p>
      <w:pPr>
        <w:spacing w:after="0" w:line="170"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compared total actual costs incurred on projects completed during the year to management’s estimates as of the prior year end to evaluate management’s ability to accurately forecast total contract fulfillment costs at completion.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216,510</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362,693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383,042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INVENTORIES—Noncurrent</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ASSETS HELD FOR SALE— Noncurrent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958,024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71,308</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176,287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323,735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LEASE LIABILITIES—Noncurrent</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611,356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Common stock—$.0001 par value; 90,000 authorized, 65,023 and 64,283 shares issued and</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at December 31, 2020 and December 31, 2019, respectively.</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304,757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retained earnings (accumulated deficit)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346,668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958,024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59" w:name="page60"/>
    <w:bookmarkEnd w:id="59"/>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5"/>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557,761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509,335</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111,460</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55,108</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(4,619)</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98,128</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Interest expense—net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(26,585)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(27,524)</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(33,578)</w:t>
            </w:r>
          </w:p>
        </w:tc>
      </w:tr>
      <w:tr>
        <w:trPr>
          <w:trHeight w:val="230"/>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(2,590)</w:t>
            </w:r>
          </w:p>
        </w:tc>
      </w:tr>
      <w:tr>
        <w:trPr>
          <w:trHeight w:val="223"/>
        </w:trPr>
        <w:tc>
          <w:tcPr>
            <w:tcW w:w="65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(36,168)</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70,921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16,453</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(20,187)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(15,253)</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(5,437)</w:t>
            </w:r>
          </w:p>
        </w:tc>
      </w:tr>
      <w:tr>
        <w:trPr>
          <w:trHeight w:val="223"/>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(6,329)</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(17,309)</w:t>
            </w:r>
          </w:p>
        </w:tc>
      </w:tr>
      <w:tr>
        <w:trPr>
          <w:trHeight w:val="223"/>
        </w:trPr>
        <w:tc>
          <w:tcPr>
            <w:tcW w:w="6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654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66,103</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49,339</w:t>
            </w:r>
          </w:p>
        </w:tc>
        <w:tc>
          <w:tcPr>
            <w:tcW w:w="2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(6,293)</w:t>
            </w:r>
          </w:p>
        </w:tc>
      </w:tr>
      <w:tr>
        <w:trPr>
          <w:trHeight w:val="210"/>
        </w:trPr>
        <w:tc>
          <w:tcPr>
            <w:tcW w:w="65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Basic earnings per share attributable to income from continuing operations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w w:val="93"/>
              </w:rPr>
              <w:t>Basic loss per share attributable to loss on discontinued operations, net of income taxes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62,236</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attributable to income from continuing operations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w w:val="91"/>
              </w:rPr>
              <w:t>Diluted loss per share attributable to loss on discontinued operations, net of income taxes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65,872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65,042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63,607</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66,103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49,339</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adjustment—net of tax (1)</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Net unrealized (gain) loss on derivatives—net of tax (2)</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(loss)—net of tax</w:t>
            </w:r>
          </w:p>
        </w:tc>
        <w:tc>
          <w:tcPr>
            <w:tcW w:w="1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53,443</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of income tax provision of $(1,017) for the year ended December 31, 2018.</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of income tax (provision) benefit of $217, $(421) and $775 for the years ended December 31, 2020, 2019 and 2018,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2"/>
          </w:tcPr>
          <w:p>
            <w:pPr>
              <w:jc w:val="right"/>
              <w:ind w:right="64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Additional</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Retained</w:t>
            </w:r>
          </w:p>
        </w:tc>
        <w:tc>
          <w:tcPr>
            <w:tcW w:w="13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Earnings</w:t>
            </w:r>
          </w:p>
        </w:tc>
        <w:tc>
          <w:tcPr>
            <w:tcW w:w="13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1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(Deficit)</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2018</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61,897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289,821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(67,101)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Cumulative effect of recent accounting</w:t>
            </w: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pronouncements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including</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impact of shares withheld for taxes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w w:val="97"/>
              </w:rPr>
              <w:t>Exercise of stock options and purchases from</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6"/>
                <w:szCs w:val="16"/>
                <w:color w:val="auto"/>
              </w:rPr>
              <w:t>employee stock plans</w:t>
            </w:r>
          </w:p>
        </w:tc>
        <w:tc>
          <w:tcPr>
            <w:tcW w:w="74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(6,293)</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Other comprehensive loss—net of tax</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(3,812)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31, 2018</w:t>
            </w: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62,830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(74,971)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(3,809)</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Cumulative effect of recent accounting</w:t>
            </w: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pronouncements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including</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impact of shares withheld for taxes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w w:val="97"/>
              </w:rPr>
              <w:t>Exercise of stock options and purchases from</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740" w:type="dxa"/>
            <w:vAlign w:val="bottom"/>
          </w:tcPr>
          <w:p>
            <w:pPr>
              <w:jc w:val="right"/>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Cancellation of treasury stock</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(1,172)</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income—net of tax</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160" w:type="dxa"/>
            <w:vAlign w:val="bottom"/>
          </w:tcPr>
          <w:p>
            <w:pPr>
              <w:spacing w:after="0"/>
              <w:rPr>
                <w:sz w:val="20"/>
                <w:szCs w:val="20"/>
                <w:color w:val="auto"/>
              </w:rPr>
            </w:pPr>
            <w:r>
              <w:rPr>
                <w:rFonts w:ascii="Arial" w:cs="Arial" w:eastAsia="Arial" w:hAnsi="Arial"/>
                <w:sz w:val="16"/>
                <w:szCs w:val="16"/>
                <w:color w:val="auto"/>
              </w:rPr>
              <w:t>BALANCE—December 31, 2019</w:t>
            </w:r>
          </w:p>
        </w:tc>
        <w:tc>
          <w:tcPr>
            <w:tcW w:w="740" w:type="dxa"/>
            <w:vAlign w:val="bottom"/>
          </w:tcPr>
          <w:p>
            <w:pPr>
              <w:jc w:val="right"/>
              <w:spacing w:after="0"/>
              <w:rPr>
                <w:sz w:val="20"/>
                <w:szCs w:val="20"/>
                <w:color w:val="auto"/>
              </w:rPr>
            </w:pPr>
            <w:r>
              <w:rPr>
                <w:rFonts w:ascii="Arial" w:cs="Arial" w:eastAsia="Arial" w:hAnsi="Arial"/>
                <w:sz w:val="16"/>
                <w:szCs w:val="16"/>
                <w:color w:val="auto"/>
              </w:rPr>
              <w:t>64,283</w:t>
            </w: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302,189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279,399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including</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impact of shares withheld for taxes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(4,748)</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w w:val="97"/>
              </w:rPr>
              <w:t>Exercise of stock options and purchases from</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740" w:type="dxa"/>
            <w:vAlign w:val="bottom"/>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(426)</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income—net of tax</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BALANCE—December 31, 2020</w:t>
            </w:r>
          </w:p>
        </w:tc>
        <w:tc>
          <w:tcPr>
            <w:tcW w:w="740" w:type="dxa"/>
            <w:vAlign w:val="bottom"/>
          </w:tcPr>
          <w:p>
            <w:pPr>
              <w:jc w:val="right"/>
              <w:spacing w:after="0"/>
              <w:rPr>
                <w:sz w:val="20"/>
                <w:szCs w:val="20"/>
                <w:color w:val="auto"/>
              </w:rPr>
            </w:pPr>
            <w:r>
              <w:rPr>
                <w:rFonts w:ascii="Arial" w:cs="Arial" w:eastAsia="Arial" w:hAnsi="Arial"/>
                <w:sz w:val="16"/>
                <w:szCs w:val="16"/>
                <w:color w:val="auto"/>
              </w:rPr>
              <w:t>65,023</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304,757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40,937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968</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346,668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13"/>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66,103</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49,339</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(6,293)</w:t>
            </w: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(17,309)</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11,016</w:t>
            </w:r>
          </w:p>
        </w:tc>
        <w:tc>
          <w:tcPr>
            <w:tcW w:w="120" w:type="dxa"/>
            <w:vAlign w:val="bottom"/>
          </w:tcPr>
          <w:p>
            <w:pPr>
              <w:spacing w:after="0"/>
              <w:rPr>
                <w:sz w:val="17"/>
                <w:szCs w:val="17"/>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w w:val="96"/>
              </w:rPr>
              <w:t>Adjustments to reconcile net income (loss) to net cash flows provided by operating activities: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50,389</w:t>
            </w:r>
          </w:p>
        </w:tc>
        <w:tc>
          <w:tcPr>
            <w:tcW w:w="120" w:type="dxa"/>
            <w:vAlign w:val="bottom"/>
          </w:tcPr>
          <w:p>
            <w:pPr>
              <w:spacing w:after="0"/>
              <w:rPr>
                <w:sz w:val="18"/>
                <w:szCs w:val="18"/>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5,760</w:t>
            </w: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(Gain) loss on dispositions of property and equipment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3,731</w:t>
            </w:r>
          </w:p>
        </w:tc>
        <w:tc>
          <w:tcPr>
            <w:tcW w:w="120" w:type="dxa"/>
            <w:vAlign w:val="bottom"/>
          </w:tcPr>
          <w:p>
            <w:pPr>
              <w:spacing w:after="0"/>
              <w:rPr>
                <w:sz w:val="18"/>
                <w:szCs w:val="18"/>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non-cash restructuring items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2,337</w:t>
            </w: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Amortization of deferred financing fees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8"/>
                <w:szCs w:val="18"/>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foreign currency gain</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(231)</w:t>
            </w: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4,643</w:t>
            </w:r>
          </w:p>
        </w:tc>
        <w:tc>
          <w:tcPr>
            <w:tcW w:w="120" w:type="dxa"/>
            <w:vAlign w:val="bottom"/>
          </w:tcPr>
          <w:p>
            <w:pPr>
              <w:spacing w:after="0"/>
              <w:rPr>
                <w:sz w:val="18"/>
                <w:szCs w:val="18"/>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(19,205)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(8,364)</w:t>
            </w:r>
          </w:p>
        </w:tc>
      </w:tr>
      <w:tr>
        <w:trPr>
          <w:trHeight w:val="219"/>
        </w:trPr>
        <w:tc>
          <w:tcPr>
            <w:tcW w:w="6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revenues in excess of billings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54,881</w:t>
            </w: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(921)</w:t>
            </w:r>
          </w:p>
        </w:tc>
      </w:tr>
      <w:tr>
        <w:trPr>
          <w:trHeight w:val="219"/>
        </w:trPr>
        <w:tc>
          <w:tcPr>
            <w:tcW w:w="6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(8,539)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11,976</w:t>
            </w: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50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(3,328)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(1,480)</w:t>
            </w:r>
          </w:p>
        </w:tc>
      </w:tr>
      <w:tr>
        <w:trPr>
          <w:trHeight w:val="219"/>
        </w:trPr>
        <w:tc>
          <w:tcPr>
            <w:tcW w:w="6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Billings in excess of contract revenues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(22,658)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7,524</w:t>
            </w:r>
          </w:p>
        </w:tc>
        <w:tc>
          <w:tcPr>
            <w:tcW w:w="120" w:type="dxa"/>
            <w:vAlign w:val="bottom"/>
            <w:shd w:val="clear" w:color="auto" w:fill="CFF0FC"/>
          </w:tcPr>
          <w:p>
            <w:pPr>
              <w:spacing w:after="0"/>
              <w:rPr>
                <w:sz w:val="19"/>
                <w:szCs w:val="19"/>
                <w:color w:val="auto"/>
              </w:rPr>
            </w:pPr>
          </w:p>
        </w:tc>
      </w:tr>
      <w:tr>
        <w:trPr>
          <w:trHeight w:val="213"/>
        </w:trPr>
        <w:tc>
          <w:tcPr>
            <w:tcW w:w="630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(3,093)</w:t>
            </w:r>
          </w:p>
        </w:tc>
      </w:tr>
      <w:tr>
        <w:trPr>
          <w:trHeight w:val="213"/>
        </w:trPr>
        <w:tc>
          <w:tcPr>
            <w:tcW w:w="6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78,947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201,787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141,672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(4,019)</w:t>
            </w:r>
          </w:p>
        </w:tc>
      </w:tr>
      <w:tr>
        <w:trPr>
          <w:trHeight w:val="213"/>
        </w:trPr>
        <w:tc>
          <w:tcPr>
            <w:tcW w:w="6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78,947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192,549</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137,653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(47,621)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(49,412)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(49,422)</w:t>
            </w: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dispositions of property and equipment</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13,880</w:t>
            </w:r>
          </w:p>
        </w:tc>
        <w:tc>
          <w:tcPr>
            <w:tcW w:w="120" w:type="dxa"/>
            <w:vAlign w:val="bottom"/>
            <w:shd w:val="clear" w:color="auto" w:fill="CFF0FC"/>
          </w:tcPr>
          <w:p>
            <w:pPr>
              <w:spacing w:after="0"/>
              <w:rPr>
                <w:sz w:val="19"/>
                <w:szCs w:val="19"/>
                <w:color w:val="auto"/>
              </w:rPr>
            </w:pPr>
          </w:p>
        </w:tc>
      </w:tr>
      <w:tr>
        <w:trPr>
          <w:trHeight w:val="206"/>
        </w:trPr>
        <w:tc>
          <w:tcPr>
            <w:tcW w:w="6300" w:type="dxa"/>
            <w:vAlign w:val="bottom"/>
          </w:tcPr>
          <w:p>
            <w:pPr>
              <w:ind w:left="260"/>
              <w:spacing w:after="0"/>
              <w:rPr>
                <w:sz w:val="20"/>
                <w:szCs w:val="20"/>
                <w:color w:val="auto"/>
              </w:rPr>
            </w:pPr>
            <w:r>
              <w:rPr>
                <w:rFonts w:ascii="Arial" w:cs="Arial" w:eastAsia="Arial" w:hAnsi="Arial"/>
                <w:sz w:val="16"/>
                <w:szCs w:val="16"/>
                <w:color w:val="auto"/>
              </w:rPr>
              <w:t>Net cash flows used in investing activities of continuing operations</w:t>
            </w: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(43,171)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(43,820)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(35,542)</w:t>
            </w: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flows provided by investing activities of discontinued operations</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FF0FC"/>
          </w:tcPr>
          <w:p>
            <w:pPr>
              <w:spacing w:after="0"/>
              <w:rPr>
                <w:sz w:val="19"/>
                <w:szCs w:val="19"/>
                <w:color w:val="auto"/>
              </w:rPr>
            </w:pPr>
          </w:p>
        </w:tc>
      </w:tr>
      <w:tr>
        <w:trPr>
          <w:trHeight w:val="204"/>
        </w:trPr>
        <w:tc>
          <w:tcPr>
            <w:tcW w:w="6300" w:type="dxa"/>
            <w:vAlign w:val="bottom"/>
          </w:tcPr>
          <w:p>
            <w:pPr>
              <w:ind w:left="26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(43,171)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(25,764)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(35,117)</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3"/>
        </w:trPr>
        <w:tc>
          <w:tcPr>
            <w:tcW w:w="6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fees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Taxes paid on settlement of vested share awards</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 and purchases from employee stock plans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Borrowings under revolving loans</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Repayments of revolving loans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(112,500)</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flows used in financing activities of continuing operations</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(14,057)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(83,909)</w:t>
            </w: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Net cash flows used in financing activities of discontinued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(14,248)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(85,456)</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29,515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152,537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216,510</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Property and equipment purchased but not yet paid</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Repayments of debt with proceeds from sale-leaseback transactions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4" w:name="page65"/>
    <w:bookmarkEnd w:id="64"/>
    <w:p>
      <w:pPr>
        <w:jc w:val="center"/>
        <w:ind w:left="360" w:right="2580"/>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2020 AND 2019 AND FOR THE YEARS ENDED December 31, 2020, 2019 AND 2018 (In thousands, except per share amounts or as otherwise noted)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jc w:val="both"/>
        <w:ind w:right="440" w:firstLine="510"/>
        <w:spacing w:after="0" w:line="261"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180" w:lineRule="exact"/>
        <w:rPr>
          <w:sz w:val="20"/>
          <w:szCs w:val="20"/>
          <w:color w:val="auto"/>
        </w:rPr>
      </w:pPr>
    </w:p>
    <w:p>
      <w:pPr>
        <w:ind w:right="120" w:firstLine="510"/>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w:t>
      </w:r>
      <w:r>
        <w:rPr>
          <w:rFonts w:ascii="Arial" w:cs="Arial" w:eastAsia="Arial" w:hAnsi="Arial"/>
          <w:sz w:val="18"/>
          <w:szCs w:val="18"/>
          <w:b w:val="1"/>
          <w:bCs w:val="1"/>
          <w:color w:val="auto"/>
        </w:rPr>
        <w:t xml:space="preserve"> </w:t>
      </w:r>
      <w:r>
        <w:rPr>
          <w:rFonts w:ascii="Arial" w:cs="Arial" w:eastAsia="Arial" w:hAnsi="Arial"/>
          <w:sz w:val="18"/>
          <w:szCs w:val="18"/>
          <w:color w:val="auto"/>
        </w:rPr>
        <w:t>Dock 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jc w:val="both"/>
        <w:ind w:right="360" w:firstLine="510"/>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—Revenue is recognized using contract fulfillment costs incurred to date compared to total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at completion, also known as cost-to-cost, to measure progress 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72"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spacing w:after="0" w:line="161" w:lineRule="exact"/>
        <w:rPr>
          <w:sz w:val="20"/>
          <w:szCs w:val="20"/>
          <w:color w:val="auto"/>
        </w:rPr>
      </w:pPr>
    </w:p>
    <w:p>
      <w:pPr>
        <w:ind w:right="300" w:firstLine="510"/>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right="880" w:firstLine="510"/>
        <w:spacing w:after="0" w:line="282" w:lineRule="auto"/>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18"/>
          <w:szCs w:val="18"/>
          <w:color w:val="auto"/>
        </w:rPr>
        <w:t>—The Company considers all highly liquid investments with a maturity at purchase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160" w:firstLine="510"/>
        <w:spacing w:after="0" w:line="261"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represent amounts due or billable under the terms of contracts with customers, including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retainage. The Company anticipates collection of retainage generally 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spacing w:after="0" w:line="180"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right="120" w:firstLine="510"/>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180" w:type="dxa"/>
            <w:vAlign w:val="bottom"/>
          </w:tcPr>
          <w:p>
            <w:pPr>
              <w:spacing w:after="0"/>
              <w:rPr>
                <w:sz w:val="20"/>
                <w:szCs w:val="20"/>
                <w:color w:val="auto"/>
              </w:rPr>
            </w:pPr>
            <w:r>
              <w:rPr>
                <w:rFonts w:ascii="Arial" w:cs="Arial" w:eastAsia="Arial" w:hAnsi="Arial"/>
                <w:sz w:val="14"/>
                <w:szCs w:val="14"/>
                <w:b w:val="1"/>
                <w:bCs w:val="1"/>
                <w:color w:val="auto"/>
                <w:w w:val="95"/>
              </w:rPr>
              <w:t>Useful Life (years)</w:t>
            </w:r>
          </w:p>
        </w:tc>
      </w:tr>
      <w:tr>
        <w:trPr>
          <w:trHeight w:val="20"/>
        </w:trPr>
        <w:tc>
          <w:tcPr>
            <w:tcW w:w="320" w:type="dxa"/>
            <w:vAlign w:val="bottom"/>
            <w:tcBorders>
              <w:bottom w:val="single" w:sz="8" w:color="CFF0FC"/>
            </w:tcBorders>
            <w:shd w:val="clear" w:color="auto" w:fill="000000"/>
          </w:tcPr>
          <w:p>
            <w:pPr>
              <w:spacing w:after="0" w:line="20" w:lineRule="exact"/>
              <w:rPr>
                <w:sz w:val="1"/>
                <w:szCs w:val="1"/>
                <w:color w:val="auto"/>
              </w:rPr>
            </w:pPr>
          </w:p>
        </w:tc>
        <w:tc>
          <w:tcPr>
            <w:tcW w:w="5240" w:type="dxa"/>
            <w:vAlign w:val="bottom"/>
            <w:tcBorders>
              <w:bottom w:val="single" w:sz="8" w:color="CFF0FC"/>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55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5-10</w:t>
            </w:r>
          </w:p>
        </w:tc>
      </w:tr>
      <w:tr>
        <w:trPr>
          <w:trHeight w:val="230"/>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10-30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jc w:val="both"/>
        <w:ind w:right="60" w:firstLine="510"/>
        <w:spacing w:after="0" w:line="261"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acquisition cost over fair value of the net assets acquired. Goodwill is tested annually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18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The Company assesses the fair values of its reporting unit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7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has one operating segment which is also the Company’s one reportable segment and reporting unit of which the Company tests goodwill for impairment. The historical environmental &amp; infrastructure segment, which the Company sold during the second quarter of 2019, has been retrospectively presented as discontinued operations and assets and liabilities held for sale and is no longer reflected in continuing operations. The Company performed its most recent annual test of impairment as of July 1, 2020 with no indication of impairment as of the test date. As of the test date, the fair value of the reporting unit was substantially in excess of its carrying value. The Company will perform its next scheduled annual test of goodwill in the third quarter of 2021 should no triggering events occur which would require a test prior to the next annual test.</w:t>
      </w:r>
    </w:p>
    <w:p>
      <w:pPr>
        <w:spacing w:after="0" w:line="174" w:lineRule="exact"/>
        <w:rPr>
          <w:sz w:val="20"/>
          <w:szCs w:val="20"/>
          <w:color w:val="auto"/>
        </w:rPr>
      </w:pPr>
    </w:p>
    <w:p>
      <w:pPr>
        <w:ind w:right="60" w:firstLine="510"/>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subject to amortization. Long-lived assets to be held and used are</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2020 or 2019. If long-lived assets are to be disposed, depreciation is discontinued, if applicable, and the assets are reclassified as held for sale at the lower of their carrying amounts or fair values less estimated costs to sell.</w:t>
      </w:r>
    </w:p>
    <w:p>
      <w:pPr>
        <w:spacing w:after="0" w:line="154" w:lineRule="exact"/>
        <w:rPr>
          <w:sz w:val="20"/>
          <w:szCs w:val="20"/>
          <w:color w:val="auto"/>
        </w:rPr>
      </w:pPr>
    </w:p>
    <w:p>
      <w:pPr>
        <w:ind w:right="80" w:firstLine="510"/>
        <w:spacing w:after="0" w:line="277" w:lineRule="auto"/>
        <w:rPr>
          <w:sz w:val="20"/>
          <w:szCs w:val="20"/>
          <w:color w:val="auto"/>
        </w:rPr>
      </w:pPr>
      <w:r>
        <w:rPr>
          <w:rFonts w:ascii="Arial" w:cs="Arial" w:eastAsia="Arial" w:hAnsi="Arial"/>
          <w:sz w:val="17"/>
          <w:szCs w:val="17"/>
          <w:b w:val="1"/>
          <w:bCs w:val="1"/>
          <w:color w:val="auto"/>
        </w:rPr>
        <w:t>Self-insurance Reserves</w:t>
      </w:r>
      <w:r>
        <w:rPr>
          <w:rFonts w:ascii="Arial" w:cs="Arial" w:eastAsia="Arial" w:hAnsi="Arial"/>
          <w:sz w:val="17"/>
          <w:szCs w:val="17"/>
          <w:color w:val="auto"/>
        </w:rPr>
        <w:t>—The Company self-insures costs associated with its seagoing employees covered by the provisions of Jones Act,</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right="140" w:firstLine="51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spacing w:after="0" w:line="180" w:lineRule="exact"/>
        <w:rPr>
          <w:sz w:val="20"/>
          <w:szCs w:val="20"/>
          <w:color w:val="auto"/>
        </w:rPr>
      </w:pPr>
    </w:p>
    <w:p>
      <w:pPr>
        <w:ind w:right="120" w:firstLine="510"/>
        <w:spacing w:after="0" w:line="261" w:lineRule="auto"/>
        <w:rPr>
          <w:sz w:val="20"/>
          <w:szCs w:val="20"/>
          <w:color w:val="auto"/>
        </w:rPr>
      </w:pPr>
      <w:r>
        <w:rPr>
          <w:rFonts w:ascii="Arial" w:cs="Arial" w:eastAsia="Arial" w:hAnsi="Arial"/>
          <w:sz w:val="18"/>
          <w:szCs w:val="18"/>
          <w:b w:val="1"/>
          <w:bCs w:val="1"/>
          <w:color w:val="auto"/>
        </w:rPr>
        <w:t>Hedging Instruments</w:t>
      </w:r>
      <w:r>
        <w:rPr>
          <w:rFonts w:ascii="Arial" w:cs="Arial" w:eastAsia="Arial" w:hAnsi="Arial"/>
          <w:sz w:val="18"/>
          <w:szCs w:val="18"/>
          <w:color w:val="auto"/>
        </w:rPr>
        <w:t>—At times, the Company designates certain derivative contracts as a cash flow hedge as defined by GAAP. Accordingly,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spacing w:after="0" w:line="184"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w:t>
      </w:r>
    </w:p>
    <w:p>
      <w:pPr>
        <w:spacing w:after="0" w:line="2" w:lineRule="exact"/>
        <w:rPr>
          <w:sz w:val="20"/>
          <w:szCs w:val="20"/>
          <w:color w:val="auto"/>
        </w:rPr>
      </w:pPr>
    </w:p>
    <w:p>
      <w:pPr>
        <w:ind w:right="20" w:firstLine="8"/>
        <w:spacing w:after="0" w:line="302"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51" w:lineRule="exact"/>
        <w:rPr>
          <w:sz w:val="20"/>
          <w:szCs w:val="20"/>
          <w:color w:val="auto"/>
        </w:rPr>
      </w:pPr>
    </w:p>
    <w:p>
      <w:pPr>
        <w:ind w:right="100" w:firstLine="510"/>
        <w:spacing w:after="0" w:line="294" w:lineRule="auto"/>
        <w:rPr>
          <w:sz w:val="20"/>
          <w:szCs w:val="20"/>
          <w:color w:val="auto"/>
        </w:rPr>
      </w:pPr>
      <w:r>
        <w:rPr>
          <w:rFonts w:ascii="Arial" w:cs="Arial" w:eastAsia="Arial" w:hAnsi="Arial"/>
          <w:sz w:val="16"/>
          <w:szCs w:val="16"/>
          <w:b w:val="1"/>
          <w:bCs w:val="1"/>
          <w:color w:val="auto"/>
        </w:rPr>
        <w:t>Recent Accounting Pronouncements</w:t>
      </w:r>
      <w:r>
        <w:rPr>
          <w:rFonts w:ascii="Arial" w:cs="Arial" w:eastAsia="Arial" w:hAnsi="Arial"/>
          <w:sz w:val="16"/>
          <w:szCs w:val="16"/>
          <w:color w:val="auto"/>
        </w:rPr>
        <w:t>—In March 2020, the Financial Accounting Standards Board (“FASB”) issued ASU No. 2020-04 (“ASU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2020-04”), </w:t>
      </w:r>
      <w:r>
        <w:rPr>
          <w:rFonts w:ascii="Arial" w:cs="Arial" w:eastAsia="Arial" w:hAnsi="Arial"/>
          <w:sz w:val="16"/>
          <w:szCs w:val="16"/>
          <w:i w:val="1"/>
          <w:iCs w:val="1"/>
          <w:color w:val="auto"/>
        </w:rPr>
        <w:t>Reference Rate Reform (Topic 848): Facilitation of the Effects of Reference Rate Reform on Financial Reporting.</w:t>
      </w:r>
      <w:r>
        <w:rPr>
          <w:rFonts w:ascii="Arial" w:cs="Arial" w:eastAsia="Arial" w:hAnsi="Arial"/>
          <w:sz w:val="16"/>
          <w:szCs w:val="16"/>
          <w:color w:val="auto"/>
        </w:rPr>
        <w:t xml:space="preserve"> The amendment provides optional expedients and exceptions to applying the guidance on contract modifications, hedge accounting and other transactions to simplify the accounting for transitioning from the London Interbank Offered Rate (“LIBOR”), and other interbank offered rates expected to be discontinued, to alternative reference rates. The guidance in this update was effective upon its issuance; if elected, it is to be applied prospectively through December 31, 2022. The Company is currently evaluating the effect the potential adoption of this ASU will have on the Company’s consolidated financial statements.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for basic and diluted earnings per share for the years ended December 31, 2020, 2019 and 2018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20" w:type="dxa"/>
            <w:vAlign w:val="bottom"/>
            <w:tcBorders>
              <w:bottom w:val="single" w:sz="8" w:color="CFF0FC"/>
            </w:tcBorders>
          </w:tcPr>
          <w:p>
            <w:pPr>
              <w:spacing w:after="0"/>
              <w:rPr>
                <w:sz w:val="12"/>
                <w:szCs w:val="12"/>
                <w:color w:val="auto"/>
              </w:rPr>
            </w:pPr>
          </w:p>
        </w:tc>
        <w:tc>
          <w:tcPr>
            <w:tcW w:w="5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Loss on discontinued operations, net of income taxes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stock options and restricted stock units</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5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65,872</w:t>
            </w:r>
          </w:p>
        </w:tc>
        <w:tc>
          <w:tcPr>
            <w:tcW w:w="2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per share from continuing operations — basic</w:t>
            </w:r>
          </w:p>
        </w:tc>
        <w:tc>
          <w:tcPr>
            <w:tcW w:w="7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from continuing operations — diluted</w:t>
            </w:r>
          </w:p>
        </w:tc>
        <w:tc>
          <w:tcPr>
            <w:tcW w:w="7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For the years ended December 31, 2020, 2019 and 2018 the following amounts of NQSOs and RSUs were excluded from the calculation of diluted earnings per share based on the application of the treasury stock method, as such NQSOs and RSUs were determined to be anti-dilutive: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gridSpan w:val="3"/>
          </w:tcPr>
          <w:p>
            <w:pPr>
              <w:ind w:left="1140"/>
              <w:spacing w:after="0"/>
              <w:rPr>
                <w:sz w:val="20"/>
                <w:szCs w:val="20"/>
                <w:color w:val="auto"/>
              </w:rPr>
            </w:pPr>
            <w:r>
              <w:rPr>
                <w:rFonts w:ascii="Arial" w:cs="Arial" w:eastAsia="Arial" w:hAnsi="Arial"/>
                <w:sz w:val="14"/>
                <w:szCs w:val="14"/>
                <w:b w:val="1"/>
                <w:bCs w:val="1"/>
                <w:color w:val="auto"/>
              </w:rPr>
              <w:t>(shares in thousands)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7"/>
        </w:trPr>
        <w:tc>
          <w:tcPr>
            <w:tcW w:w="7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2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spacing w:after="0"/>
              <w:rPr>
                <w:sz w:val="22"/>
                <w:szCs w:val="22"/>
                <w:color w:val="auto"/>
              </w:rPr>
            </w:pPr>
          </w:p>
        </w:tc>
      </w:tr>
      <w:tr>
        <w:trPr>
          <w:trHeight w:val="25"/>
        </w:trPr>
        <w:tc>
          <w:tcPr>
            <w:tcW w:w="63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8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1,285</w:t>
            </w:r>
          </w:p>
        </w:tc>
        <w:tc>
          <w:tcPr>
            <w:tcW w:w="1120" w:type="dxa"/>
            <w:vAlign w:val="bottom"/>
          </w:tcPr>
          <w:p>
            <w:pPr>
              <w:spacing w:after="0"/>
              <w:rPr>
                <w:sz w:val="19"/>
                <w:szCs w:val="19"/>
                <w:color w:val="auto"/>
              </w:rPr>
            </w:pPr>
          </w:p>
        </w:tc>
      </w:tr>
      <w:tr>
        <w:trPr>
          <w:trHeight w:val="648"/>
        </w:trPr>
        <w:tc>
          <w:tcPr>
            <w:tcW w:w="6340" w:type="dxa"/>
            <w:vAlign w:val="bottom"/>
            <w:gridSpan w:val="2"/>
          </w:tcPr>
          <w:p>
            <w:pPr>
              <w:jc w:val="right"/>
              <w:ind w:right="530"/>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at December 31, 2020 and 2019 are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762,350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738,375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790,908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(407,866)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(395,141)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383,042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Operating equipment of $2,900 and $3,970 was classified as held for sale, excluded from property and equipment, as of December 31, 2020 and 2019, respectively.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$38,183, $37,145 and $50,389, for the years ended December 31, 2020, 2019 and 2018, respectively.</w:t>
      </w:r>
    </w:p>
    <w:p>
      <w:pPr>
        <w:spacing w:after="0" w:line="266"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For more information about changes in assets held for sale and depreciation expense related to the Company’s restructuring refer to Note 12, Restructuring Charges.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2028.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53"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lease costs are recorded in cost of contract revenues and general and administrative expenses.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respectively, lease costs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lease cost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24,602</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87,534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1700"/>
              <w:spacing w:after="0"/>
              <w:rPr>
                <w:sz w:val="20"/>
                <w:szCs w:val="20"/>
                <w:color w:val="auto"/>
              </w:rPr>
            </w:pPr>
            <w:r>
              <w:rPr>
                <w:rFonts w:ascii="Arial" w:cs="Arial" w:eastAsia="Arial" w:hAnsi="Arial"/>
                <w:sz w:val="18"/>
                <w:szCs w:val="18"/>
                <w:color w:val="auto"/>
              </w:rPr>
              <w:t>Total lease cost</w:t>
            </w:r>
          </w:p>
        </w:tc>
        <w:tc>
          <w:tcPr>
            <w:tcW w:w="1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112,136</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8" w:name="page69"/>
    <w:bookmarkEnd w:id="68"/>
    <w:p>
      <w:pPr>
        <w:ind w:right="60" w:firstLine="510"/>
        <w:spacing w:after="0" w:line="263" w:lineRule="auto"/>
        <w:rPr>
          <w:sz w:val="20"/>
          <w:szCs w:val="20"/>
          <w:color w:val="auto"/>
        </w:rPr>
      </w:pPr>
      <w:r>
        <w:rPr>
          <w:rFonts w:ascii="Arial" w:cs="Arial" w:eastAsia="Arial" w:hAnsi="Arial"/>
          <w:sz w:val="18"/>
          <w:szCs w:val="18"/>
          <w:color w:val="auto"/>
        </w:rPr>
        <w:t>Total rent expense under long-term operating lease arrangements for the year ended December 31, 2018 was $21,160. This excludes expenses for equipment and facilities rented on a short-term, as-needed basis. For more information about charges to rent expense during 2018 related to the Company’s restructuring refer to Note 12, Restructuring Charges.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recorded on the balance sheet, the Company’s maturity analysis of its operating lease liabilities as of December 31, 2020 is as follows:</w:t>
      </w:r>
    </w:p>
    <w:p>
      <w:pPr>
        <w:spacing w:after="0" w:line="200" w:lineRule="exact"/>
        <w:rPr>
          <w:sz w:val="20"/>
          <w:szCs w:val="20"/>
          <w:color w:val="auto"/>
        </w:rPr>
      </w:pPr>
    </w:p>
    <w:p>
      <w:pPr>
        <w:spacing w:after="0" w:line="280"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520" w:type="dxa"/>
            <w:vAlign w:val="bottom"/>
          </w:tcPr>
          <w:p>
            <w:pPr>
              <w:jc w:val="right"/>
              <w:ind w:right="4010"/>
              <w:spacing w:after="0"/>
              <w:rPr>
                <w:sz w:val="20"/>
                <w:szCs w:val="20"/>
                <w:color w:val="auto"/>
              </w:rPr>
            </w:pPr>
            <w:r>
              <w:rPr>
                <w:rFonts w:ascii="Arial" w:cs="Arial" w:eastAsia="Arial" w:hAnsi="Arial"/>
                <w:sz w:val="18"/>
                <w:szCs w:val="18"/>
                <w:color w:val="auto"/>
                <w:w w:val="99"/>
              </w:rPr>
              <w:t>2021</w:t>
            </w:r>
          </w:p>
        </w:tc>
        <w:tc>
          <w:tcPr>
            <w:tcW w:w="1160" w:type="dxa"/>
            <w:vAlign w:val="bottom"/>
            <w:gridSpan w:val="2"/>
          </w:tcPr>
          <w:p>
            <w:pPr>
              <w:jc w:val="right"/>
              <w:ind w:right="987"/>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22,247</w:t>
            </w:r>
          </w:p>
        </w:tc>
        <w:tc>
          <w:tcPr>
            <w:tcW w:w="80" w:type="dxa"/>
            <w:vAlign w:val="bottom"/>
          </w:tcPr>
          <w:p>
            <w:pPr>
              <w:spacing w:after="0"/>
              <w:rPr>
                <w:sz w:val="20"/>
                <w:szCs w:val="20"/>
                <w:color w:val="auto"/>
              </w:rPr>
            </w:pPr>
          </w:p>
        </w:tc>
      </w:tr>
      <w:tr>
        <w:trPr>
          <w:trHeight w:val="230"/>
        </w:trPr>
        <w:tc>
          <w:tcPr>
            <w:tcW w:w="4520" w:type="dxa"/>
            <w:vAlign w:val="bottom"/>
            <w:shd w:val="clear" w:color="auto" w:fill="CFF0FC"/>
          </w:tcPr>
          <w:p>
            <w:pPr>
              <w:jc w:val="right"/>
              <w:ind w:right="4010"/>
              <w:spacing w:after="0"/>
              <w:rPr>
                <w:sz w:val="20"/>
                <w:szCs w:val="20"/>
                <w:color w:val="auto"/>
              </w:rPr>
            </w:pPr>
            <w:r>
              <w:rPr>
                <w:rFonts w:ascii="Arial" w:cs="Arial" w:eastAsia="Arial" w:hAnsi="Arial"/>
                <w:sz w:val="18"/>
                <w:szCs w:val="18"/>
                <w:color w:val="auto"/>
                <w:w w:val="99"/>
              </w:rPr>
              <w:t>2022</w:t>
            </w:r>
          </w:p>
        </w:tc>
        <w:tc>
          <w:tcPr>
            <w:tcW w:w="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18,467</w:t>
            </w: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jc w:val="right"/>
              <w:ind w:right="4010"/>
              <w:spacing w:after="0"/>
              <w:rPr>
                <w:sz w:val="20"/>
                <w:szCs w:val="20"/>
                <w:color w:val="auto"/>
              </w:rPr>
            </w:pPr>
            <w:r>
              <w:rPr>
                <w:rFonts w:ascii="Arial" w:cs="Arial" w:eastAsia="Arial" w:hAnsi="Arial"/>
                <w:sz w:val="18"/>
                <w:szCs w:val="18"/>
                <w:color w:val="auto"/>
                <w:w w:val="99"/>
              </w:rPr>
              <w:t>2023</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13,321</w:t>
            </w:r>
          </w:p>
        </w:tc>
        <w:tc>
          <w:tcPr>
            <w:tcW w:w="80" w:type="dxa"/>
            <w:vAlign w:val="bottom"/>
          </w:tcPr>
          <w:p>
            <w:pPr>
              <w:spacing w:after="0"/>
              <w:rPr>
                <w:sz w:val="19"/>
                <w:szCs w:val="19"/>
                <w:color w:val="auto"/>
              </w:rPr>
            </w:pPr>
          </w:p>
        </w:tc>
      </w:tr>
      <w:tr>
        <w:trPr>
          <w:trHeight w:val="230"/>
        </w:trPr>
        <w:tc>
          <w:tcPr>
            <w:tcW w:w="4520" w:type="dxa"/>
            <w:vAlign w:val="bottom"/>
            <w:shd w:val="clear" w:color="auto" w:fill="CFF0FC"/>
          </w:tcPr>
          <w:p>
            <w:pPr>
              <w:jc w:val="right"/>
              <w:ind w:right="4010"/>
              <w:spacing w:after="0"/>
              <w:rPr>
                <w:sz w:val="20"/>
                <w:szCs w:val="20"/>
                <w:color w:val="auto"/>
              </w:rPr>
            </w:pPr>
            <w:r>
              <w:rPr>
                <w:rFonts w:ascii="Arial" w:cs="Arial" w:eastAsia="Arial" w:hAnsi="Arial"/>
                <w:sz w:val="18"/>
                <w:szCs w:val="18"/>
                <w:color w:val="auto"/>
                <w:w w:val="99"/>
              </w:rPr>
              <w:t>2024</w:t>
            </w:r>
          </w:p>
        </w:tc>
        <w:tc>
          <w:tcPr>
            <w:tcW w:w="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9,768</w:t>
            </w: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jc w:val="right"/>
              <w:ind w:right="4010"/>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5,053</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tcPr>
          <w:p>
            <w:pPr>
              <w:jc w:val="right"/>
              <w:ind w:right="2450"/>
              <w:spacing w:after="0"/>
              <w:rPr>
                <w:sz w:val="20"/>
                <w:szCs w:val="20"/>
                <w:color w:val="auto"/>
              </w:rPr>
            </w:pPr>
            <w:r>
              <w:rPr>
                <w:rFonts w:ascii="Arial" w:cs="Arial" w:eastAsia="Arial" w:hAnsi="Arial"/>
                <w:sz w:val="18"/>
                <w:szCs w:val="18"/>
                <w:color w:val="auto"/>
                <w:w w:val="96"/>
              </w:rPr>
              <w:t>Minimum lease payments</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72,831</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Imputed interest</w:t>
            </w:r>
          </w:p>
        </w:tc>
        <w:tc>
          <w:tcPr>
            <w:tcW w:w="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Present value of minimum operating lease payments</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65,351</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firstLine="510"/>
        <w:spacing w:after="0" w:line="286" w:lineRule="auto"/>
        <w:rPr>
          <w:sz w:val="20"/>
          <w:szCs w:val="20"/>
          <w:color w:val="auto"/>
        </w:rPr>
      </w:pPr>
      <w:r>
        <w:rPr>
          <w:rFonts w:ascii="Arial" w:cs="Arial" w:eastAsia="Arial" w:hAnsi="Arial"/>
          <w:sz w:val="17"/>
          <w:szCs w:val="17"/>
          <w:color w:val="auto"/>
        </w:rPr>
        <w:t>As most of the Company’s leases do not provide an implicit rate, the Company used its incremental borrowing rate based on the information available at commencement date in determining the present value of lease payments. At the date of adoption of ASC 842, the Company used the incremental borrowing rate as of December 31, 2018, for operating leases that commenced prior to that date.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the Company’s leases as of December 31, 2020 and 2019, respectively, is as follows:</w:t>
      </w:r>
    </w:p>
    <w:p>
      <w:pPr>
        <w:spacing w:after="0" w:line="298"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2020</w:t>
            </w: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years</w:t>
            </w:r>
          </w:p>
        </w:tc>
        <w:tc>
          <w:tcPr>
            <w:tcW w:w="3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information related to leases during the year ended December 31, 2020 and 2019, respectively,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Year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December 31, 2020</w:t>
            </w:r>
          </w:p>
        </w:tc>
        <w:tc>
          <w:tcPr>
            <w:tcW w:w="180" w:type="dxa"/>
            <w:vAlign w:val="bottom"/>
          </w:tcPr>
          <w:p>
            <w:pPr>
              <w:spacing w:after="0"/>
              <w:rPr>
                <w:sz w:val="14"/>
                <w:szCs w:val="14"/>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(25,064)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(27,235)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2"/>
              </w:rPr>
              <w:t>Operating lease liabilities arising from obtaining new</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1700"/>
              <w:spacing w:after="0"/>
              <w:rPr>
                <w:sz w:val="20"/>
                <w:szCs w:val="20"/>
                <w:color w:val="auto"/>
              </w:rPr>
            </w:pPr>
            <w:r>
              <w:rPr>
                <w:rFonts w:ascii="Arial" w:cs="Arial" w:eastAsia="Arial" w:hAnsi="Arial"/>
                <w:sz w:val="18"/>
                <w:szCs w:val="18"/>
                <w:color w:val="auto"/>
              </w:rPr>
              <w:t>operating lease assets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22,746</w:t>
            </w:r>
          </w:p>
        </w:tc>
        <w:tc>
          <w:tcPr>
            <w:tcW w:w="120" w:type="dxa"/>
            <w:vAlign w:val="bottom"/>
          </w:tcPr>
          <w:p>
            <w:pPr>
              <w:spacing w:after="0"/>
              <w:rPr>
                <w:sz w:val="20"/>
                <w:szCs w:val="20"/>
                <w:color w:val="auto"/>
              </w:rPr>
            </w:pPr>
          </w:p>
        </w:tc>
        <w:tc>
          <w:tcPr>
            <w:tcW w:w="5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ind w:left="520"/>
              <w:spacing w:after="0"/>
              <w:rPr>
                <w:sz w:val="20"/>
                <w:szCs w:val="20"/>
                <w:color w:val="auto"/>
              </w:rPr>
            </w:pPr>
            <w:r>
              <w:rPr>
                <w:rFonts w:ascii="Arial" w:cs="Arial" w:eastAsia="Arial" w:hAnsi="Arial"/>
                <w:sz w:val="18"/>
                <w:szCs w:val="18"/>
                <w:color w:val="auto"/>
                <w:w w:val="91"/>
              </w:rPr>
              <w:t>Accrued expenses at December 31, 2020 and 2019 were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40" w:type="dxa"/>
            <w:vAlign w:val="bottom"/>
            <w:gridSpan w:val="2"/>
            <w:vMerge w:val="restart"/>
          </w:tcPr>
          <w:p>
            <w:pPr>
              <w:ind w:left="1700"/>
              <w:spacing w:after="0"/>
              <w:rPr>
                <w:sz w:val="20"/>
                <w:szCs w:val="20"/>
                <w:color w:val="auto"/>
              </w:rPr>
            </w:pPr>
            <w:r>
              <w:rPr>
                <w:rFonts w:ascii="Arial" w:cs="Arial" w:eastAsia="Arial" w:hAnsi="Arial"/>
                <w:sz w:val="18"/>
                <w:szCs w:val="18"/>
                <w:color w:val="auto"/>
              </w:rPr>
              <w:t>Payroll and employee benefits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28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21,675</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14,754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8,530</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1700"/>
              <w:spacing w:after="0"/>
              <w:rPr>
                <w:sz w:val="20"/>
                <w:szCs w:val="20"/>
                <w:color w:val="auto"/>
              </w:rPr>
            </w:pPr>
            <w:r>
              <w:rPr>
                <w:rFonts w:ascii="Arial" w:cs="Arial" w:eastAsia="Arial" w:hAnsi="Arial"/>
                <w:sz w:val="18"/>
                <w:szCs w:val="18"/>
                <w:color w:val="auto"/>
              </w:rPr>
              <w:t>Total accrued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52,899</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79"/>
              </w:rPr>
              <w:t>67</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at December 31, 2020 and 2019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60" w:type="dxa"/>
            <w:vAlign w:val="bottom"/>
            <w:vMerge w:val="restart"/>
          </w:tcPr>
          <w:p>
            <w:pPr>
              <w:spacing w:after="0"/>
              <w:rPr>
                <w:sz w:val="20"/>
                <w:szCs w:val="20"/>
                <w:color w:val="auto"/>
              </w:rPr>
            </w:pPr>
            <w:r>
              <w:rPr>
                <w:rFonts w:ascii="Arial" w:cs="Arial" w:eastAsia="Arial" w:hAnsi="Arial"/>
                <w:sz w:val="18"/>
                <w:szCs w:val="18"/>
                <w:color w:val="auto"/>
              </w:rPr>
              <w:t>Revolving credit facility</w:t>
            </w:r>
          </w:p>
        </w:tc>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6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8% Senior Notes</w:t>
            </w:r>
          </w:p>
        </w:tc>
        <w:tc>
          <w:tcPr>
            <w:tcW w:w="1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323,735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1"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On May 3, 2019, the Company, Great Lakes Dredge &amp; Dock Company, LLC, NASDI Holdings, LLC, Great Lakes Dredge &amp; Dock Environmental, Inc., Great Lakes Environmental &amp; Infrastructure Solutions, LLC, Great Lakes U.S. Fleet Management, LLC, and Drews Services LLC (collectively, the “Credit Parties”) entered into an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Suntrust Robinson Humphrey, Inc. and Bank of America, N.A., as Joint Lead Arrangers and Joint Bookrunners, and HSBC USA, N.A., as Documentation Agent. The Amended Credit Agreement amends and restates the prior Revolving Credit and Security Agreement dated as of December 30, 2016 (as amended, the “Prior Credit Agreement”)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20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Amended Credit Agreement provides for a senior secured revolving credit facility in an aggregate principal amount of up to $200,000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22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and for other general corporate purposes. The Amended Credit Agreement matures on May 3, 2024; provided that the maturity date shall be accelerated to the date that is ninety-one days prior to the scheduled maturity date of the Company’s unsecured senior notes if the Company fails to refinance its unsecured senior notes prior to their scheduled maturity date. The refinanced 8% Senior Notes must have a maturity on or after the date that is 180 days after the maturity date of the Amended Credit Agreement.</w:t>
      </w:r>
    </w:p>
    <w:p>
      <w:pPr>
        <w:spacing w:after="0" w:line="22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22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LIBOR option, at the Company’s election. As of the Closing Date, (a) the Domestic Rate option is the highest of (1) the base commercial lending rate of PNC Bank, National Association, as publicly announced, (2) the sum of the federal funds open rate plus 0.5% and (3) the sum of the daily LIBOR rate plus 1.0%, so long as a daily LIBOR rate is offered, ascertainable and not unlawful plus an interest margin of 0.5%; and (b) the LIBOR Rate option is the rate that applies for the applicable interest period on the Bloomberg page BBAMI (or such other substitute page or alternate source as agreed) plus an interest margin of</w:t>
      </w:r>
    </w:p>
    <w:p>
      <w:pPr>
        <w:spacing w:after="0" w:line="2"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1.5%. After the date on which a borrowing base certificate is required to be delivered under Section 9.2 of the Amended Credit Agreement (commencing with the fiscal quarter ended September 30, 2019, the “Adjustment Date”), the Domestic Rate option will be the Domestic Rate plus an interest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right="220"/>
        <w:spacing w:after="0" w:line="277" w:lineRule="auto"/>
        <w:rPr>
          <w:sz w:val="20"/>
          <w:szCs w:val="20"/>
          <w:color w:val="auto"/>
        </w:rPr>
      </w:pPr>
      <w:r>
        <w:rPr>
          <w:rFonts w:ascii="Arial" w:cs="Arial" w:eastAsia="Arial" w:hAnsi="Arial"/>
          <w:sz w:val="18"/>
          <w:szCs w:val="18"/>
          <w:color w:val="auto"/>
        </w:rPr>
        <w:t>margin ranging between 0.5% and 1.0% and the LIBOR Rate option will be the LIBOR Rate plus an interest margin ranging between 1.5% and 2.0%, in each case, depending on the quarterly average undrawn availability on the Amended Credit Agreement.</w:t>
      </w:r>
    </w:p>
    <w:p>
      <w:pPr>
        <w:spacing w:after="0" w:line="19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Company had no borrowings on the revolver, $36,407 and $35,779 of letters of credit outstanding and $163,231 and $163,729 of availability under the Amended Credit Agreement as of December 31, 2020 and 2019, respectively. The availability under the Amended Credit Agreement is suppressed by $362 and $492 as of December 31, 2020 and 2019, respectively, as a result of certain limitations set forth in the Amended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3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has outstanding $325,000 of 8.000% senior notes (“8% Senior Notes”) due May 15, 2022. In May 2017, the Company issued the 8% Senior Notes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prior Credit Agreement.</w:t>
      </w:r>
    </w:p>
    <w:p>
      <w:pPr>
        <w:spacing w:after="0" w:line="198" w:lineRule="exact"/>
        <w:rPr>
          <w:sz w:val="20"/>
          <w:szCs w:val="20"/>
          <w:color w:val="auto"/>
        </w:rPr>
      </w:pPr>
    </w:p>
    <w:p>
      <w:pPr>
        <w:ind w:right="660" w:firstLine="510"/>
        <w:spacing w:after="0" w:line="263"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Company enters into note arrangements to finance certain vessels and ancillary equipment. In February 2018, the Company completed a sale-leaseback of a vessel yielding net proceeds of $4,500. Included in this transaction was the retirement of the asset and related equipment note.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through the maturity date of the Company’s long-term debt at December 31, 2020, are as follows:</w:t>
      </w:r>
    </w:p>
    <w:p>
      <w:pPr>
        <w:spacing w:after="0" w:line="230" w:lineRule="exact"/>
        <w:rPr>
          <w:sz w:val="20"/>
          <w:szCs w:val="20"/>
          <w:color w:val="auto"/>
        </w:rPr>
      </w:pPr>
    </w:p>
    <w:tbl>
      <w:tblPr>
        <w:tblLayout w:type="fixed"/>
        <w:tblInd w:w="352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 term debt of $1,611, $2,231 and $3,504 for each of the years ended December 31, 2020, 2019 and 2018. Such amortization is recorded as a component of interest expense.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1" w:name="page72"/>
    <w:bookmarkEnd w:id="71"/>
    <w:p>
      <w:pPr>
        <w:ind w:right="180"/>
        <w:spacing w:after="0" w:line="277" w:lineRule="auto"/>
        <w:rPr>
          <w:sz w:val="20"/>
          <w:szCs w:val="20"/>
          <w:color w:val="auto"/>
        </w:rPr>
      </w:pPr>
      <w:r>
        <w:rPr>
          <w:rFonts w:ascii="Arial" w:cs="Arial" w:eastAsia="Arial" w:hAnsi="Arial"/>
          <w:sz w:val="18"/>
          <w:szCs w:val="18"/>
          <w:color w:val="auto"/>
        </w:rPr>
        <w:t>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6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3"/>
              </w:rPr>
              <w:t>At December 31, 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4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6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3"/>
              </w:rPr>
              <w:t>At December 31, 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4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backlog.</w:t>
      </w:r>
    </w:p>
    <w:p>
      <w:pPr>
        <w:spacing w:after="0" w:line="187"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As of December 31, 2020, the Company was party to various swap arrangements to hedge the price of a portion of its diesel fuel purchase requirements for work in its backlog to be performed through December 2021. As of December 31, 2020, there were 11.9 million gallons remaining on these contracts which represent approximately 80% of the Company’s forecasted domestic fuel purchases through December 2021. Under these swap agreements, the Company will pay fixed prices ranging from $1.12 to $1.90 per gallon.</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At December 31, 2020 and 2019, the fair value asset of the fuel hedge contracts were estimated to be $1,739 and $849, respectively, and are recorded in other current assets. For fuel hedge contracts considered to be highly effective, the losses reclassified to earnings from changes in fair value of derivatives, net of cash settlements and taxes, for the year ended December 31, 2020 were $5,825. The remaining gains and losses included in the accumulated other comprehensive income (loss) at December 31, 2020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7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fuel hedge contracts outstanding as of December 31, 2020 and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Fair Value at December 31,</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9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720" w:type="dxa"/>
            <w:vAlign w:val="bottom"/>
            <w:tcBorders>
              <w:top w:val="single" w:sz="8" w:color="auto"/>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3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w w:val="99"/>
              </w:rPr>
              <w:t>Derivatives designated as hedging instruments</w:t>
            </w: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675"/>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00" w:type="dxa"/>
            <w:vAlign w:val="bottom"/>
            <w:gridSpan w:val="2"/>
          </w:tcPr>
          <w:p>
            <w:pPr>
              <w:jc w:val="right"/>
              <w:ind w:right="15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Assets included within assets held for sale are reclassified from property and equipment at fair value less cost to sell. Goodwill and long-lived assets are measured at fair value to test for and measure impairment, if any, at least annually for goodwill or when necessary for both goodwill and long-lived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w w:val="93"/>
              </w:rPr>
              <w:t>Reclassification of derivative (gains) losses to earnings—net of tax</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(5,152)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unrealized (gain) loss on derivatives—net of tax</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220" w:type="dxa"/>
            <w:vAlign w:val="bottom"/>
            <w:gridSpan w:val="2"/>
          </w:tcPr>
          <w:p>
            <w:pPr>
              <w:ind w:left="30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30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2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3220" w:type="dxa"/>
            <w:vAlign w:val="bottom"/>
            <w:gridSpan w:val="2"/>
          </w:tcPr>
          <w:p>
            <w:pPr>
              <w:ind w:left="300"/>
              <w:spacing w:after="0"/>
              <w:rPr>
                <w:sz w:val="20"/>
                <w:szCs w:val="20"/>
                <w:color w:val="auto"/>
              </w:rPr>
            </w:pPr>
            <w:r>
              <w:rPr>
                <w:rFonts w:ascii="Arial" w:cs="Arial" w:eastAsia="Arial" w:hAnsi="Arial"/>
                <w:sz w:val="18"/>
                <w:szCs w:val="18"/>
                <w:color w:val="auto"/>
              </w:rPr>
              <w:t>Costs of contract revenues</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7,703</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(2,125)</w:t>
            </w:r>
          </w:p>
        </w:tc>
      </w:tr>
      <w:tr>
        <w:trPr>
          <w:trHeight w:val="229"/>
        </w:trPr>
        <w:tc>
          <w:tcPr>
            <w:tcW w:w="2020" w:type="dxa"/>
            <w:vAlign w:val="bottom"/>
            <w:shd w:val="clear" w:color="auto" w:fill="CFF0FC"/>
          </w:tcPr>
          <w:p>
            <w:pPr>
              <w:spacing w:after="0"/>
              <w:rPr>
                <w:sz w:val="19"/>
                <w:szCs w:val="19"/>
                <w:color w:val="auto"/>
              </w:rPr>
            </w:pPr>
          </w:p>
        </w:tc>
        <w:tc>
          <w:tcPr>
            <w:tcW w:w="32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r>
      <w:tr>
        <w:trPr>
          <w:trHeight w:val="223"/>
        </w:trPr>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19"/>
                <w:szCs w:val="19"/>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substantially completed the liquidation of the investment in its Brazil and Australia operations during 2018. This liquidation resulted in the reversal of the Company’s cumulative translation adjustment. Adjustments reclassified from accumulated balances of other comprehensive income (loss) to earnings are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Arial" w:cs="Arial" w:eastAsia="Arial" w:hAnsi="Arial"/>
                <w:sz w:val="14"/>
                <w:szCs w:val="14"/>
                <w:b w:val="1"/>
                <w:bCs w:val="1"/>
                <w:color w:val="auto"/>
              </w:rPr>
              <w:t>Statement of Operations Location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360" w:type="dxa"/>
            <w:vAlign w:val="bottom"/>
            <w:tcBorders>
              <w:top w:val="single" w:sz="8" w:color="CFF0FC"/>
            </w:tcBorders>
            <w:shd w:val="clear" w:color="auto" w:fill="CFF0FC"/>
          </w:tcPr>
          <w:p>
            <w:pPr>
              <w:spacing w:after="0"/>
              <w:rPr>
                <w:sz w:val="19"/>
                <w:szCs w:val="19"/>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w:t>
            </w:r>
          </w:p>
        </w:tc>
      </w:tr>
      <w:tr>
        <w:trPr>
          <w:trHeight w:val="230"/>
        </w:trPr>
        <w:tc>
          <w:tcPr>
            <w:tcW w:w="2860" w:type="dxa"/>
            <w:vAlign w:val="bottom"/>
            <w:tcBorders>
              <w:bottom w:val="single" w:sz="8" w:color="CFF0FC"/>
            </w:tcBorders>
          </w:tcPr>
          <w:p>
            <w:pPr>
              <w:spacing w:after="0"/>
              <w:rPr>
                <w:sz w:val="19"/>
                <w:szCs w:val="19"/>
                <w:color w:val="auto"/>
              </w:rPr>
            </w:pPr>
          </w:p>
        </w:tc>
        <w:tc>
          <w:tcPr>
            <w:tcW w:w="4400" w:type="dxa"/>
            <w:vAlign w:val="bottom"/>
            <w:tcBorders>
              <w:bottom w:val="single" w:sz="8" w:color="CFF0FC"/>
            </w:tcBorders>
            <w:gridSpan w:val="2"/>
          </w:tcPr>
          <w:p>
            <w:pPr>
              <w:ind w:left="34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612</w:t>
            </w:r>
          </w:p>
        </w:tc>
      </w:tr>
      <w:tr>
        <w:trPr>
          <w:trHeight w:val="223"/>
        </w:trPr>
        <w:tc>
          <w:tcPr>
            <w:tcW w:w="28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senior revolving credit agreement approximates fair value. In May 2017, the Company issued a total of $325,000 of 8.000% senior notes due May 15, 2022, which were outstanding at December 31, 2020 (See Note 6, Long-Term Debt). The 8% Senior Notes are senior unsecured obligations of the Company and its subsidiaries that guarantee the Senior Notes. The fair value of the senior notes was $333,320 at December 31, 2020,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income tax provision (benefit) from continuing and discontinued operations for the year ended December 31, 2020 is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8"/>
                <w:szCs w:val="18"/>
                <w:color w:val="auto"/>
              </w:rPr>
              <w:t>Income tax provision from continuing operations</w:t>
            </w:r>
          </w:p>
        </w:tc>
        <w:tc>
          <w:tcPr>
            <w:tcW w:w="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20,187</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discontinued operations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(4,556)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income (loss) from continuing operations before income tax from domestic and foreign continuing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6"/>
        </w:trPr>
        <w:tc>
          <w:tcPr>
            <w:tcW w:w="53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Domestic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26,878</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Foreign operations</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(10,425)</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(loss) from continuing operations before income tax</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(benefit) for income taxes from continuing operations as of December 31, 2020, 2019 and 2018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6"/>
        </w:trPr>
        <w:tc>
          <w:tcPr>
            <w:tcW w:w="3080" w:type="dxa"/>
            <w:vAlign w:val="bottom"/>
            <w:tcBorders>
              <w:bottom w:val="single" w:sz="8" w:color="CFF0FC"/>
            </w:tcBorders>
          </w:tcPr>
          <w:p>
            <w:pPr>
              <w:spacing w:after="0"/>
              <w:rPr>
                <w:sz w:val="2"/>
                <w:szCs w:val="2"/>
                <w:color w:val="auto"/>
              </w:rPr>
            </w:pPr>
          </w:p>
        </w:tc>
        <w:tc>
          <w:tcPr>
            <w:tcW w:w="22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w:t>
            </w: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State:</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ind w:left="240"/>
              <w:spacing w:after="0"/>
              <w:rPr>
                <w:sz w:val="20"/>
                <w:szCs w:val="20"/>
                <w:color w:val="auto"/>
              </w:rPr>
            </w:pPr>
            <w:r>
              <w:rPr>
                <w:rFonts w:ascii="Arial" w:cs="Arial" w:eastAsia="Arial" w:hAnsi="Arial"/>
                <w:sz w:val="18"/>
                <w:szCs w:val="18"/>
                <w:color w:val="auto"/>
              </w:rPr>
              <w:t>Deferred</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9"/>
                <w:szCs w:val="19"/>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0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Company’s income tax provision (benefit) from continuing operations reconciles to the provision at the statutory U.S. federal income tax rate of 21% for the years ended December 31, 2020, 2019 and 2018,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5"/>
        </w:trPr>
        <w:tc>
          <w:tcPr>
            <w:tcW w:w="55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at statutory U.S. federal income tax rate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law regarding NOL carryforwards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Change in deferred state tax rate</w:t>
            </w:r>
          </w:p>
        </w:tc>
        <w:tc>
          <w:tcPr>
            <w:tcW w:w="2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(1,835)</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r>
      <w:tr>
        <w:trPr>
          <w:trHeight w:val="223"/>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At December 31, 2020 and 2019, the Company had loss carryforwards for federal income tax purposes of $92,328 and $137,100 respectively, which expire between 2034 and 2037.</w:t>
      </w:r>
    </w:p>
    <w:p>
      <w:pPr>
        <w:spacing w:after="0" w:line="170"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At December 31, 2020 and 2019, the Company had gross net operating loss carryforwards for state income tax purposes totaling $170,738 and $223,634, respectively, which expire between 2023 and 2039. Due to changes in state tax law enacted during 2016 in a certain state, a valuation allowance was established. The Company has established a valuation allowance that was $1,628 as of December 31, 2020 and $1,778 as of December 31, 2019. The Company believes that the remaining net operating losses, net of the valuation allowance, will be fully utilized in future periods.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74" w:name="page75"/>
    <w:bookmarkEnd w:id="74"/>
    <w:p>
      <w:pPr>
        <w:jc w:val="both"/>
        <w:ind w:right="180" w:firstLine="510"/>
        <w:spacing w:after="0" w:line="259" w:lineRule="auto"/>
        <w:rPr>
          <w:sz w:val="20"/>
          <w:szCs w:val="20"/>
          <w:color w:val="auto"/>
        </w:rPr>
      </w:pPr>
      <w:r>
        <w:rPr>
          <w:rFonts w:ascii="Arial" w:cs="Arial" w:eastAsia="Arial" w:hAnsi="Arial"/>
          <w:sz w:val="18"/>
          <w:szCs w:val="18"/>
          <w:color w:val="auto"/>
        </w:rPr>
        <w:t>The Company also has foreign gross net operating loss carryforwards of approximately $2,414 and $6,777 as of December 31, 2020 and 2019, of which expire between 2020 and 2030. At December 31, 2020 and 2019, a full valuation allowance has been established for the deferred tax asset of $845 and $1,717 related to foreign net operating loss carryforwards, respectively, as the Company believes it is more likely than not that the net operating loss carryforwards will not be realized.</w:t>
      </w:r>
    </w:p>
    <w:p>
      <w:pPr>
        <w:spacing w:after="0" w:line="18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70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6"/>
        </w:trPr>
        <w:tc>
          <w:tcPr>
            <w:tcW w:w="4360" w:type="dxa"/>
            <w:vAlign w:val="bottom"/>
            <w:tcBorders>
              <w:bottom w:val="single" w:sz="8" w:color="CFF0FC"/>
            </w:tcBorders>
          </w:tcPr>
          <w:p>
            <w:pPr>
              <w:spacing w:after="0"/>
              <w:rPr>
                <w:sz w:val="2"/>
                <w:szCs w:val="2"/>
                <w:color w:val="auto"/>
              </w:rPr>
            </w:pPr>
          </w:p>
        </w:tc>
        <w:tc>
          <w:tcPr>
            <w:tcW w:w="94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 January 1</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Gross increases — current period tax positions</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Gross decreases — expirations</w:t>
            </w: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 tax positions in prior period</w:t>
            </w:r>
          </w:p>
        </w:tc>
        <w:tc>
          <w:tcPr>
            <w:tcW w:w="9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(157)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9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2020 and December 31, 2019 the Company had no interest and penalties recorded and as of December 31, 2018 it had approximately $71 of interest and penalties recorded.</w:t>
      </w:r>
    </w:p>
    <w:p>
      <w:pPr>
        <w:spacing w:after="0" w:line="1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2017 are closed and no longer subject to examination. With few exceptions, the statute of limitations in state taxing jurisdictions in which the Company operates has expired for all years prior to 2016. In foreign jurisdictions in which the Company operates, years prior to 2015 are closed and are no longer subject to examination.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(liabilities) at December 31, 2020 and 2019 are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16,501</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Federal NOLs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NOLs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State NOLs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 credit carryforwards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Charitable contribution</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(92,547)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(16,460)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(109,446)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noncurrent deferred tax liabilities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(56,466)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2020 and 2019 as it was more likely than not that the</w:t>
      </w:r>
    </w:p>
    <w:p>
      <w:pPr>
        <w:sectPr>
          <w:pgSz w:w="11900" w:h="16838" w:orient="portrait"/>
          <w:cols w:equalWidth="0" w:num="1">
            <w:col w:w="11220"/>
          </w:cols>
          <w:pgMar w:left="320" w:top="341" w:right="359" w:bottom="144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75" w:name="page76"/>
    <w:bookmarkEnd w:id="75"/>
    <w:p>
      <w:pPr>
        <w:ind w:right="80"/>
        <w:spacing w:after="0" w:line="263" w:lineRule="auto"/>
        <w:rPr>
          <w:sz w:val="20"/>
          <w:szCs w:val="20"/>
          <w:color w:val="auto"/>
        </w:rPr>
      </w:pPr>
      <w:r>
        <w:rPr>
          <w:rFonts w:ascii="Arial" w:cs="Arial" w:eastAsia="Arial" w:hAnsi="Arial"/>
          <w:sz w:val="18"/>
          <w:szCs w:val="18"/>
          <w:color w:val="auto"/>
        </w:rPr>
        <w:t>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2020 and 2019 would ultimately be realized and determined that no valuation allowance was required.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Company’s 2017 Long-Term Incentive Plan (“Incentive Plan”) permits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w:t>
      </w:r>
    </w:p>
    <w:p>
      <w:pPr>
        <w:spacing w:after="0" w:line="18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$6,754, $6,908 and $4,643, for the years ended December 31, 2020, 2019 and 2018,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2020, 2019 and 2018. The aggregate intrinsic value of stock options represents the difference between market value on the date of exercise and the option price. The aggregate intrinsic value of stock options exercised during 2020, 2019 and 2018 was $779, $2,534 and $116, respectively.</w:t>
      </w:r>
    </w:p>
    <w:p>
      <w:pPr>
        <w:spacing w:after="0" w:line="20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2020, and changes during the year ended December 31, 2020,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 Intrinsic</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60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Options</w:t>
            </w:r>
          </w:p>
        </w:tc>
        <w:tc>
          <w:tcPr>
            <w:tcW w:w="13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 Term (yrs)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($000's)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2020</w:t>
            </w:r>
          </w:p>
        </w:tc>
        <w:tc>
          <w:tcPr>
            <w:tcW w:w="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Outstanding as of December 31,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Vested at December 31, 2020</w:t>
            </w: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RSUs can either vest in equal portions over the three year vesting period or vest in one installment on the third anniversary of the grant date. The fair value of RSUs was based upon the Company’s stock price on the date of grant. A summary of the status of the Company’s non-vested RSUs as of December 31, 2020, and changes during the year ended December 31, 2020, is presented below:</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Nonvested Restricted Stock Units</w:t>
            </w: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as of January 1, 2020</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to vest at December 31, 2020</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there was $4,374 of total unrecognized compensation cost related to non-vested RSUs granted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for non-vested RSUs is expected to be recognized over a weighted-average period of 1.9 years.</w:t>
      </w:r>
    </w:p>
    <w:p>
      <w:pPr>
        <w:spacing w:after="0" w:line="25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$4,748 and $5,008 for the years ended December 31, 2020 and 2019, respectively.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or any of its committees. Share-based compensation is paid pursuant to the Incentive Plan. Each non-employee director of the Company receives an annual retainer of $155, payable quarterly in arrears, and is generally paid 50% in cash and 50% in common stock or deferred restricted stock units of the Company. Directors may elect to receive some or all of the cash retainer in common stock or deferred restricted stock units. In 2020, the Chairman of the Board received an additional $100 of annual compensation, paid 100% in common stock.</w:t>
      </w:r>
    </w:p>
    <w:p>
      <w:pPr>
        <w:spacing w:after="0" w:line="17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the years ended December 31, 2020, 2019 and 2018, 79 thousand, 78 thousand and 156 thousand shares, respectively, of the Company’s common stock or restricted stock units were issued to non-employee directors under the Incentive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13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31"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21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7" w:name="page78"/>
    <w:bookmarkEnd w:id="77"/>
    <w:p>
      <w:pPr>
        <w:ind w:firstLine="510"/>
        <w:spacing w:after="0" w:line="263" w:lineRule="auto"/>
        <w:rPr>
          <w:sz w:val="20"/>
          <w:szCs w:val="20"/>
          <w:color w:val="auto"/>
        </w:rPr>
      </w:pPr>
      <w:r>
        <w:rPr>
          <w:rFonts w:ascii="Arial" w:cs="Arial" w:eastAsia="Arial" w:hAnsi="Arial"/>
          <w:sz w:val="18"/>
          <w:szCs w:val="18"/>
          <w:color w:val="auto"/>
        </w:rPr>
        <w:t>The majority of the Company’s contracts are completed in a year or less. At December 31, 2020, the Company had $559,376 of remaining performance obligations, which the Company refers to as total backlog. Approximately 90% of the Company’s backlog will be completed in 2021 with the remaining balance expected to be completed by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131"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31"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Domestically, the Company’s work generally is performed in coastal waterways and deep water ports. The U.S. dredging market consists of four primary types of work: capital, coastal protection, maintenance and rivers &amp; lakes. Foreign projects typically involve capital work.</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by type of work, the Company’s contract revenues for the years ended December 31, 2020, 2019 and 2018:</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Capital—U.S.</w:t>
            </w:r>
          </w:p>
        </w:tc>
        <w:tc>
          <w:tcPr>
            <w:tcW w:w="14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336,163</w:t>
            </w:r>
          </w:p>
        </w:tc>
        <w:tc>
          <w:tcPr>
            <w:tcW w:w="5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299,706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Capital—foreign</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182,369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Maintenance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104,753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711,518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by type of customer, the Company’s contract revenues for the years ended December 31, 2020, 2019 and 2018:</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w:t>
            </w:r>
          </w:p>
        </w:tc>
        <w:tc>
          <w:tcPr>
            <w:tcW w:w="11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5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State and local government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Private</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8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auto"/>
        </w:rPr>
        <w:t>Accounts receivable at December 31, 2020 and December 31, 2019 are as follows:</w:t>
      </w:r>
    </w:p>
    <w:p>
      <w:pPr>
        <w:spacing w:after="0" w:line="257" w:lineRule="exact"/>
        <w:rPr>
          <w:sz w:val="20"/>
          <w:szCs w:val="20"/>
          <w:color w:val="auto"/>
        </w:rPr>
      </w:pPr>
    </w:p>
    <w:p>
      <w:pPr>
        <w:jc w:val="both"/>
        <w:ind w:left="7520"/>
        <w:spacing w:after="0"/>
        <w:tabs>
          <w:tab w:leader="none" w:pos="88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32385</wp:posOffset>
            </wp:positionV>
            <wp:extent cx="498919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42"/>
        </w:trPr>
        <w:tc>
          <w:tcPr>
            <w:tcW w:w="5360" w:type="dxa"/>
            <w:vAlign w:val="bottom"/>
          </w:tcPr>
          <w:p>
            <w:pPr>
              <w:spacing w:after="0"/>
              <w:rPr>
                <w:sz w:val="20"/>
                <w:szCs w:val="20"/>
                <w:color w:val="auto"/>
              </w:rPr>
            </w:pPr>
            <w:r>
              <w:rPr>
                <w:rFonts w:ascii="Arial" w:cs="Arial" w:eastAsia="Arial" w:hAnsi="Arial"/>
                <w:sz w:val="18"/>
                <w:szCs w:val="18"/>
                <w:color w:val="auto"/>
              </w:rPr>
              <w:t>Completed contracts</w:t>
            </w: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60" w:type="dxa"/>
            <w:vAlign w:val="bottom"/>
          </w:tcPr>
          <w:p>
            <w:pPr>
              <w:spacing w:after="0"/>
              <w:rPr>
                <w:sz w:val="21"/>
                <w:szCs w:val="2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Contracts in progress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21,239</w:t>
            </w:r>
          </w:p>
        </w:tc>
        <w:tc>
          <w:tcPr>
            <w:tcW w:w="6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Retainage</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60" w:type="dxa"/>
            <w:vAlign w:val="bottom"/>
          </w:tcPr>
          <w:p>
            <w:pPr>
              <w:spacing w:after="0"/>
              <w:rPr>
                <w:sz w:val="20"/>
                <w:szCs w:val="20"/>
                <w:color w:val="auto"/>
              </w:rPr>
            </w:pPr>
          </w:p>
        </w:tc>
      </w:tr>
      <w:tr>
        <w:trPr>
          <w:trHeight w:val="222"/>
        </w:trPr>
        <w:tc>
          <w:tcPr>
            <w:tcW w:w="5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39,554</w:t>
            </w:r>
          </w:p>
        </w:tc>
        <w:tc>
          <w:tcPr>
            <w:tcW w:w="6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453"/>
        </w:trPr>
        <w:tc>
          <w:tcPr>
            <w:tcW w:w="5360" w:type="dxa"/>
            <w:vAlign w:val="bottom"/>
          </w:tcPr>
          <w:p>
            <w:pPr>
              <w:spacing w:after="0"/>
              <w:rPr>
                <w:sz w:val="20"/>
                <w:szCs w:val="20"/>
                <w:color w:val="auto"/>
              </w:rPr>
            </w:pPr>
            <w:r>
              <w:rPr>
                <w:rFonts w:ascii="Arial" w:cs="Arial" w:eastAsia="Arial" w:hAnsi="Arial"/>
                <w:sz w:val="18"/>
                <w:szCs w:val="18"/>
                <w:color w:val="auto"/>
              </w:rPr>
              <w:t>Total accounts receivable—net</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60" w:type="dxa"/>
            <w:vAlign w:val="bottom"/>
          </w:tcPr>
          <w:p>
            <w:pPr>
              <w:spacing w:after="0"/>
              <w:rPr>
                <w:sz w:val="24"/>
                <w:szCs w:val="24"/>
                <w:color w:val="auto"/>
              </w:rPr>
            </w:pP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-770890</wp:posOffset>
            </wp:positionV>
            <wp:extent cx="498919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-471170</wp:posOffset>
            </wp:positionV>
            <wp:extent cx="498919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-170815</wp:posOffset>
            </wp:positionV>
            <wp:extent cx="49891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contracts in progress at December 31, 2020 and December 31, 2019 are as follows: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8"/>
                <w:szCs w:val="18"/>
                <w:color w:val="auto"/>
              </w:rPr>
              <w:t>Costs and earnings in excess of billings: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Amounts billed</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(168,569)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-144780</wp:posOffset>
            </wp:positionV>
            <wp:extent cx="498919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-445135</wp:posOffset>
            </wp:positionV>
            <wp:extent cx="498919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00" w:hanging="69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3,444</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9,490</w:t>
      </w:r>
    </w:p>
    <w:p>
      <w:pPr>
        <w:spacing w:after="0" w:line="2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7,415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029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20,349</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029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5" w:lineRule="exact"/>
        <w:rPr>
          <w:sz w:val="20"/>
          <w:szCs w:val="20"/>
          <w:color w:val="auto"/>
        </w:rPr>
      </w:pPr>
    </w:p>
    <w:p>
      <w:pPr>
        <w:ind w:left="600" w:hanging="59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19,785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029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2019</w:t>
      </w:r>
    </w:p>
    <w:p>
      <w:pPr>
        <w:spacing w:after="0" w:line="252" w:lineRule="exact"/>
        <w:rPr>
          <w:sz w:val="20"/>
          <w:szCs w:val="20"/>
          <w:color w:val="auto"/>
        </w:rPr>
      </w:pPr>
    </w:p>
    <w:p>
      <w:pPr>
        <w:ind w:left="520" w:hanging="516"/>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104,620</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7"/>
          <w:szCs w:val="17"/>
          <w:color w:val="auto"/>
        </w:rPr>
        <w:t>(86,074)</w:t>
      </w:r>
    </w:p>
    <w:p>
      <w:pPr>
        <w:spacing w:after="0" w:line="35" w:lineRule="exact"/>
        <w:rPr>
          <w:sz w:val="20"/>
          <w:szCs w:val="20"/>
          <w:color w:val="auto"/>
        </w:rPr>
      </w:pPr>
    </w:p>
    <w:p>
      <w:pPr>
        <w:sectPr>
          <w:pgSz w:w="11900" w:h="16838" w:orient="portrait"/>
          <w:cols w:equalWidth="0" w:num="2">
            <w:col w:w="8220" w:space="140"/>
            <w:col w:w="2880"/>
          </w:cols>
          <w:pgMar w:left="320" w:top="382"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32,106</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(550,468)</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(628,491)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517,860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(32,608)</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At December 31, 2020 and 2019, costs to fulfill contracts with customers recognized as an asset were $10,501 and $10,300, respectively, and are recorded in other current assets and other noncurrent assets. These costs relate to pre-contract and pre-construction activities. During the years ended December 31, 2020 and 2019 the company amortized pre-contract and pre-construction costs of $15,541 and $11,468, respectively.</w:t>
      </w:r>
    </w:p>
    <w:p>
      <w:pPr>
        <w:spacing w:after="0" w:line="149"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Company’s largest domestic customer is the U.S. Army Corps of Engineers (the “Corps”), which has responsibility for federally funded projects related to navigation and flood control of U.S. waterways. In 2020, 2019 and 2018, 79.5%, 81.7% and 75.5%, respectively, of contract revenues were earned from contracts with federal government agencies, including the Corps, as well as other federal entities such as the U.S. Coast Guard and U.S. Navy. During the year ended December 31, 2020 and 2019, respectively, the Company recognized $616 and $2,103 of revenue related to the use of equipment by a customer working on a federal government contract. At December 31, 2020 and 2019, approximately 42.6% and 54.6%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206"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Company derived revenues and gross profit from foreign project operations for the years ended December 31, 2020, 2019, and 2018,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80" w:type="dxa"/>
            <w:vAlign w:val="bottom"/>
            <w:gridSpan w:val="2"/>
            <w:vMerge w:val="restart"/>
          </w:tcPr>
          <w:p>
            <w:pPr>
              <w:ind w:left="1640"/>
              <w:spacing w:after="0"/>
              <w:rPr>
                <w:sz w:val="20"/>
                <w:szCs w:val="20"/>
                <w:color w:val="auto"/>
              </w:rPr>
            </w:pPr>
            <w:r>
              <w:rPr>
                <w:rFonts w:ascii="Arial" w:cs="Arial" w:eastAsia="Arial" w:hAnsi="Arial"/>
                <w:sz w:val="18"/>
                <w:szCs w:val="18"/>
                <w:color w:val="auto"/>
              </w:rPr>
              <w:t>Contract revenues</w:t>
            </w:r>
          </w:p>
        </w:tc>
        <w:tc>
          <w:tcPr>
            <w:tcW w:w="10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25,892</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48,619</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14,088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8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(66,347)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164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79" w:name="page80"/>
    <w:bookmarkEnd w:id="79"/>
    <w:p>
      <w:pPr>
        <w:ind w:right="20" w:firstLine="510"/>
        <w:spacing w:after="0" w:line="293" w:lineRule="auto"/>
        <w:rPr>
          <w:sz w:val="20"/>
          <w:szCs w:val="20"/>
          <w:color w:val="auto"/>
        </w:rPr>
      </w:pPr>
      <w:r>
        <w:rPr>
          <w:rFonts w:ascii="Arial" w:cs="Arial" w:eastAsia="Arial" w:hAnsi="Arial"/>
          <w:sz w:val="16"/>
          <w:szCs w:val="16"/>
          <w:color w:val="auto"/>
        </w:rPr>
        <w:t>In 2020, 2019 and 2018,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2020 and 2019, long-lived assets with a net book value of $5,255 and $31,872, respectively, were located outside of the U.S., currently our assets outside of the U.S. do not include dredges. Revenue from foreign projects has been concentrated in the Middle East which comprised less than 10% in 2020, 2019 and 2018. At December 31, 2020 and 2019, approximately 12% and 29%, respectively, of total accounts receivable, including retainage and contract revenues in excess of billings, were due on contracts in the Middle East.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2020, 2019 and 2018, was $5,557, $5,168 and $5,060, respectively.</w:t>
      </w:r>
    </w:p>
    <w:p>
      <w:pPr>
        <w:spacing w:after="0" w:line="17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2020, 2019 and 2018, the Company contributed $4,929, $4,517 and $4,207 respectively to all of the multiemployer plans that provide pension benefits in its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CHARGES</w:t>
      </w:r>
    </w:p>
    <w:p>
      <w:pPr>
        <w:spacing w:after="0" w:line="13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2017, a strategic review was begun to improve the Company's financial results in both domestic and international operations enabling debt reduction, improvements in return on capital and the continued renewal of its extensive fleet with new and efficient dredges to best serve its domestic and international clients. Management executed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 cumulative amounts incurred to date as a result of this plan, including amounts presented in discontinued operations, including severance costs of $3,549, asset retirements of $32,309, pre-contract costs of $6,441 and closeout costs of $4,194. Restructuring activities were completed in 2018.</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charges recognized for the above actions for the year ended December 31, 2018 are summarized as follows:</w:t>
      </w:r>
    </w:p>
    <w:p>
      <w:pPr>
        <w:spacing w:after="0" w:line="200" w:lineRule="exact"/>
        <w:rPr>
          <w:sz w:val="20"/>
          <w:szCs w:val="20"/>
          <w:color w:val="auto"/>
        </w:rPr>
      </w:pP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b w:val="1"/>
                <w:bCs w:val="1"/>
                <w:color w:val="auto"/>
              </w:rPr>
              <w:t>2018</w:t>
            </w:r>
          </w:p>
        </w:tc>
      </w:tr>
      <w:tr>
        <w:trPr>
          <w:trHeight w:val="453"/>
        </w:trPr>
        <w:tc>
          <w:tcPr>
            <w:tcW w:w="4980" w:type="dxa"/>
            <w:vAlign w:val="bottom"/>
          </w:tcPr>
          <w:p>
            <w:pPr>
              <w:spacing w:after="0"/>
              <w:rPr>
                <w:sz w:val="20"/>
                <w:szCs w:val="20"/>
                <w:color w:val="auto"/>
              </w:rPr>
            </w:pPr>
            <w:r>
              <w:rPr>
                <w:rFonts w:ascii="Arial" w:cs="Arial" w:eastAsia="Arial" w:hAnsi="Arial"/>
                <w:sz w:val="18"/>
                <w:szCs w:val="18"/>
                <w:color w:val="auto"/>
              </w:rPr>
              <w:t>Costs of contract revenues—depreciation</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revenues—other</w:t>
            </w:r>
          </w:p>
        </w:tc>
        <w:tc>
          <w:tcPr>
            <w:tcW w:w="66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66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w:t>
            </w: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6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FF0FC"/>
          </w:tcPr>
          <w:p>
            <w:pPr>
              <w:spacing w:after="0"/>
              <w:rPr>
                <w:sz w:val="19"/>
                <w:szCs w:val="19"/>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16,145</w:t>
            </w:r>
          </w:p>
        </w:tc>
      </w:tr>
      <w:tr>
        <w:trPr>
          <w:trHeight w:val="20"/>
        </w:trPr>
        <w:tc>
          <w:tcPr>
            <w:tcW w:w="4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and Surety Company of America and Zurich American Insurance Company (“Zurich”). Bid bonds are generally obtained for a percentage of bid value and amounts outstanding typically range from $1,000 to $10,000. At December 31, 2020, the Company had outstanding performance bonds with a notional amount of approximately $1,187,933, of which $17,401 relates to projects from the Company’s historical environmental &amp; infrastructure businesses. The revenue value remaining in backlog related to the projects of continuing operations totaled approximately $524,375.</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connection with the sale of its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the Company’s availability under the revolving credit facility, this draw down on the Company’s letter of credit did not impact its liquidity or capital availability.</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Pursuant to the terms of sale of its historical demolition business, the Company received an indemnification from the buyer for losses resulting from the bonding arrangement. The Company intends to aggressively pursue enforcement of the indemnification provisions. The Company has recovered some funds but cannot estimate the total amount of recoveries related to the indemnification or resolution of the Company’s responsibilities under the surety bond.</w:t>
      </w:r>
    </w:p>
    <w:p>
      <w:pPr>
        <w:spacing w:after="0" w:line="18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On April 23, 2014, the Company completed the sale of NASDI, LLC (“NASDI”) and Yankee Environmental Services, LLC (“Yankee”), which together comprised the Company’s historical demolition business, to a privately 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1" w:name="page82"/>
    <w:bookmarkEnd w:id="81"/>
    <w:p>
      <w:pPr>
        <w:ind w:right="40" w:firstLine="510"/>
        <w:spacing w:after="0" w:line="293" w:lineRule="auto"/>
        <w:rPr>
          <w:sz w:val="20"/>
          <w:szCs w:val="20"/>
          <w:color w:val="auto"/>
        </w:rPr>
      </w:pPr>
      <w:r>
        <w:rPr>
          <w:rFonts w:ascii="Arial" w:cs="Arial" w:eastAsia="Arial" w:hAnsi="Arial"/>
          <w:sz w:val="16"/>
          <w:szCs w:val="16"/>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160 barrels of crude oil in Bay Long, Louisiana. The Company has cooperated with the U.S. Attorney’s Office in its investigation of the oil spill and believes that criminal charges are not warranted. While we contest claims of criminal responsibility in this matter, the government may initiate suspension or debarment proceedings against us, pending the outcome of a trial on the matter, which might prohibit us from bidding for, entering into or completing certain government projects. If the Company is ultimately found guilty, suspension or debarment actions could occur automatically.</w:t>
      </w:r>
    </w:p>
    <w:p>
      <w:pPr>
        <w:spacing w:after="0" w:line="200" w:lineRule="exact"/>
        <w:rPr>
          <w:sz w:val="20"/>
          <w:szCs w:val="20"/>
          <w:color w:val="auto"/>
        </w:rPr>
      </w:pPr>
    </w:p>
    <w:p>
      <w:pPr>
        <w:spacing w:after="0" w:line="39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has calculated and proposed that the administrative court issue a penalty in the total amount of $973. The Company disagrees with the EPA on whether violations occurred and, if any violation did occur, the appropriate penalty calculation.</w:t>
      </w:r>
    </w:p>
    <w:p>
      <w:pPr>
        <w:spacing w:after="0" w:line="157"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During the second quarter of 2019, the Company completed the sale of the historical environmental &amp; infrastructure business. Under the terms of the agreement, the Company received cash of $17,500 in the second quarter of 2019 and received an additional $857 in the third quarter of 2019.</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the business have been reported in discontinued operations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25,040</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76,843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182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(8,253)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Loss on disposal of assets held for sale</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(2,632)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9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(6,329)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jc w:val="center"/>
        <w:ind w:right="1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 the Years Ended December 31, 2020, 2019 and 2018</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4"/>
                <w:szCs w:val="14"/>
                <w:color w:val="auto"/>
              </w:rPr>
            </w:pPr>
          </w:p>
        </w:tc>
        <w:tc>
          <w:tcPr>
            <w:tcW w:w="9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8"/>
                <w:szCs w:val="18"/>
                <w:color w:val="auto"/>
              </w:rPr>
              <w:t>Description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Allowances deducted from assets to which they apply:</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Valuation allowance for deferred tax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60" w:type="dxa"/>
            <w:vAlign w:val="bottom"/>
          </w:tcPr>
          <w:p>
            <w:pPr>
              <w:spacing w:after="0"/>
              <w:rPr>
                <w:sz w:val="24"/>
                <w:szCs w:val="24"/>
                <w:color w:val="auto"/>
              </w:rPr>
            </w:pP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81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ind w:left="3180"/>
              <w:spacing w:after="0"/>
              <w:rPr>
                <w:sz w:val="20"/>
                <w:szCs w:val="20"/>
                <w:color w:val="auto"/>
              </w:rPr>
            </w:pPr>
            <w:r>
              <w:rPr>
                <w:rFonts w:ascii="Arial" w:cs="Arial" w:eastAsia="Arial" w:hAnsi="Arial"/>
                <w:sz w:val="18"/>
                <w:szCs w:val="18"/>
                <w:b w:val="1"/>
                <w:bCs w:val="1"/>
                <w:color w:val="auto"/>
              </w:rPr>
              <w:t>I. EXHIBIT INDEX</w:t>
            </w:r>
          </w:p>
        </w:tc>
      </w:tr>
      <w:tr>
        <w:trPr>
          <w:trHeight w:val="432"/>
        </w:trPr>
        <w:tc>
          <w:tcPr>
            <w:tcW w:w="24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9540" w:type="dxa"/>
            <w:vAlign w:val="bottom"/>
          </w:tcPr>
          <w:p>
            <w:pPr>
              <w:ind w:left="3900"/>
              <w:spacing w:after="0"/>
              <w:rPr>
                <w:sz w:val="20"/>
                <w:szCs w:val="20"/>
                <w:color w:val="auto"/>
              </w:rPr>
            </w:pPr>
            <w:r>
              <w:rPr>
                <w:rFonts w:ascii="Arial" w:cs="Arial" w:eastAsia="Arial" w:hAnsi="Arial"/>
                <w:sz w:val="18"/>
                <w:szCs w:val="18"/>
                <w:b w:val="1"/>
                <w:bCs w:val="1"/>
                <w:color w:val="auto"/>
              </w:rPr>
              <w:t>Document Description</w:t>
            </w:r>
          </w:p>
        </w:tc>
      </w:tr>
      <w:tr>
        <w:trPr>
          <w:trHeight w:val="195"/>
        </w:trPr>
        <w:tc>
          <w:tcPr>
            <w:tcW w:w="1440" w:type="dxa"/>
            <w:vAlign w:val="bottom"/>
            <w:tcBorders>
              <w:top w:val="single" w:sz="8" w:color="auto"/>
            </w:tcBorders>
            <w:gridSpan w:val="2"/>
          </w:tcPr>
          <w:p>
            <w:pPr>
              <w:spacing w:after="0" w:line="195" w:lineRule="exact"/>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2.1</w:t>
              </w:r>
            </w:hyperlink>
          </w:p>
        </w:tc>
        <w:tc>
          <w:tcPr>
            <w:tcW w:w="220" w:type="dxa"/>
            <w:vAlign w:val="bottom"/>
          </w:tcPr>
          <w:p>
            <w:pPr>
              <w:spacing w:after="0"/>
              <w:rPr>
                <w:sz w:val="16"/>
                <w:szCs w:val="16"/>
                <w:color w:val="auto"/>
              </w:rPr>
            </w:pPr>
          </w:p>
        </w:tc>
        <w:tc>
          <w:tcPr>
            <w:tcW w:w="9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Amended and Restated Agreement and Plan of Merger dated as of December 22, 2003, among Great Lakes Dredge &amp; Dock</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4"/>
              </w:rPr>
              <w:t>Corporation, GLDD Acquisitions Corp., GLDD Merger Sub, Inc. and Vectura Holding Company LLC. (Incorporated by reference</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8"/>
              </w:rPr>
              <w:t>to Great Lakes Dredge &amp; Dock Corporation’s Current Report on Form 8-K filed with the Commission on January 6, 2004).</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2.2</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Agreement and Plan of Merger by and among GLDD Acquisitions Corp., Aldabra Acquisition Corporation, and certain</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6"/>
              </w:rPr>
              <w:t>shareholders of Aldabra Acquisition Corporation and GLDD Acquisitions Corp., dated as of June 20, 2006. (Incorporated by</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reference to Great Lakes Dredge &amp; Dock Corporation’s Current Report on Form 8-K filed with the Commission on June 22, 2006).</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3.1</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of Great Lakes Dredge &amp; Dock Holdings Corp., effective December 26, 2006</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(now renamed Great Lakes Dredge &amp; Dock Corporation). (Incorporated by reference to Great Lakes Dredge &amp; Dock Corporation’s</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Registration Statement on Form 8-A12B filed with the Commission on December 26, 2006).</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3.2</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1"/>
              </w:rPr>
              <w:t>Amended and Restated Bylaws of Great Lakes Dredge &amp; Dock Corporation, dated as of May 14, 2015. (Incorporated by reference</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to Great Lakes Dredge &amp; Dock Corporation’s Current Report on Form 8-K filed with the Commission on May 20, 2015).</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3.3</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7"/>
              </w:rPr>
              <w:t>Certificate of Ownership and Merger of Great Lakes Dredge &amp; Dock Corporation with and into Great Lakes Dredge &amp; Dock</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4"/>
              </w:rPr>
              <w:t>Holdings Corp. (Incorporated by reference to Great Lakes Dredge &amp; Dock Corporation’s Current Report on Form 8-K filed with</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the Commission on December 29, 2006).</w:t>
            </w:r>
          </w:p>
        </w:tc>
      </w:tr>
      <w:tr>
        <w:trPr>
          <w:trHeight w:val="392"/>
        </w:trPr>
        <w:tc>
          <w:tcPr>
            <w:tcW w:w="1440" w:type="dxa"/>
            <w:vAlign w:val="bottom"/>
            <w:gridSpan w:val="2"/>
          </w:tcPr>
          <w:p>
            <w:pPr>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u w:val="single" w:color="auto"/>
                <w:color w:val="0000EE"/>
              </w:rPr>
              <w:t>1</w:t>
            </w:r>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7"/>
              </w:rPr>
              <w:t>Description of Great Lakes Dredge &amp; Dock Corporation Securities Registered Pursuant to Section 12 of the Exchange Act.</w:t>
            </w:r>
          </w:p>
        </w:tc>
      </w:tr>
      <w:tr>
        <w:trPr>
          <w:trHeight w:val="222"/>
        </w:trPr>
        <w:tc>
          <w:tcPr>
            <w:tcW w:w="240" w:type="dxa"/>
            <w:vAlign w:val="bottom"/>
            <w:tcBorders>
              <w:top w:val="single" w:sz="8" w:color="0000EE"/>
            </w:tcBorders>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(Incorporated by reference to Great Lakes Dredge &amp; Dock Corporation’s Annual Report on Form 10-K filed with the Commission</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on February 26, 2020).</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Indenture, dated May 24, 2017, by and among the Company, certain subsidiary guarantors named therein and Wells Fargo Bank,</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National Association, as trustee. (Incorporated by reference to Great Lakes Dredge &amp; Dock Corporation’s Current Report on Form</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8-K filed with the Commission on May 24, 2017).</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4.3</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5"/>
              </w:rPr>
              <w:t>Specimen Common Stock Certificate for Great Lakes Dredge &amp; Dock Corporation. (Incorporated by reference to Great Lakes</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Dredge &amp; Dock Corporation’s Annual Report on Form 10-K filed with the Commission on March 22, 2007).</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10.1</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1"/>
              </w:rPr>
              <w:t>Agreement of Indemnity, dated as of April 7, 2015, by and among Great Lakes Dredge &amp; Dock Corporation, Great Lakes Dredge &amp;</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Dock Company, LLC, Great Lakes Environmental &amp; Infrastructure Solutions, LLC, Magnus Pacific, LLC, Terra Contracting, LLC,</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8"/>
              </w:rPr>
              <w:t>Terra Fluid Management, LLC and Liberty Mutual Insurance Company and its subsidiaries and affiliates. (Incorporated by</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6"/>
              </w:rPr>
              <w:t>reference to Great Lakes Dredge &amp; Dock Corporation’s Quarterly Report on Form 10-Q filed with the Commission on May 6,</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2015).</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10.2</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Agreement of Indemnity, dated as of April 13, 2015, by and among Great Lakes Dredge &amp; Dock Corporation, Great Lakes Dredge</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6"/>
              </w:rPr>
              <w:t>&amp; Dock Company, LLC, Great Lakes Environmental &amp; Infrastructure Solutions, LLC, Magnus Pacific, LLC, Terra Contracting,</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2"/>
              </w:rPr>
              <w:t>LLC, Terra Fluid Management, LLC and Berkley Insurance Company and/or Berkley Regional Insurance Company. (Incorporated</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4"/>
              </w:rPr>
              <w:t>by reference to Great Lakes Dredge &amp; Dock Corporation’s Quarterly Report on Form 10-Q filed with the Commission on May 6,</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2015).</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10.3</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1"/>
              </w:rPr>
              <w:t>Agreement of Indemnity, dated as of April 7, 2015, by and among Great Lakes Dredge &amp; Dock Corporation, Great Lakes Dredge &amp;</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Dock Company, LLC, Great Lakes Environmental &amp; Infrastructure Solutions, LLC, Magnus Pacific, LLC, Terra Contracting, LLC,</w:t>
            </w: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6"/>
              </w:rPr>
              <w:t>Terra Fluid Management, LLC and Argonaut Insurance Company. (Incorporated by reference to Great Lakes Dredge &amp; Dock</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Corporation’s Quarterly Report on Form 10-Q filed with the Commission on May 6, 2015).</w:t>
            </w:r>
          </w:p>
        </w:tc>
      </w:tr>
      <w:tr>
        <w:trPr>
          <w:trHeight w:val="323"/>
        </w:trPr>
        <w:tc>
          <w:tcPr>
            <w:tcW w:w="1440" w:type="dxa"/>
            <w:vAlign w:val="bottom"/>
            <w:gridSpan w:val="2"/>
          </w:tcPr>
          <w:p>
            <w:pPr>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10.4</w:t>
              </w:r>
            </w:hyperlink>
          </w:p>
        </w:tc>
        <w:tc>
          <w:tcPr>
            <w:tcW w:w="220" w:type="dxa"/>
            <w:vAlign w:val="bottom"/>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1"/>
              </w:rPr>
              <w:t>Agreement of Indemnity, dated as of April 7, 2015, by and among Great Lakes Dredge &amp; Dock Corporation, Great Lakes Dredge &amp;</w:t>
            </w:r>
          </w:p>
        </w:tc>
      </w:tr>
      <w:tr>
        <w:trPr>
          <w:trHeight w:val="230"/>
        </w:trPr>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Arial" w:cs="Arial" w:eastAsia="Arial" w:hAnsi="Arial"/>
                <w:sz w:val="18"/>
                <w:szCs w:val="18"/>
                <w:color w:val="auto"/>
                <w:w w:val="93"/>
              </w:rPr>
              <w:t>Dock Company, LLC, Great Lakes Environmental &amp; Infrastructure Solutions, LLC, Magnus Pacific, LLC, Terra Contracting, LLC,</w:t>
            </w:r>
          </w:p>
        </w:tc>
      </w:tr>
    </w:tbl>
    <w:p>
      <w:pPr>
        <w:ind w:left="1660" w:right="40"/>
        <w:spacing w:after="0" w:line="255" w:lineRule="auto"/>
        <w:rPr>
          <w:sz w:val="20"/>
          <w:szCs w:val="20"/>
          <w:color w:val="auto"/>
        </w:rPr>
      </w:pPr>
      <w:r>
        <w:rPr>
          <w:rFonts w:ascii="Arial" w:cs="Arial" w:eastAsia="Arial" w:hAnsi="Arial"/>
          <w:sz w:val="18"/>
          <w:szCs w:val="18"/>
          <w:color w:val="auto"/>
        </w:rPr>
        <w:t>Terra Fluid Management, LLC and Westchester Fire Insurance Company or any of its affiliates, including any other company that is part of or added to ACE Holdings, Inc. (Incorporated by reference to Great Lakes Dredge &amp; Dock Corporation’s Quarterly Report on Form 10-Q filed with the Commission on May 6, 2015).</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4" w:name="page85"/>
    <w:bookmarkEnd w:id="84"/>
    <w:p>
      <w:pPr>
        <w:ind w:left="400"/>
        <w:spacing w:after="0"/>
        <w:tabs>
          <w:tab w:leader="none" w:pos="554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10.5</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1"/>
              </w:rPr>
              <w:t>Amended and Restated Management Equity Agreement dated December 26, 2006 by and among Aldabra Acquisition Corporation,</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Great Lakes Dredge &amp; Dock Holdings Corp. and each of the other persons identified on the signature pages thereto. (Incorporated</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1"/>
              </w:rPr>
              <w:t>by reference to Great Lakes Dredge &amp; Dock Corporation’s Current Report on Form 8-K filed with the Commission on December 29,</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2006).†</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10.6</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0"/>
              </w:rPr>
              <w:t>Amended and Restated Employment Agreement between Great Lakes Dredge &amp; Dock Corporation and David E. Simonelli, dated as</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of May 8, 2014. (Incorporated by reference to Great Lakes Dredge &amp; Dock Corporation’s Quarterly Report on Form 10-Q filed with</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the Commission on August 4, 2015).†</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10.7</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rPr>
              <w:t>Employment Agreement between Great Lakes Dredge &amp; Dock Corporation and Lasse Petterson, dated as of April 28,</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9"/>
              </w:rPr>
              <w:t>2017. (Incorporated by reference to Great Lakes Dredge &amp; Dock Corporation’s Current Report on Form 8-K filed with the</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Commission on May 1, 2017).†</w:t>
            </w:r>
          </w:p>
        </w:tc>
      </w:tr>
      <w:tr>
        <w:trPr>
          <w:trHeight w:val="338"/>
        </w:trPr>
        <w:tc>
          <w:tcPr>
            <w:tcW w:w="104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10.8</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Separation Agreement, dated December 31, 2020, between Great Lakes Dredge &amp; Dock Corporation and Kathleen M. LaVoy.†*</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10.9</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Second Amended and Restated Great Lakes Dredge &amp; Dock Company, LLC Annual Bonus Plan effective as of January 1, 2012</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(Incorporated by reference to Great Lakes Dredge &amp; Dock Corporation’s Current Report on Form 8-K filed with the Commission on</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January 17, 2012).†</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10.10</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401(k) Savings Plan. (Incorporated by reference to Great Lakes Dredge &amp; Dock Corporation’s Annual Report on Form 10-K filed</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with the Commission on March 30, 2005).†</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10.11</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rPr>
              <w:t>Amended and Restated Great Lakes Dredge &amp; Dock Corporation Supplemental Savings Plan effective January 1, 2014.</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(Incorporated by reference to Great Lakes Dredge &amp; Dock Corporation’s Annual Report on Form 10-K filed with the Commission</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on March 11, 2014).†</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10.12</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Form of Investor Rights Agreement among Aldabra Acquisition Corporation, Great Lakes Dredge &amp; Dock Holdings Corp., Madison</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5"/>
              </w:rPr>
              <w:t>Dearborn Capital Partners IV, L.P., certain stockholders of Aldabra Acquisition Corporation and certain stockholders of GLDD</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Acquisitions Corp. (Incorporated by reference to Great Lakes Dredge &amp; Dock Holding Corp.’s Registration Statement on Form S-4</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filed with the Commission on August 24, 2006).</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10.13</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4"/>
              </w:rPr>
              <w:t>Great Lakes Dredge &amp; Dock Corporation 2007 Long-Term Incentive Plan. (Incorporated by reference to Great Lakes Dredge &amp;</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Dock Corporation’s Definitive Proxy Statement on Schedule 14A, filed with the Commission on April 4, 2012).†</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10.14</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5"/>
              </w:rPr>
              <w:t>Great Lakes Dredge &amp; Dock Corporation 2017 Long-Term Incentive Plan (Incorporated by reference to Great Lakes Dredge &amp;</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Dock Corporation’s Current Report on Form 8-K filed with the Commission on May 17, 2017).†</w:t>
            </w:r>
          </w:p>
        </w:tc>
      </w:tr>
      <w:tr>
        <w:trPr>
          <w:trHeight w:val="283"/>
        </w:trPr>
        <w:tc>
          <w:tcPr>
            <w:tcW w:w="1040" w:type="dxa"/>
            <w:vAlign w:val="bottom"/>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10.15</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Form of Great Lakes Dredge &amp; Dock Corporation Restricted Stock Unit Award Agreement pursuant to the Great Lakes Dredge &amp;</w:t>
            </w:r>
          </w:p>
        </w:tc>
      </w:tr>
      <w:tr>
        <w:trPr>
          <w:trHeight w:val="188"/>
        </w:trPr>
        <w:tc>
          <w:tcPr>
            <w:tcW w:w="1040" w:type="dxa"/>
            <w:vAlign w:val="bottom"/>
          </w:tcPr>
          <w:p>
            <w:pPr>
              <w:spacing w:after="0"/>
              <w:rPr>
                <w:sz w:val="16"/>
                <w:szCs w:val="16"/>
                <w:color w:val="auto"/>
              </w:rPr>
            </w:pPr>
          </w:p>
        </w:tc>
        <w:tc>
          <w:tcPr>
            <w:tcW w:w="10200" w:type="dxa"/>
            <w:vAlign w:val="bottom"/>
          </w:tcPr>
          <w:p>
            <w:pPr>
              <w:ind w:left="620"/>
              <w:spacing w:after="0" w:line="189" w:lineRule="exact"/>
              <w:rPr>
                <w:sz w:val="20"/>
                <w:szCs w:val="20"/>
                <w:color w:val="auto"/>
              </w:rPr>
            </w:pPr>
            <w:r>
              <w:rPr>
                <w:rFonts w:ascii="Arial" w:cs="Arial" w:eastAsia="Arial" w:hAnsi="Arial"/>
                <w:sz w:val="18"/>
                <w:szCs w:val="18"/>
                <w:color w:val="auto"/>
                <w:w w:val="97"/>
              </w:rPr>
              <w:t>Dock Corporation 2007 Long-Term Incentive Plan. (Incorporated by reference to Great Lakes Dredge &amp; Dock Corporation’s</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Quarterly Report on Form 10-Q filed with the Commission on May 3, 2016).†</w:t>
            </w:r>
          </w:p>
        </w:tc>
      </w:tr>
      <w:tr>
        <w:trPr>
          <w:trHeight w:val="310"/>
        </w:trPr>
        <w:tc>
          <w:tcPr>
            <w:tcW w:w="1040" w:type="dxa"/>
            <w:vAlign w:val="bottom"/>
          </w:tcPr>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10.16</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Form of Great Lakes Dredge &amp; Dock Corporation Restricted Stock Unit Award Agreement pursuant to the Great Lakes Dredge &amp;</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7"/>
              </w:rPr>
              <w:t>Dock Corporation 2017 Long-Term Incentive Plan. (Incorporated by reference to Great Lakes Dredge &amp; Dock Corporation’s</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Quarterly Report on Form 10-Q filed with the Commission on May 4, 2018). †</w:t>
            </w:r>
          </w:p>
        </w:tc>
      </w:tr>
      <w:tr>
        <w:trPr>
          <w:trHeight w:val="391"/>
        </w:trPr>
        <w:tc>
          <w:tcPr>
            <w:tcW w:w="1040" w:type="dxa"/>
            <w:vAlign w:val="bottom"/>
          </w:tcPr>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10.17</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2"/>
              </w:rPr>
              <w:t>Form of Great Lakes Dredge &amp; Dock Corporation Performance-Based Restricted Stock Unit Award Agreement (Three Year Form)</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1"/>
              </w:rPr>
              <w:t>pursuant to the Great Lakes Dredge &amp; Dock Corporation 2017 Long-Term Incentive Plan. (Incorporated by reference to Great Lakes</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Dredge &amp; Dock Corporation’s Quarterly Report on Form 10-Q filed with the Commission on May 4, 2018). †</w:t>
            </w:r>
          </w:p>
        </w:tc>
      </w:tr>
      <w:tr>
        <w:trPr>
          <w:trHeight w:val="323"/>
        </w:trPr>
        <w:tc>
          <w:tcPr>
            <w:tcW w:w="1040" w:type="dxa"/>
            <w:vAlign w:val="bottom"/>
          </w:tcPr>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10.18</w:t>
              </w:r>
            </w:hyperlink>
          </w:p>
        </w:tc>
        <w:tc>
          <w:tcPr>
            <w:tcW w:w="10200" w:type="dxa"/>
            <w:vAlign w:val="bottom"/>
          </w:tcPr>
          <w:p>
            <w:pPr>
              <w:ind w:left="620"/>
              <w:spacing w:after="0"/>
              <w:rPr>
                <w:sz w:val="20"/>
                <w:szCs w:val="20"/>
                <w:color w:val="auto"/>
              </w:rPr>
            </w:pPr>
            <w:r>
              <w:rPr>
                <w:rFonts w:ascii="Arial" w:cs="Arial" w:eastAsia="Arial" w:hAnsi="Arial"/>
                <w:sz w:val="18"/>
                <w:szCs w:val="18"/>
                <w:color w:val="auto"/>
                <w:w w:val="93"/>
              </w:rPr>
              <w:t>Form of Great Lakes Dredge &amp; Dock Corporation Performance-Based Restricted Stock Unit Award Agreement (Two Year Form)</w:t>
            </w:r>
          </w:p>
        </w:tc>
      </w:tr>
      <w:tr>
        <w:trPr>
          <w:trHeight w:val="216"/>
        </w:trPr>
        <w:tc>
          <w:tcPr>
            <w:tcW w:w="1040" w:type="dxa"/>
            <w:vAlign w:val="bottom"/>
          </w:tcPr>
          <w:p>
            <w:pPr>
              <w:spacing w:after="0"/>
              <w:rPr>
                <w:sz w:val="18"/>
                <w:szCs w:val="18"/>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w w:val="91"/>
              </w:rPr>
              <w:t>pursuant to the Great Lakes Dredge &amp; Dock Corporation 2017 Long-Term Incentive Plan. (Incorporated by reference to Great Lakes</w:t>
            </w:r>
          </w:p>
        </w:tc>
      </w:tr>
      <w:tr>
        <w:trPr>
          <w:trHeight w:val="230"/>
        </w:trPr>
        <w:tc>
          <w:tcPr>
            <w:tcW w:w="1040" w:type="dxa"/>
            <w:vAlign w:val="bottom"/>
          </w:tcPr>
          <w:p>
            <w:pPr>
              <w:spacing w:after="0"/>
              <w:rPr>
                <w:sz w:val="20"/>
                <w:szCs w:val="20"/>
                <w:color w:val="auto"/>
              </w:rPr>
            </w:pPr>
          </w:p>
        </w:tc>
        <w:tc>
          <w:tcPr>
            <w:tcW w:w="10200" w:type="dxa"/>
            <w:vAlign w:val="bottom"/>
          </w:tcPr>
          <w:p>
            <w:pPr>
              <w:ind w:left="620"/>
              <w:spacing w:after="0"/>
              <w:rPr>
                <w:sz w:val="20"/>
                <w:szCs w:val="20"/>
                <w:color w:val="auto"/>
              </w:rPr>
            </w:pPr>
            <w:r>
              <w:rPr>
                <w:rFonts w:ascii="Arial" w:cs="Arial" w:eastAsia="Arial" w:hAnsi="Arial"/>
                <w:sz w:val="18"/>
                <w:szCs w:val="18"/>
                <w:color w:val="auto"/>
              </w:rPr>
              <w:t>Dredge &amp; Dock Corporation’s Quarterly Report on Form 10-Q filed with the Commission on May 4, 2018). †</w:t>
            </w:r>
          </w:p>
        </w:tc>
      </w:tr>
      <w:tr>
        <w:trPr>
          <w:trHeight w:val="661"/>
        </w:trPr>
        <w:tc>
          <w:tcPr>
            <w:tcW w:w="1040" w:type="dxa"/>
            <w:vAlign w:val="bottom"/>
          </w:tcPr>
          <w:p>
            <w:pPr>
              <w:spacing w:after="0"/>
              <w:rPr>
                <w:sz w:val="24"/>
                <w:szCs w:val="24"/>
                <w:color w:val="auto"/>
              </w:rPr>
            </w:pPr>
          </w:p>
        </w:tc>
        <w:tc>
          <w:tcPr>
            <w:tcW w:w="10200" w:type="dxa"/>
            <w:vAlign w:val="bottom"/>
          </w:tcPr>
          <w:p>
            <w:pPr>
              <w:ind w:left="4500"/>
              <w:spacing w:after="0"/>
              <w:rPr>
                <w:sz w:val="20"/>
                <w:szCs w:val="20"/>
                <w:color w:val="auto"/>
              </w:rPr>
            </w:pPr>
            <w:r>
              <w:rPr>
                <w:rFonts w:ascii="Arial" w:cs="Arial" w:eastAsia="Arial" w:hAnsi="Arial"/>
                <w:sz w:val="18"/>
                <w:szCs w:val="18"/>
                <w:color w:val="auto"/>
              </w:rPr>
              <w:t>83</w:t>
            </w:r>
          </w:p>
        </w:tc>
      </w:tr>
      <w:tr>
        <w:trPr>
          <w:trHeight w:val="115"/>
        </w:trPr>
        <w:tc>
          <w:tcPr>
            <w:tcW w:w="1040" w:type="dxa"/>
            <w:vAlign w:val="bottom"/>
            <w:tcBorders>
              <w:bottom w:val="single" w:sz="8" w:color="9A9A9A"/>
            </w:tcBorders>
          </w:tcPr>
          <w:p>
            <w:pPr>
              <w:spacing w:after="0"/>
              <w:rPr>
                <w:sz w:val="10"/>
                <w:szCs w:val="10"/>
                <w:color w:val="auto"/>
              </w:rPr>
            </w:pPr>
          </w:p>
        </w:tc>
        <w:tc>
          <w:tcPr>
            <w:tcW w:w="10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w:t>
            </w:r>
          </w:p>
        </w:tc>
        <w:tc>
          <w:tcPr>
            <w:tcW w:w="2680" w:type="dxa"/>
            <w:vAlign w:val="bottom"/>
          </w:tcPr>
          <w:p>
            <w:pPr>
              <w:spacing w:after="0"/>
              <w:rPr>
                <w:sz w:val="20"/>
                <w:szCs w:val="20"/>
                <w:color w:val="auto"/>
              </w:rPr>
            </w:pPr>
          </w:p>
        </w:tc>
        <w:tc>
          <w:tcPr>
            <w:tcW w:w="6900" w:type="dxa"/>
            <w:vAlign w:val="bottom"/>
            <w:gridSpan w:val="2"/>
          </w:tcPr>
          <w:p>
            <w:pPr>
              <w:ind w:left="1220"/>
              <w:spacing w:after="0"/>
              <w:rPr>
                <w:sz w:val="20"/>
                <w:szCs w:val="20"/>
                <w:color w:val="auto"/>
              </w:rPr>
            </w:pPr>
            <w:r>
              <w:rPr>
                <w:rFonts w:ascii="Arial" w:cs="Arial" w:eastAsia="Arial" w:hAnsi="Arial"/>
                <w:sz w:val="18"/>
                <w:szCs w:val="18"/>
                <w:b w:val="1"/>
                <w:bCs w:val="1"/>
                <w:color w:val="auto"/>
              </w:rPr>
              <w:t>Document Description</w:t>
            </w:r>
          </w:p>
        </w:tc>
      </w:tr>
      <w:tr>
        <w:trPr>
          <w:trHeight w:val="195"/>
        </w:trPr>
        <w:tc>
          <w:tcPr>
            <w:tcW w:w="144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10.19</w:t>
              </w:r>
            </w:hyperlink>
          </w:p>
        </w:tc>
        <w:tc>
          <w:tcPr>
            <w:tcW w:w="220" w:type="dxa"/>
            <w:vAlign w:val="bottom"/>
          </w:tcPr>
          <w:p>
            <w:pPr>
              <w:spacing w:after="0"/>
              <w:rPr>
                <w:sz w:val="16"/>
                <w:szCs w:val="16"/>
                <w:color w:val="auto"/>
              </w:rPr>
            </w:pPr>
          </w:p>
        </w:tc>
        <w:tc>
          <w:tcPr>
            <w:tcW w:w="95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Restricted Stock Unit Award Notice pursuant to the Great Lakes Dredge &amp; Dock Corporation 2017 Long-Term Incentive Plan.</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(Incorporated by reference to Great Lakes Dredge &amp; Dock Corporation’s Quarterly Report on Form 10-Q filed with the Commission</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on May 3, 2019). †</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10.20</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Performance-Based Restricted Stock Unit Award Notice pursuant to the Great Lakes Dredge &amp; Dock Corporation 2017 Long-Term</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Incentive Plan. (Incorporated by reference to Great Lakes Dredge &amp; Dock Corporation’s Quarterly Report on Form 10-Q filed with</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the Commission on May 3, 2019). †</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10.21</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8"/>
              </w:rPr>
              <w:t>Great Lakes Dredge &amp; Dock Corporation Director Deferral Plan (Incorporated by reference to Great Lakes Dredge &amp; Dock</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Corporation’s Annual Report on Form 10-K filed with the Commission on February 28, 2018).†</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10.22</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0"/>
              </w:rPr>
              <w:t>Purchase Agreement, dated May 18, 2017, by and among the Company, certain subsidiary guarantors named therein and Deutsche</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Bank Securities Inc., as representative of the initial purchasers named therein. (Incorporated by reference to Great Lakes Dredge &amp;</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Dock Corporation’s Current Report on Form 8-K filed with the Commission on May 24, 2017).</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10.23</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Registration Rights Agreement, dated May 24, 2017, by and among the Company, certain subsidiary guarantors named therein and</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Deutsche Bank Securities Inc., as representative of the initial purchasers named therein. (Incorporated by reference to Great Lakes</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Dredge &amp; Dock Corporation’s Current Report on Form 8-K filed with the Commission on May 24, 2017).</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10.24</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Amended and Restated Revolving Credit and Security Agreement dated as of May 3, 2019 by and among Great Lakes Dredge &amp;</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Dock Corporation, as Borrower, each other Credit Party party hereto from time to time, the financial institutions which are now or</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1"/>
              </w:rPr>
              <w:t>which hereafter become a party hereto as lenders, PNC Capital Markets, CIBC Bank, USA, Suntrust Robinson Humphrey, Inc., and</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Bank of America, N.A., as joint lead arrangers and joint bookrunners, HSBC Bank USA, N.A., as documentation agent, and PNC</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6"/>
              </w:rPr>
              <w:t>Bank, National Association, as lender and as agent (Incorporated by reference to Great Lakes Dredge &amp; Dock Corporation’s</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Quarterly Report on Form 10-Q filed with the Commission on August 2, 2019). (1)</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10.25</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Agreement of Indemnity, dated as of September 7, 2011, by and among Great Lakes Dredge &amp; Dock Corporation, Great Lakes</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Dredge &amp; Dock Company, LLC, Lydon Dredging and Construction Company, Ltd., Fifty-Three Dredging Corporation, Dawson</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Marine Services Company, Great Lakes Dredge &amp; Dock Environmental, Inc. f/k/a Great Lakes Caribbean Dredging, Inc., NASDI,</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LLC, NASDI Holdings Corporation, Yankee Environmental Services, LLC, Great Lakes Dredge &amp; Dock (Bahamas) Ltd. and Zurich</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7"/>
              </w:rPr>
              <w:t>American Insurance Company and its subsidiaries and affiliates. (Incorporated by reference to Great Lakes Dredge &amp; Dock</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Corporation’s Annual Report on Form 10-K filed with the Commission on March 29, 2013).</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10.26</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9"/>
              </w:rPr>
              <w:t>First Rider to the General Agreement of Indemnity, dated as of June 4, 2012, by and among Great Lakes Dredge &amp; Dock</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Corporation, Great Lakes Dredge &amp; Dock Company, LLC, Lydon Dredging and Construction Company, Ltd., Fifty-Three Dredging</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Corporation, Dawson Marine Services Company, Great Lakes Dredge &amp; Dock Environmental, Inc. f/k/a Great Lakes Caribbean</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Dredging, Inc., Great Lakes Dredge &amp; Dock (Bahamas) Ltd. and Zurich American Insurance Company and its subsidiaries and</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4"/>
              </w:rPr>
              <w:t>affiliates. (Incorporated by reference to Great Lakes Dredge &amp; Dock Corporation’s Quarterly Report on Form 10-Q filed with the</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Commission on August 4, 2015).</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10.27</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Agreement dated December 27, 2016. (Incorporated by reference to Great Lakes Dredge &amp; Dock Corporation's Current Report on</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Form 8-K filed with the Commission on December 30, 2016).</w:t>
            </w:r>
          </w:p>
        </w:tc>
      </w:tr>
      <w:tr>
        <w:trPr>
          <w:trHeight w:val="418"/>
        </w:trPr>
        <w:tc>
          <w:tcPr>
            <w:tcW w:w="1440" w:type="dxa"/>
            <w:vAlign w:val="bottom"/>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10.28</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3"/>
              </w:rPr>
              <w:t>Vessel Construction Agreement, dated June 5, 2020 by and between Conrad Shipyard, L.L.C., and Great Lakes Dredge &amp; Dock</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Company, LLC. (Incorporated by reference to Great Lakes Dredge &amp; Dock Corporation’s Quarterly Report on Form 10-Q filed with</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the Commission on August 4, 2020). (1)</w:t>
            </w:r>
          </w:p>
        </w:tc>
      </w:tr>
      <w:tr>
        <w:trPr>
          <w:trHeight w:val="323"/>
        </w:trPr>
        <w:tc>
          <w:tcPr>
            <w:tcW w:w="1440" w:type="dxa"/>
            <w:vAlign w:val="bottom"/>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14.1</w:t>
              </w:r>
            </w:hyperlink>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Code of Business Conduct and Ethics. (Incorporated by reference to Great Lakes Dredge &amp; Dock Corporation’s Current Report on</w:t>
            </w: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Form 8-K filed with the Commission on May 18, 2016).</w:t>
            </w:r>
          </w:p>
        </w:tc>
      </w:tr>
      <w:tr>
        <w:trPr>
          <w:trHeight w:val="337"/>
        </w:trPr>
        <w:tc>
          <w:tcPr>
            <w:tcW w:w="144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21.1</w:t>
              </w:r>
            </w:hyperlink>
          </w:p>
        </w:tc>
        <w:tc>
          <w:tcPr>
            <w:tcW w:w="22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Subsidiaries of Great Lakes Dredge &amp; Dock Corporation. *</w:t>
              </w:r>
            </w:hyperlink>
          </w:p>
        </w:tc>
      </w:tr>
      <w:tr>
        <w:trPr>
          <w:trHeight w:val="338"/>
        </w:trPr>
        <w:tc>
          <w:tcPr>
            <w:tcW w:w="144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Consent of Deloitte &amp; Touche LLP. *</w:t>
              </w:r>
            </w:hyperlink>
          </w:p>
        </w:tc>
      </w:tr>
      <w:tr>
        <w:trPr>
          <w:trHeight w:val="297"/>
        </w:trPr>
        <w:tc>
          <w:tcPr>
            <w:tcW w:w="1440" w:type="dxa"/>
            <w:vAlign w:val="bottom"/>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31.1</w:t>
              </w:r>
            </w:hyperlink>
          </w:p>
        </w:tc>
        <w:tc>
          <w:tcPr>
            <w:tcW w:w="220" w:type="dxa"/>
            <w:vAlign w:val="bottom"/>
          </w:tcPr>
          <w:p>
            <w:pPr>
              <w:spacing w:after="0"/>
              <w:rPr>
                <w:sz w:val="24"/>
                <w:szCs w:val="24"/>
                <w:color w:val="auto"/>
              </w:rPr>
            </w:pPr>
          </w:p>
        </w:tc>
        <w:tc>
          <w:tcPr>
            <w:tcW w:w="94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Certification Pursuant to Rules 13a-14 and 15d-14 under the Securities Exchange Act of 1934, as Adopted Pursuant to Section 302</w:t>
              </w:r>
            </w:hyperlink>
          </w:p>
        </w:tc>
        <w:tc>
          <w:tcPr>
            <w:tcW w:w="160" w:type="dxa"/>
            <w:vAlign w:val="bottom"/>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of the Sarbanes-Oxley Act of 2002. *</w:t>
              </w:r>
            </w:hyperlink>
          </w:p>
        </w:tc>
      </w:tr>
      <w:tr>
        <w:trPr>
          <w:trHeight w:val="804"/>
        </w:trPr>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top w:val="single" w:sz="8" w:color="0000EE"/>
            </w:tcBorders>
          </w:tcPr>
          <w:p>
            <w:pPr>
              <w:spacing w:after="0"/>
              <w:rPr>
                <w:sz w:val="24"/>
                <w:szCs w:val="24"/>
                <w:color w:val="auto"/>
              </w:rPr>
            </w:pPr>
          </w:p>
        </w:tc>
        <w:tc>
          <w:tcPr>
            <w:tcW w:w="6740" w:type="dxa"/>
            <w:vAlign w:val="bottom"/>
          </w:tcPr>
          <w:p>
            <w:pPr>
              <w:jc w:val="right"/>
              <w:ind w:right="527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6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w:t>
            </w:r>
          </w:p>
        </w:tc>
        <w:tc>
          <w:tcPr>
            <w:tcW w:w="2680" w:type="dxa"/>
            <w:vAlign w:val="bottom"/>
          </w:tcPr>
          <w:p>
            <w:pPr>
              <w:spacing w:after="0"/>
              <w:rPr>
                <w:sz w:val="20"/>
                <w:szCs w:val="20"/>
                <w:color w:val="auto"/>
              </w:rPr>
            </w:pPr>
          </w:p>
        </w:tc>
        <w:tc>
          <w:tcPr>
            <w:tcW w:w="6900" w:type="dxa"/>
            <w:vAlign w:val="bottom"/>
            <w:gridSpan w:val="2"/>
          </w:tcPr>
          <w:p>
            <w:pPr>
              <w:ind w:left="1220"/>
              <w:spacing w:after="0"/>
              <w:rPr>
                <w:sz w:val="20"/>
                <w:szCs w:val="20"/>
                <w:color w:val="auto"/>
              </w:rPr>
            </w:pPr>
            <w:r>
              <w:rPr>
                <w:rFonts w:ascii="Arial" w:cs="Arial" w:eastAsia="Arial" w:hAnsi="Arial"/>
                <w:sz w:val="18"/>
                <w:szCs w:val="18"/>
                <w:b w:val="1"/>
                <w:bCs w:val="1"/>
                <w:color w:val="auto"/>
              </w:rPr>
              <w:t>Document Description</w:t>
            </w:r>
          </w:p>
        </w:tc>
      </w:tr>
      <w:tr>
        <w:trPr>
          <w:trHeight w:val="169"/>
        </w:trPr>
        <w:tc>
          <w:tcPr>
            <w:tcW w:w="144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31.2</w:t>
              </w:r>
            </w:hyperlink>
          </w:p>
        </w:tc>
        <w:tc>
          <w:tcPr>
            <w:tcW w:w="220" w:type="dxa"/>
            <w:vAlign w:val="bottom"/>
          </w:tcPr>
          <w:p>
            <w:pPr>
              <w:spacing w:after="0"/>
              <w:rPr>
                <w:sz w:val="14"/>
                <w:szCs w:val="14"/>
                <w:color w:val="auto"/>
              </w:rPr>
            </w:pPr>
          </w:p>
        </w:tc>
        <w:tc>
          <w:tcPr>
            <w:tcW w:w="942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Certification Pursuant to Rules 13a-14 and 15d-14 under the Securities Exchange Act of 1934, as Adopted Pursuant to Section 302</w:t>
              </w:r>
            </w:hyperlink>
          </w:p>
        </w:tc>
        <w:tc>
          <w:tcPr>
            <w:tcW w:w="160" w:type="dxa"/>
            <w:vAlign w:val="bottom"/>
            <w:tcBorders>
              <w:top w:val="single" w:sz="8" w:color="auto"/>
            </w:tcBorders>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of the Sarbanes-Oxley Act of 2002. *</w:t>
              </w:r>
            </w:hyperlink>
          </w:p>
        </w:tc>
      </w:tr>
      <w:tr>
        <w:trPr>
          <w:trHeight w:val="20"/>
        </w:trPr>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453"/>
        </w:trPr>
        <w:tc>
          <w:tcPr>
            <w:tcW w:w="144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32.1</w:t>
              </w:r>
            </w:hyperlink>
          </w:p>
        </w:tc>
        <w:tc>
          <w:tcPr>
            <w:tcW w:w="22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w w:val="97"/>
              </w:rPr>
            </w:pPr>
            <w:hyperlink w:anchor="page100">
              <w:r>
                <w:rPr>
                  <w:rFonts w:ascii="Arial" w:cs="Arial" w:eastAsia="Arial" w:hAnsi="Arial"/>
                  <w:sz w:val="18"/>
                  <w:szCs w:val="18"/>
                  <w:u w:val="single" w:color="auto"/>
                  <w:color w:val="0000EE"/>
                  <w:w w:val="97"/>
                </w:rPr>
                <w:t>Certification Pursuant to 18 U.S.C. Section 1350, as Adopted Pursuant to Section 906 of the Sarbanes-Oxley Act of 2002. *</w:t>
              </w:r>
            </w:hyperlink>
          </w:p>
        </w:tc>
      </w:tr>
      <w:tr>
        <w:trPr>
          <w:trHeight w:val="418"/>
        </w:trPr>
        <w:tc>
          <w:tcPr>
            <w:tcW w:w="1440" w:type="dxa"/>
            <w:vAlign w:val="bottom"/>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32.2</w:t>
              </w:r>
            </w:hyperlink>
          </w:p>
        </w:tc>
        <w:tc>
          <w:tcPr>
            <w:tcW w:w="22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u w:val="single" w:color="auto"/>
                <w:color w:val="0000EE"/>
                <w:w w:val="97"/>
              </w:rPr>
            </w:pPr>
            <w:hyperlink w:anchor="page101">
              <w:r>
                <w:rPr>
                  <w:rFonts w:ascii="Arial" w:cs="Arial" w:eastAsia="Arial" w:hAnsi="Arial"/>
                  <w:sz w:val="18"/>
                  <w:szCs w:val="18"/>
                  <w:u w:val="single" w:color="auto"/>
                  <w:color w:val="0000EE"/>
                  <w:w w:val="97"/>
                </w:rPr>
                <w:t>Certification Pursuant to 18 U.S.C. Section 1350, as Adopted Pursuant to Section 906 of the Sarbanes-Oxley Act of 2002. *</w:t>
              </w:r>
            </w:hyperlink>
          </w:p>
        </w:tc>
      </w:tr>
      <w:tr>
        <w:trPr>
          <w:trHeight w:val="419"/>
        </w:trPr>
        <w:tc>
          <w:tcPr>
            <w:tcW w:w="16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Instance Document. *</w:t>
            </w:r>
          </w:p>
        </w:tc>
      </w:tr>
      <w:tr>
        <w:trPr>
          <w:trHeight w:val="418"/>
        </w:trPr>
        <w:tc>
          <w:tcPr>
            <w:tcW w:w="16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w:t>
            </w:r>
          </w:p>
        </w:tc>
      </w:tr>
      <w:tr>
        <w:trPr>
          <w:trHeight w:val="418"/>
        </w:trPr>
        <w:tc>
          <w:tcPr>
            <w:tcW w:w="16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right="240" w:hanging="372"/>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19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tc>
      </w:tr>
      <w:tr>
        <w:trPr>
          <w:trHeight w:val="123"/>
        </w:trPr>
        <w:tc>
          <w:tcPr>
            <w:tcW w:w="380" w:type="dxa"/>
            <w:vAlign w:val="bottom"/>
          </w:tcPr>
          <w:p>
            <w:pPr>
              <w:spacing w:after="0"/>
              <w:rPr>
                <w:sz w:val="10"/>
                <w:szCs w:val="10"/>
                <w:color w:val="auto"/>
              </w:rPr>
            </w:pPr>
          </w:p>
        </w:tc>
        <w:tc>
          <w:tcPr>
            <w:tcW w:w="5240" w:type="dxa"/>
            <w:vAlign w:val="bottom"/>
          </w:tcPr>
          <w:p>
            <w:pPr>
              <w:jc w:val="center"/>
              <w:spacing w:after="0" w:line="123" w:lineRule="exact"/>
              <w:rPr>
                <w:sz w:val="20"/>
                <w:szCs w:val="20"/>
                <w:color w:val="auto"/>
              </w:rPr>
            </w:pPr>
            <w:r>
              <w:rPr>
                <w:rFonts w:ascii="Arial" w:cs="Arial" w:eastAsia="Arial" w:hAnsi="Arial"/>
                <w:sz w:val="14"/>
                <w:szCs w:val="14"/>
                <w:color w:val="auto"/>
                <w:w w:val="98"/>
              </w:rPr>
              <w:t>Mark W. Marinko</w:t>
            </w:r>
          </w:p>
        </w:tc>
      </w:tr>
      <w:tr>
        <w:trPr>
          <w:trHeight w:val="148"/>
        </w:trPr>
        <w:tc>
          <w:tcPr>
            <w:tcW w:w="38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color w:val="auto"/>
                <w:w w:val="94"/>
              </w:rPr>
              <w:t>Senior Vice President and Chief Financial Officer</w:t>
            </w:r>
          </w:p>
        </w:tc>
      </w:tr>
      <w:tr>
        <w:trPr>
          <w:trHeight w:val="182"/>
        </w:trPr>
        <w:tc>
          <w:tcPr>
            <w:tcW w:w="380" w:type="dxa"/>
            <w:vAlign w:val="bottom"/>
          </w:tcPr>
          <w:p>
            <w:pPr>
              <w:spacing w:after="0"/>
              <w:rPr>
                <w:sz w:val="15"/>
                <w:szCs w:val="15"/>
                <w:color w:val="auto"/>
              </w:rPr>
            </w:pPr>
          </w:p>
        </w:tc>
        <w:tc>
          <w:tcPr>
            <w:tcW w:w="5240" w:type="dxa"/>
            <w:vAlign w:val="bottom"/>
          </w:tcPr>
          <w:p>
            <w:pPr>
              <w:jc w:val="center"/>
              <w:spacing w:after="0"/>
              <w:rPr>
                <w:sz w:val="20"/>
                <w:szCs w:val="20"/>
                <w:color w:val="auto"/>
              </w:rPr>
            </w:pPr>
            <w:r>
              <w:rPr>
                <w:rFonts w:ascii="Arial" w:cs="Arial" w:eastAsia="Arial" w:hAnsi="Arial"/>
                <w:sz w:val="14"/>
                <w:szCs w:val="14"/>
                <w:color w:val="auto"/>
                <w:w w:val="96"/>
              </w:rPr>
              <w:t>(Principal Financial and Accounting Officer and Duly Authorized Officer)</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5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9"/>
              </w:rPr>
              <w:t>Signature</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79"/>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/s/ Lasse J. Petterson</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Lasse J. Petterson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4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Executive Officer)</w:t>
            </w: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Mark W. Marinko</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09"/>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Mark W. Marinko</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3"/>
              </w:rPr>
              <w:t>(Principal Financial Officer and</w:t>
            </w:r>
          </w:p>
        </w:tc>
      </w:tr>
      <w:tr>
        <w:trPr>
          <w:trHeight w:val="230"/>
        </w:trPr>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Principal Accounting Officer)</w:t>
            </w:r>
          </w:p>
        </w:tc>
      </w:tr>
      <w:tr>
        <w:trPr>
          <w:trHeight w:val="459"/>
        </w:trPr>
        <w:tc>
          <w:tcPr>
            <w:tcW w:w="2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Lawrence R. Dickerson</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Chairman of the Board and 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Lawrence R. Dickerson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Elaine J. Dorward-King</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Elaine J. Doward-King</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Ryan J. Levenson</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Ryan J. Levenson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Kathleen M. Shanahan</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Kathleen M. Shanahan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Ronald R. Steger</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Ronald R. Steger</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D. Michael Steuert</w:t>
            </w:r>
          </w:p>
        </w:tc>
        <w:tc>
          <w:tcPr>
            <w:tcW w:w="18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February 24, 2021</w:t>
            </w:r>
          </w:p>
        </w:tc>
        <w:tc>
          <w:tcPr>
            <w:tcW w:w="4240" w:type="dxa"/>
            <w:vAlign w:val="bottom"/>
            <w:gridSpan w:val="3"/>
          </w:tcPr>
          <w:p>
            <w:pPr>
              <w:jc w:val="center"/>
              <w:ind w:left="59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D. Michael Steuert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674"/>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jc w:val="right"/>
              <w:ind w:right="173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960"/>
          </w:cols>
          <w:pgMar w:left="320" w:top="121" w:right="619" w:bottom="1440" w:gutter="0" w:footer="0" w:header="0"/>
        </w:sectPr>
      </w:pPr>
    </w:p>
    <w:bookmarkStart w:id="88" w:name="page89"/>
    <w:bookmarkEnd w:id="88"/>
    <w:p>
      <w:pPr>
        <w:ind w:left="10120"/>
        <w:spacing w:after="0"/>
        <w:rPr>
          <w:sz w:val="20"/>
          <w:szCs w:val="20"/>
          <w:color w:val="auto"/>
        </w:rPr>
      </w:pPr>
      <w:r>
        <w:rPr>
          <w:rFonts w:ascii="Arial" w:cs="Arial" w:eastAsia="Arial" w:hAnsi="Arial"/>
          <w:sz w:val="19"/>
          <w:szCs w:val="19"/>
          <w:b w:val="1"/>
          <w:bCs w:val="1"/>
          <w:color w:val="auto"/>
        </w:rPr>
        <w:t>Exhibit 10.8</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AND GENERAL RELEASE AGREEMENT</w:t>
      </w:r>
    </w:p>
    <w:p>
      <w:pPr>
        <w:jc w:val="center"/>
        <w:spacing w:after="0" w:line="230" w:lineRule="auto"/>
        <w:rPr>
          <w:sz w:val="20"/>
          <w:szCs w:val="20"/>
          <w:color w:val="auto"/>
        </w:rPr>
      </w:pPr>
      <w:r>
        <w:rPr>
          <w:rFonts w:ascii="Arial" w:cs="Arial" w:eastAsia="Arial" w:hAnsi="Arial"/>
          <w:sz w:val="22"/>
          <w:szCs w:val="22"/>
          <w:b w:val="1"/>
          <w:bCs w:val="1"/>
          <w:color w:val="auto"/>
        </w:rPr>
        <w:t>Caution: Read Carefully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Is A Release Of All Claims</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SEPARATION AND GENERAL RELEASE AGREEMENT ("Agreement") is voluntarily entered into as of the date(s) set forth below by and between the undersigned individual employee, Kathleen M. LaVoy ("LaVoy"), and Great Lakes Dredge &amp; Dock Corporation with and on behalf of its wholly owned subsidiary Great Lakes Dredge &amp; Dock Company, LLC (together, the "Company").</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Company and LaVoy are parties to that certain Second Amended and Restated Employment Agreement dated December 21, 2016 (“Employment Agreement”); and</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WHEREAS, the Employment Agreement provides for certain payments and benefits to be made and provided upon a termination without Cause under Section 3.3(a) and (b) thereof, subject to and on the condition of the execution and non-revocation of a separation agreement and general release in a form and substance reasonably acceptable to the Company, being this Agreement; and</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LaVoy and the Company have reached mutual agreement on the separation of LaVoy’s employment by her termination without Cause effective as of December 31, 2020 ("Separation Date");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in consideration of the mutual understandings, covenants, and the release contained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the Company and LaVoy hereby voluntarily agree as follows:</w:t>
      </w:r>
    </w:p>
    <w:p>
      <w:pPr>
        <w:spacing w:after="0" w:line="182" w:lineRule="exact"/>
        <w:rPr>
          <w:sz w:val="20"/>
          <w:szCs w:val="20"/>
          <w:color w:val="auto"/>
        </w:rPr>
      </w:pPr>
    </w:p>
    <w:p>
      <w:pPr>
        <w:jc w:val="both"/>
        <w:ind w:firstLine="8"/>
        <w:spacing w:after="0" w:line="247" w:lineRule="auto"/>
        <w:tabs>
          <w:tab w:leader="none" w:pos="810"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Specific terms used in this Agreement have the following meanings: (a) words such as "I," "me," and "my"</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both the undersigned, Kathleen M. LaVoy, and anyone who has or obtains any legal right or claims through me; and (b) "Company" means Great Lakes Dredge &amp; Dock Corporation with and on behalf of its wholly owned subsidiary Great Lakes Dredge &amp; Dock Company, LLC, all of their past and present officers, directors, stockholders, employees, trustees, parent corporations, agents, members, affiliates, attorneys, insurers, any and all employee benefit plans (and any fiduciary of such plans) sponsored by such entities, and each such entity's subsidiaries, predecessors, successors, and assigns, and all other entities, persons, firms, or corporations liable or who might be claimed to be liable, none of whom admit any liability to me, but all of whom expressly deny any such liability.</w:t>
      </w:r>
    </w:p>
    <w:p>
      <w:pPr>
        <w:spacing w:after="0" w:line="171" w:lineRule="exact"/>
        <w:rPr>
          <w:rFonts w:ascii="Arial" w:cs="Arial" w:eastAsia="Arial" w:hAnsi="Arial"/>
          <w:sz w:val="21"/>
          <w:szCs w:val="21"/>
          <w:color w:val="auto"/>
        </w:rPr>
      </w:pPr>
    </w:p>
    <w:p>
      <w:pPr>
        <w:jc w:val="both"/>
        <w:ind w:firstLine="8"/>
        <w:spacing w:after="0" w:line="243" w:lineRule="auto"/>
        <w:tabs>
          <w:tab w:leader="none" w:pos="81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My Claims</w:t>
      </w:r>
      <w:r>
        <w:rPr>
          <w:rFonts w:ascii="Arial" w:cs="Arial" w:eastAsia="Arial" w:hAnsi="Arial"/>
          <w:sz w:val="22"/>
          <w:szCs w:val="22"/>
          <w:color w:val="auto"/>
        </w:rPr>
        <w:t>. The claims I am releasing ("My Claims") include all of my rights to any relief of any kind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including without limitation, all claims I have now, whether or not I now know about the claims. These claims, which I hereby release, include, but are not limited to the following:</w:t>
      </w:r>
    </w:p>
    <w:p>
      <w:pPr>
        <w:spacing w:after="0" w:line="182" w:lineRule="exact"/>
        <w:rPr>
          <w:rFonts w:ascii="Arial" w:cs="Arial" w:eastAsia="Arial" w:hAnsi="Arial"/>
          <w:sz w:val="22"/>
          <w:szCs w:val="22"/>
          <w:color w:val="auto"/>
        </w:rPr>
      </w:pPr>
    </w:p>
    <w:p>
      <w:pPr>
        <w:jc w:val="both"/>
        <w:ind w:left="880" w:hanging="8"/>
        <w:spacing w:after="0" w:line="236" w:lineRule="auto"/>
        <w:tabs>
          <w:tab w:leader="none" w:pos="1183" w:val="left"/>
        </w:tabs>
        <w:numPr>
          <w:ilvl w:val="1"/>
          <w:numId w:val="40"/>
        </w:numPr>
        <w:rPr>
          <w:rFonts w:ascii="Arial" w:cs="Arial" w:eastAsia="Arial" w:hAnsi="Arial"/>
          <w:sz w:val="22"/>
          <w:szCs w:val="22"/>
          <w:color w:val="auto"/>
        </w:rPr>
      </w:pPr>
      <w:r>
        <w:rPr>
          <w:rFonts w:ascii="Arial" w:cs="Arial" w:eastAsia="Arial" w:hAnsi="Arial"/>
          <w:sz w:val="22"/>
          <w:szCs w:val="22"/>
          <w:color w:val="auto"/>
        </w:rPr>
        <w:t>all claims relating to my employment with the Company, or the termination of that employment, including, but not limited to, any claims arising under the Fair Labor Standards Act; Title VII of the Civil Rights Act of 1964; the Civil Rights Act of 1866; the Age Discrimination in Employment Act ("ADEA"); the Older Worker Benefits Protection Act ("OWBPA"); the Employee Retirement Income Security Act; the Family and Medical Leave Act ("FMLA") (to the extent that FMLA claims may be released under governing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[Type here][Type here][Type here]</w:t>
      </w:r>
    </w:p>
    <w:p>
      <w:pPr>
        <w:spacing w:after="0" w:line="9" w:lineRule="exact"/>
        <w:rPr>
          <w:sz w:val="20"/>
          <w:szCs w:val="20"/>
          <w:color w:val="auto"/>
        </w:rPr>
      </w:pPr>
    </w:p>
    <w:p>
      <w:pPr>
        <w:ind w:left="880"/>
        <w:spacing w:after="0" w:line="236" w:lineRule="auto"/>
        <w:rPr>
          <w:sz w:val="20"/>
          <w:szCs w:val="20"/>
          <w:color w:val="auto"/>
        </w:rPr>
      </w:pPr>
      <w:r>
        <w:rPr>
          <w:rFonts w:ascii="Arial" w:cs="Arial" w:eastAsia="Arial" w:hAnsi="Arial"/>
          <w:sz w:val="22"/>
          <w:szCs w:val="22"/>
          <w:color w:val="auto"/>
        </w:rPr>
        <w:t>law); the Families First Coronavirus Response Act ("FFCRA"); the Americans with Disabilities Act; the applicable state civil rights laws; and/or any other federal, state or local law;</w:t>
      </w:r>
    </w:p>
    <w:p>
      <w:pPr>
        <w:spacing w:after="0" w:line="187" w:lineRule="exact"/>
        <w:rPr>
          <w:sz w:val="20"/>
          <w:szCs w:val="20"/>
          <w:color w:val="auto"/>
        </w:rPr>
      </w:pPr>
    </w:p>
    <w:p>
      <w:pPr>
        <w:jc w:val="both"/>
        <w:ind w:left="880" w:hanging="8"/>
        <w:spacing w:after="0"/>
        <w:tabs>
          <w:tab w:leader="none" w:pos="121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claims under any principle of common law or equity, including but not limited to, claims for alleged unpaid compensation or other monies; commissions; any tort; breach of contract; and any other allegedly wrongful employment practices; and</w:t>
      </w:r>
    </w:p>
    <w:p>
      <w:pPr>
        <w:spacing w:after="0" w:line="186" w:lineRule="exact"/>
        <w:rPr>
          <w:rFonts w:ascii="Arial" w:cs="Arial" w:eastAsia="Arial" w:hAnsi="Arial"/>
          <w:sz w:val="22"/>
          <w:szCs w:val="22"/>
          <w:color w:val="auto"/>
        </w:rPr>
      </w:pPr>
    </w:p>
    <w:p>
      <w:pPr>
        <w:ind w:left="880" w:hanging="8"/>
        <w:spacing w:after="0" w:line="250" w:lineRule="auto"/>
        <w:tabs>
          <w:tab w:leader="none" w:pos="1201"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claims for any type of relief from the Company, including but not limited to, claims for damages, costs and attorney's fees.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to these claims being released, I acknowledge that I have not suffered any physical or mental injuries arising out of my employment with the Company or the termination of that employment. I will take all steps necessary to withdraw or terminate any charges or complaints I have filed.</w:t>
      </w:r>
    </w:p>
    <w:p>
      <w:pPr>
        <w:spacing w:after="0" w:line="180" w:lineRule="exact"/>
        <w:rPr>
          <w:sz w:val="20"/>
          <w:szCs w:val="20"/>
          <w:color w:val="auto"/>
        </w:rPr>
      </w:pPr>
    </w:p>
    <w:p>
      <w:pPr>
        <w:jc w:val="both"/>
        <w:ind w:firstLine="8"/>
        <w:spacing w:after="0" w:line="271" w:lineRule="auto"/>
        <w:tabs>
          <w:tab w:leader="none" w:pos="828"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Exclusions From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 understand that My Claims released under this Agreement do not include any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claims that may arise after my execution of this Agreement or claims for any payments or benefits to which I am entitled under this Agreement. I understand I do not waive future claims. Also, I further understand that nothing in this Agreement shall in any way adversely affect whatever vested rights I may have to benefits under any retirement or other employee benefit plan or program of the Company, subject to the terms and conditions of any such plan or program, or any rights that I had prior to the Separation Date to be indemnified by the Company or to coverage under any directors and officers insurance policy and any run-off policy thereto, subject in each case to the terms and conditions of any such policy. In addition, I acknowledge that this Agreement is not intended to (a) prevent me from filing a charge or complaint including a challenge to the validity of this Agreement, with the Equal Employment Opportunity Commission ("EEOC"); (b) prevent me from participating in any investigation or proceeding conducted by the EEOC; or (c) establish a condition precedent or other barrier to exercising these rights. While I have the right to participate in an investigation, I understand that I am waiving my right to any monetary recovery arising from any investigation or pursuit of claim on my behalf. I acknowledge that I have the right to file a charge alleging a violation of the ADEA with any administrative agency and/or to challenge the validity of the waiver and release of any claim I might have under the ADEA without either: (a) repaying to the Company the amounts paid by it to me or on my behalf under this Agreement; or (b) paying to the Company any other monetary amounts (such as attorney's fees and/or damages).</w:t>
      </w:r>
    </w:p>
    <w:p>
      <w:pPr>
        <w:spacing w:after="0" w:line="160" w:lineRule="exact"/>
        <w:rPr>
          <w:rFonts w:ascii="Arial" w:cs="Arial" w:eastAsia="Arial" w:hAnsi="Arial"/>
          <w:sz w:val="19"/>
          <w:szCs w:val="19"/>
          <w:color w:val="auto"/>
        </w:rPr>
      </w:pPr>
    </w:p>
    <w:p>
      <w:pPr>
        <w:ind w:firstLine="8"/>
        <w:spacing w:after="0" w:line="256" w:lineRule="auto"/>
        <w:tabs>
          <w:tab w:leader="none" w:pos="81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Company's Agreement to Make Payments to Me</w:t>
      </w:r>
      <w:r>
        <w:rPr>
          <w:rFonts w:ascii="Arial" w:cs="Arial" w:eastAsia="Arial" w:hAnsi="Arial"/>
          <w:sz w:val="22"/>
          <w:szCs w:val="22"/>
          <w:color w:val="auto"/>
        </w:rPr>
        <w:t>. In exchange for my release and other promises made by me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Company agrees that it shall:</w:t>
      </w:r>
    </w:p>
    <w:p>
      <w:pPr>
        <w:spacing w:after="0" w:line="168" w:lineRule="exact"/>
        <w:rPr>
          <w:sz w:val="20"/>
          <w:szCs w:val="20"/>
          <w:color w:val="auto"/>
        </w:rPr>
      </w:pPr>
    </w:p>
    <w:p>
      <w:pPr>
        <w:jc w:val="both"/>
        <w:ind w:left="880" w:right="860" w:hanging="8"/>
        <w:spacing w:after="0" w:line="235" w:lineRule="auto"/>
        <w:tabs>
          <w:tab w:leader="none" w:pos="1191" w:val="left"/>
        </w:tabs>
        <w:numPr>
          <w:ilvl w:val="0"/>
          <w:numId w:val="43"/>
        </w:numPr>
        <w:rPr>
          <w:rFonts w:ascii="Arial" w:cs="Arial" w:eastAsia="Arial" w:hAnsi="Arial"/>
          <w:sz w:val="22"/>
          <w:szCs w:val="22"/>
          <w:color w:val="auto"/>
        </w:rPr>
      </w:pPr>
      <w:r>
        <w:rPr>
          <w:rFonts w:ascii="Arial" w:cs="Arial" w:eastAsia="Arial" w:hAnsi="Arial"/>
          <w:sz w:val="22"/>
          <w:szCs w:val="22"/>
          <w:color w:val="auto"/>
        </w:rPr>
        <w:t>make a separation payment to me in the amount of Four Hundred Forty-Five Thousand Dollars and No Cents ($445,000.</w:t>
      </w:r>
      <w:r>
        <w:rPr>
          <w:rFonts w:ascii="Arial" w:cs="Arial" w:eastAsia="Arial" w:hAnsi="Arial"/>
          <w:sz w:val="18"/>
          <w:szCs w:val="18"/>
          <w:u w:val="single" w:color="auto"/>
          <w:color w:val="auto"/>
        </w:rPr>
        <w:t>00</w:t>
      </w:r>
      <w:r>
        <w:rPr>
          <w:rFonts w:ascii="Arial" w:cs="Arial" w:eastAsia="Arial" w:hAnsi="Arial"/>
          <w:sz w:val="22"/>
          <w:szCs w:val="22"/>
          <w:color w:val="auto"/>
        </w:rPr>
        <w:t>) (less taxes and other required deductions and withholdings), which is an amount equivalent to fifteen (15) months of my current salary ("Separation Payment"), which shall be paid to me in equal installments on each regularly scheduled payroll pay date during the fifteen (15) month period that begins on the first day immediately after the Effective Date as provided in Paragraph 12, subject to Paragraph 16,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[Type here][Type here][Type here]</w:t>
      </w:r>
    </w:p>
    <w:p>
      <w:pPr>
        <w:spacing w:after="0" w:line="9" w:lineRule="exact"/>
        <w:rPr>
          <w:sz w:val="20"/>
          <w:szCs w:val="20"/>
          <w:color w:val="auto"/>
        </w:rPr>
      </w:pPr>
    </w:p>
    <w:p>
      <w:pPr>
        <w:jc w:val="both"/>
        <w:ind w:left="880" w:right="860" w:hanging="8"/>
        <w:spacing w:after="0" w:line="234" w:lineRule="auto"/>
        <w:tabs>
          <w:tab w:leader="none" w:pos="1208" w:val="left"/>
        </w:tabs>
        <w:numPr>
          <w:ilvl w:val="0"/>
          <w:numId w:val="44"/>
        </w:numPr>
        <w:rPr>
          <w:rFonts w:ascii="Arial" w:cs="Arial" w:eastAsia="Arial" w:hAnsi="Arial"/>
          <w:sz w:val="22"/>
          <w:szCs w:val="22"/>
          <w:color w:val="auto"/>
        </w:rPr>
      </w:pPr>
      <w:r>
        <w:rPr>
          <w:rFonts w:ascii="Arial" w:cs="Arial" w:eastAsia="Arial" w:hAnsi="Arial"/>
          <w:sz w:val="22"/>
          <w:szCs w:val="22"/>
          <w:color w:val="auto"/>
        </w:rPr>
        <w:t>pay to me the pro rata portion of the annual bonus and the Supplemental Savings Plan benefits earned through the Separation Date. Such amount will be paid when all other Company executives receive such payments, but in no event later than March 15, 2021;</w:t>
      </w:r>
    </w:p>
    <w:p>
      <w:pPr>
        <w:spacing w:after="0" w:line="187" w:lineRule="exact"/>
        <w:rPr>
          <w:rFonts w:ascii="Arial" w:cs="Arial" w:eastAsia="Arial" w:hAnsi="Arial"/>
          <w:sz w:val="22"/>
          <w:szCs w:val="22"/>
          <w:color w:val="auto"/>
        </w:rPr>
      </w:pPr>
    </w:p>
    <w:p>
      <w:pPr>
        <w:jc w:val="both"/>
        <w:ind w:left="880" w:right="860" w:hanging="8"/>
        <w:spacing w:after="0" w:line="273" w:lineRule="auto"/>
        <w:tabs>
          <w:tab w:leader="none" w:pos="1182"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continue coverage for me (and my spouse and eligible dependents, to the extent they have been provided with coverage on the date immediately prior to the Separation Date and otherwise continue to be eligible for coverage under the terms of the applicable governing documents) pursuant to COBRA, for a period of up to fifteen (15) months from the Separation Date (“Benefits Period”). During the Benefits Period, the Company will reduce my Separation Payment by my share of the cost of these benefits, which is fixed at the amount I had been paying for such coverage on the date immediately prior to the Separation Date. After the Benefits Period, I (and my spouse and eligible dependents, as applicable) may be eligible for continuation coverage under COBRA or other similar state statute at my sole expense. Notwithstanding the foregoing, the Company may find alternate medical and dental plan coverage if, by law or other restrictions outside the control of the Company, continued coverage pursuant to COBRA is not permitted; and</w:t>
      </w:r>
    </w:p>
    <w:p>
      <w:pPr>
        <w:spacing w:after="0" w:line="160" w:lineRule="exact"/>
        <w:rPr>
          <w:rFonts w:ascii="Arial" w:cs="Arial" w:eastAsia="Arial" w:hAnsi="Arial"/>
          <w:sz w:val="19"/>
          <w:szCs w:val="19"/>
          <w:color w:val="auto"/>
        </w:rPr>
      </w:pPr>
    </w:p>
    <w:p>
      <w:pPr>
        <w:ind w:left="880" w:right="860" w:hanging="8"/>
        <w:spacing w:after="0" w:line="250" w:lineRule="auto"/>
        <w:tabs>
          <w:tab w:leader="none" w:pos="1188" w:val="left"/>
        </w:tabs>
        <w:numPr>
          <w:ilvl w:val="0"/>
          <w:numId w:val="44"/>
        </w:numPr>
        <w:rPr>
          <w:rFonts w:ascii="Arial" w:cs="Arial" w:eastAsia="Arial" w:hAnsi="Arial"/>
          <w:sz w:val="22"/>
          <w:szCs w:val="22"/>
          <w:color w:val="auto"/>
        </w:rPr>
      </w:pPr>
      <w:r>
        <w:rPr>
          <w:rFonts w:ascii="Arial" w:cs="Arial" w:eastAsia="Arial" w:hAnsi="Arial"/>
          <w:sz w:val="22"/>
          <w:szCs w:val="22"/>
          <w:color w:val="auto"/>
        </w:rPr>
        <w:t>provide to me fifteen (15) months of age and vesting credit for any unvested equity or long term incentive awards measured from the Separation Date.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 acknowledge that the payments and benefits described above constitute full and fair consideration for the release of My Claims, that the Company is not otherwise obligated to make these payments or provide these benefits to me, and that they are in addition to any other sums or benefits to which I am otherwise due. I acknowledge and agree that the above payments and other consideration are in full satisfaction of any rights, benefits, payments, amounts, items of value, or other consideration of any kind due to me under the terms of the Employment Agreement and/or any applicable Great Lakes Dredge &amp; Dock Company Severance Pay Plan or otherwise. I understand that I will also receive payment in the amount of Eight Thousand Two Hundred Fifteen Dollars and Twenty Cents ($8,215.20) (less taxes and other required deductions and withholdings) for all accrued but unused vacation (48 hours). I acknowledge that I have received all other forms of compensation, of whatever kind, that may be due to me by the Company, including, without limitation, base salary, employer profit sharing contributions to the Company’s 401(k) plan, or other amounts earned by me prior to the Separation Date or provided for under the terms of the Employment Agreement or otherwise, and that I have not been denied any form of leave (paid and/or unpaid) to which I am or was otherwise entitled.</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acknowledges that I am not required to repay to the Company the amounts paid by it to me as tuition reimbursement under the terms of the Tuition Reimbursement Application(s) for Funds in the total amount of $125,000 for my Executive MBA, Northwestern University (Kellogg School of Business). I understand that I am solely and individually responsible for any and all taxes due and owing, if any, as a result of the Company’s payment of this amount to me and for my non-repayment of such amount.</w:t>
      </w:r>
    </w:p>
    <w:p>
      <w:pPr>
        <w:spacing w:after="0" w:line="181" w:lineRule="exact"/>
        <w:rPr>
          <w:sz w:val="20"/>
          <w:szCs w:val="20"/>
          <w:color w:val="auto"/>
        </w:rPr>
      </w:pPr>
    </w:p>
    <w:p>
      <w:pPr>
        <w:ind w:firstLine="8"/>
        <w:spacing w:after="0" w:line="256" w:lineRule="auto"/>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Company Property</w:t>
      </w:r>
      <w:r>
        <w:rPr>
          <w:rFonts w:ascii="Arial" w:cs="Arial" w:eastAsia="Arial" w:hAnsi="Arial"/>
          <w:sz w:val="22"/>
          <w:szCs w:val="22"/>
          <w:color w:val="auto"/>
        </w:rPr>
        <w:t>. Other than the cellular telephone (and associated cellular telephone number) issued to</w:t>
      </w:r>
      <w:r>
        <w:rPr>
          <w:rFonts w:ascii="Arial" w:cs="Arial" w:eastAsia="Arial" w:hAnsi="Arial"/>
          <w:sz w:val="22"/>
          <w:szCs w:val="22"/>
          <w:b w:val="1"/>
          <w:bCs w:val="1"/>
          <w:color w:val="auto"/>
        </w:rPr>
        <w:t xml:space="preserve"> </w:t>
      </w:r>
      <w:r>
        <w:rPr>
          <w:rFonts w:ascii="Arial" w:cs="Arial" w:eastAsia="Arial" w:hAnsi="Arial"/>
          <w:sz w:val="22"/>
          <w:szCs w:val="22"/>
          <w:color w:val="auto"/>
        </w:rPr>
        <w:t>me by the Company, I hereby represent and warrant that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[Type here][Type here][Type here]</w:t>
      </w:r>
    </w:p>
    <w:p>
      <w:pPr>
        <w:spacing w:after="0" w:line="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returned to the Company all of its property that was ever in my possession or control or will return such property by January 6, 2021. This property includes, but is not limited to, financial and other business records, personnel records, office and other keys, directories, computer hardware and software, passwords, books, documents, memoranda, and all other records, and copies of all such items.</w:t>
      </w:r>
    </w:p>
    <w:p>
      <w:pPr>
        <w:spacing w:after="0" w:line="182" w:lineRule="exact"/>
        <w:rPr>
          <w:sz w:val="20"/>
          <w:szCs w:val="20"/>
          <w:color w:val="auto"/>
        </w:rPr>
      </w:pPr>
    </w:p>
    <w:p>
      <w:pPr>
        <w:jc w:val="both"/>
        <w:ind w:firstLine="8"/>
        <w:spacing w:after="0" w:line="247" w:lineRule="auto"/>
        <w:tabs>
          <w:tab w:leader="none" w:pos="810" w:val="left"/>
        </w:tabs>
        <w:numPr>
          <w:ilvl w:val="0"/>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of Relationship</w:t>
      </w:r>
      <w:r>
        <w:rPr>
          <w:rFonts w:ascii="Arial" w:cs="Arial" w:eastAsia="Arial" w:hAnsi="Arial"/>
          <w:sz w:val="21"/>
          <w:szCs w:val="21"/>
          <w:b w:val="1"/>
          <w:bCs w:val="1"/>
          <w:color w:val="auto"/>
        </w:rPr>
        <w:t xml:space="preserve">. </w:t>
      </w:r>
      <w:r>
        <w:rPr>
          <w:rFonts w:ascii="Arial" w:cs="Arial" w:eastAsia="Arial" w:hAnsi="Arial"/>
          <w:sz w:val="21"/>
          <w:szCs w:val="21"/>
          <w:color w:val="auto"/>
        </w:rPr>
        <w:t>I acknowledge that my employment has been separated as of the Separation Date. I</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 that neither the Company nor its successors have any obligation, contractual or otherwise, to rehire, reemploy, recall, or hire me in the future. I understand that this Agreement does not constitute an admission of wrongdoing by any party. I also understand and agree that all post-employment restrictive covenants, confidentiality, and other continuing obligations to the Company remain in full effect for the period of time stated in any written agreement between me and the Company, including without limitation those contained in the Employment Agreement (including without limitation those contained in Articles IV and V thereof), and as imposed by law.</w:t>
      </w:r>
    </w:p>
    <w:p>
      <w:pPr>
        <w:spacing w:after="0" w:line="177" w:lineRule="exact"/>
        <w:rPr>
          <w:rFonts w:ascii="Arial" w:cs="Arial" w:eastAsia="Arial" w:hAnsi="Arial"/>
          <w:sz w:val="21"/>
          <w:szCs w:val="21"/>
          <w:color w:val="auto"/>
        </w:rPr>
      </w:pPr>
    </w:p>
    <w:p>
      <w:pPr>
        <w:jc w:val="both"/>
        <w:ind w:firstLine="8"/>
        <w:spacing w:after="0" w:line="243" w:lineRule="auto"/>
        <w:tabs>
          <w:tab w:leader="none" w:pos="81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Consultation with Attorney</w:t>
      </w:r>
      <w:r>
        <w:rPr>
          <w:rFonts w:ascii="Arial" w:cs="Arial" w:eastAsia="Arial" w:hAnsi="Arial"/>
          <w:sz w:val="22"/>
          <w:szCs w:val="22"/>
          <w:color w:val="auto"/>
        </w:rPr>
        <w:t>. I acknowledge that the Company has advised me that it is up to me as to whether I</w:t>
      </w:r>
      <w:r>
        <w:rPr>
          <w:rFonts w:ascii="Arial" w:cs="Arial" w:eastAsia="Arial" w:hAnsi="Arial"/>
          <w:sz w:val="22"/>
          <w:szCs w:val="22"/>
          <w:b w:val="1"/>
          <w:bCs w:val="1"/>
          <w:color w:val="auto"/>
        </w:rPr>
        <w:t xml:space="preserve"> </w:t>
      </w:r>
      <w:r>
        <w:rPr>
          <w:rFonts w:ascii="Arial" w:cs="Arial" w:eastAsia="Arial" w:hAnsi="Arial"/>
          <w:sz w:val="22"/>
          <w:szCs w:val="22"/>
          <w:color w:val="auto"/>
        </w:rPr>
        <w:t>consult an attorney or representative of my choosing prior to signing this Agreement, and that the Company has advised and hereby does advise that I should do so.</w:t>
      </w:r>
    </w:p>
    <w:p>
      <w:pPr>
        <w:spacing w:after="0" w:line="176" w:lineRule="exact"/>
        <w:rPr>
          <w:rFonts w:ascii="Arial" w:cs="Arial" w:eastAsia="Arial" w:hAnsi="Arial"/>
          <w:sz w:val="22"/>
          <w:szCs w:val="22"/>
          <w:color w:val="auto"/>
        </w:rPr>
      </w:pPr>
    </w:p>
    <w:p>
      <w:pPr>
        <w:jc w:val="both"/>
        <w:ind w:firstLine="8"/>
        <w:spacing w:after="0" w:line="273" w:lineRule="auto"/>
        <w:tabs>
          <w:tab w:leader="none" w:pos="810"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 In further consideration of the payments and benefits set forth above, I agree, consistent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to protect the Company from intrusion into its business by not disclosing to any third-party any confidential information or trade secrets of the Company. Such information includes, but is not limited to, confidential information regarding the credit and collection activities of the Company, and information regarding the Company's employees, services, marketing</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strategies, business plans, operations, costs, research and development efforts, technical data and know-how, financial information, internal procedures, forecasts, methods, trade secrets, software programs, project requirements, inventions, trademarks, trade names, and similar information regarding the Company’s business (collectively referred to as "Confidential Information”). I agree that all such Confidential Information is and shall remain the sole and exclusive property of the Company. Except as may be expressly authorized by the Company in writing, or as may be required by law after providing due notice thereof to the Company, I agree not to disclose, or cause any other person or entity to disclose, any Confidential Information to any third party as long as such information remains confidential (or as limited by applicable law) and I agree not to make use of any such Confidential Information for my own purpose or for the benefit of any other entity or person. All duties and obligations set forth in this Agreement regarding Confidential Information shall be in addition to and not in lieu of those which exist under the terms of my Employment Agreement and applicable state trade secret act(s) and at common law. I further understand that it is an essential and material condition of this Agreement that the existence and terms of this Agreement are to remain strictly confidential and shall not be disclosed by me to any person other than to my attorney, my accountant or my spouse, if any, or as required by law. Confidentiality is my preference and is mutually beneficial to both parties. I understand and acknowledge that the Company may be required to disclose this Agreement and/or its terms in compliance with its obligations under applicable law. Nothing in this confidentiality statement or Agreement prohibits me from reporting possible violations of federal, state, or local law or regulation, including alleged criminal conduct or unlawful employment practices, to any governmental agency or entity, including but not limited to the Department of Justice,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[Type here][Type here][Type here]</w:t>
      </w:r>
    </w:p>
    <w:p>
      <w:pPr>
        <w:spacing w:after="0" w:line="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Securities and Exchange Commission, the U.S. Congress, and any Agency Inspector General, or making other disclosures (including but not limited to providing documents or other information) that are protected under the whistleblower provisions of federal law or regulation. I do not need the prior authorization of the Company to make any such reports or disclosures, and I am not required to notify the Company that I have made such reports or disclosures. I am also not limited in my right to receive an award for information provided to any government agency or entity. As provided by federal law (18 U.S.C. §1833), I understand that I will not be held criminally or civilly liable under any federal or state trade secret law for my disclosure of a trade secret that is made by me: (a) in confidence to a federal, state, or local government official, either directly or indirectly, or to an attorney, and solely for the purpose of reporting or investigating a suspected violation of law; or (b) in a complaint or other document filed by me in a lawsuit or other proceeding, on the condition that such filing is made under seal.</w:t>
      </w:r>
    </w:p>
    <w:p>
      <w:pPr>
        <w:spacing w:after="0" w:line="150" w:lineRule="exact"/>
        <w:rPr>
          <w:sz w:val="20"/>
          <w:szCs w:val="20"/>
          <w:color w:val="auto"/>
        </w:rPr>
      </w:pPr>
    </w:p>
    <w:p>
      <w:pPr>
        <w:jc w:val="both"/>
        <w:ind w:firstLine="8"/>
        <w:spacing w:after="0" w:line="251" w:lineRule="auto"/>
        <w:tabs>
          <w:tab w:leader="none" w:pos="810"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Violation of Agreement</w:t>
      </w:r>
      <w:r>
        <w:rPr>
          <w:rFonts w:ascii="Arial" w:cs="Arial" w:eastAsia="Arial" w:hAnsi="Arial"/>
          <w:sz w:val="21"/>
          <w:szCs w:val="21"/>
          <w:color w:val="auto"/>
        </w:rPr>
        <w:t>. If any legal action or other proceeding is brought for the enforcement of this Agreement, if I</w:t>
      </w:r>
      <w:r>
        <w:rPr>
          <w:rFonts w:ascii="Arial" w:cs="Arial" w:eastAsia="Arial" w:hAnsi="Arial"/>
          <w:sz w:val="21"/>
          <w:szCs w:val="21"/>
          <w:b w:val="1"/>
          <w:bCs w:val="1"/>
          <w:color w:val="auto"/>
        </w:rPr>
        <w:t xml:space="preserve"> </w:t>
      </w:r>
      <w:r>
        <w:rPr>
          <w:rFonts w:ascii="Arial" w:cs="Arial" w:eastAsia="Arial" w:hAnsi="Arial"/>
          <w:sz w:val="21"/>
          <w:szCs w:val="21"/>
          <w:color w:val="auto"/>
        </w:rPr>
        <w:t>am the prevailing party I shall be able to recover from the Company my reasonable attorney fees and costs. If the Company is the prevailing party, then each party shall bear its own costs and expenses. The parties agree that Illinois law will apply to the interpretation of this Agreement, that exclusive venue shall exist with the federal and state courts located in or having jurisdiction over DuPage County, Illinois and that they will waive their rights to a jury trial.</w:t>
      </w:r>
    </w:p>
    <w:p>
      <w:pPr>
        <w:spacing w:after="0" w:line="168" w:lineRule="exact"/>
        <w:rPr>
          <w:rFonts w:ascii="Arial" w:cs="Arial" w:eastAsia="Arial" w:hAnsi="Arial"/>
          <w:sz w:val="21"/>
          <w:szCs w:val="21"/>
          <w:color w:val="auto"/>
        </w:rPr>
      </w:pPr>
    </w:p>
    <w:p>
      <w:pPr>
        <w:jc w:val="both"/>
        <w:ind w:firstLine="8"/>
        <w:spacing w:after="0" w:line="243" w:lineRule="auto"/>
        <w:tabs>
          <w:tab w:leader="none" w:pos="918"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 understand, and it is my intent, that in the event this Agreement is ever held to be invalid or</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(in whole or in part) as to any particular type of claim or charge or as to any particular circumstances, it shall remain fully valid and enforceable as to all other claims, charges, and circumstances.</w:t>
      </w:r>
    </w:p>
    <w:p>
      <w:pPr>
        <w:spacing w:after="0" w:line="176" w:lineRule="exact"/>
        <w:rPr>
          <w:rFonts w:ascii="Arial" w:cs="Arial" w:eastAsia="Arial" w:hAnsi="Arial"/>
          <w:sz w:val="22"/>
          <w:szCs w:val="22"/>
          <w:color w:val="auto"/>
        </w:rPr>
      </w:pPr>
    </w:p>
    <w:p>
      <w:pPr>
        <w:jc w:val="both"/>
        <w:ind w:firstLine="8"/>
        <w:spacing w:after="0" w:line="280" w:lineRule="auto"/>
        <w:tabs>
          <w:tab w:leader="none" w:pos="910"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Period to Consider Agreement and Expiration of Offer</w:t>
      </w:r>
      <w:r>
        <w:rPr>
          <w:rFonts w:ascii="Arial" w:cs="Arial" w:eastAsia="Arial" w:hAnsi="Arial"/>
          <w:sz w:val="19"/>
          <w:szCs w:val="19"/>
          <w:color w:val="auto"/>
        </w:rPr>
        <w:t>. As required by the ADEA and the OWBPA, I understand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I have twenty-one (21) calendar days from the day that I receive this Agreement, not counting the day upon which I received it, to consider whether I wish to sign it. If I sign this Agreement before the end of the twenty-one (21) calendar day period, it will be my personal and voluntary decision to do so. I also understand that if I fail to deliver this Agreement to the Company within said period of time, it shall expire and be deemed withdrawn by the Company. The parties agree that changes to this Agreement, whether material or immaterial, do not restart the running of the twenty-one (21) calendar day period.</w:t>
      </w:r>
    </w:p>
    <w:p>
      <w:pPr>
        <w:spacing w:after="0" w:line="144" w:lineRule="exact"/>
        <w:rPr>
          <w:rFonts w:ascii="Arial" w:cs="Arial" w:eastAsia="Arial" w:hAnsi="Arial"/>
          <w:sz w:val="19"/>
          <w:szCs w:val="19"/>
          <w:color w:val="auto"/>
        </w:rPr>
      </w:pPr>
    </w:p>
    <w:p>
      <w:pPr>
        <w:jc w:val="both"/>
        <w:ind w:firstLine="8"/>
        <w:spacing w:after="0" w:line="239" w:lineRule="auto"/>
        <w:tabs>
          <w:tab w:leader="none" w:pos="918"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Revoke Agreement</w:t>
      </w:r>
      <w:r>
        <w:rPr>
          <w:rFonts w:ascii="Arial" w:cs="Arial" w:eastAsia="Arial" w:hAnsi="Arial"/>
          <w:sz w:val="22"/>
          <w:szCs w:val="22"/>
          <w:color w:val="auto"/>
        </w:rPr>
        <w:t>. I understand that I may revoke this Agreement at any time within seven (7)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days after I sign it, not counting the day upon which I sign it. This Agreement will not become effective or enforceable unless and until the seven (7) calendar day revocation period has expired without my revoking it, i.e. on the eighth calendar day after I sign this Agreement (“Effective Date”).</w:t>
      </w:r>
    </w:p>
    <w:p>
      <w:pPr>
        <w:spacing w:after="0" w:line="180" w:lineRule="exact"/>
        <w:rPr>
          <w:rFonts w:ascii="Arial" w:cs="Arial" w:eastAsia="Arial" w:hAnsi="Arial"/>
          <w:sz w:val="22"/>
          <w:szCs w:val="22"/>
          <w:color w:val="auto"/>
        </w:rPr>
      </w:pPr>
    </w:p>
    <w:p>
      <w:pPr>
        <w:jc w:val="both"/>
        <w:ind w:firstLine="8"/>
        <w:spacing w:after="0" w:line="251" w:lineRule="auto"/>
        <w:tabs>
          <w:tab w:leader="none" w:pos="918"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Procedure to Accept or Revoke</w:t>
      </w:r>
      <w:r>
        <w:rPr>
          <w:rFonts w:ascii="Arial" w:cs="Arial" w:eastAsia="Arial" w:hAnsi="Arial"/>
          <w:sz w:val="21"/>
          <w:szCs w:val="21"/>
          <w:color w:val="auto"/>
        </w:rPr>
        <w:t>. To accept this Agreement, I must deliver the Agreement, after it has been signed</w:t>
      </w:r>
      <w:r>
        <w:rPr>
          <w:rFonts w:ascii="Arial" w:cs="Arial" w:eastAsia="Arial" w:hAnsi="Arial"/>
          <w:sz w:val="21"/>
          <w:szCs w:val="21"/>
          <w:b w:val="1"/>
          <w:bCs w:val="1"/>
          <w:color w:val="auto"/>
        </w:rPr>
        <w:t xml:space="preserve"> </w:t>
      </w:r>
      <w:r>
        <w:rPr>
          <w:rFonts w:ascii="Arial" w:cs="Arial" w:eastAsia="Arial" w:hAnsi="Arial"/>
          <w:sz w:val="21"/>
          <w:szCs w:val="21"/>
          <w:color w:val="auto"/>
        </w:rPr>
        <w:t>and dated by me, to the Company, by hand or by mail, and it must be received by the Company within the twenty-one (21) calendar day period that I have to consider this Agreement. To revoke my acceptance, I must deliver a written, signed statement that I revoke my acceptance to the Company by hand or by mail and any such notice of revocation must be received by the Company within seven (7) calendar days after I signed the Agreement.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[Type here][Type here][Type here]</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deliveries shall be made to the Company at the following address, marked “Personal and Confidential”: Great Lakes Dredge &amp; Dock Company, LLC; 1 Parkview Plaza, Suite 800, Oakbrook Terrace, IL 60181; ATTN: James Tastard, Chief Human Resources and Administrative Officer (with additional contact information being JTastard@gldd.com). If I choose to deliver my acceptance or revocation notice by mail, it must be: (a) postmarked and received by the above-named individual at the Company within the applicable period stated above; (b) properly addressed to the Company at the address stated above; and (c) sent by certified mail, return receipt requested.</w:t>
      </w:r>
    </w:p>
    <w:p>
      <w:pPr>
        <w:spacing w:after="0" w:line="183" w:lineRule="exact"/>
        <w:rPr>
          <w:sz w:val="20"/>
          <w:szCs w:val="20"/>
          <w:color w:val="auto"/>
        </w:rPr>
      </w:pPr>
    </w:p>
    <w:p>
      <w:pPr>
        <w:jc w:val="both"/>
        <w:ind w:firstLine="8"/>
        <w:spacing w:after="0" w:line="234" w:lineRule="auto"/>
        <w:tabs>
          <w:tab w:leader="none" w:pos="91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My Representations</w:t>
      </w:r>
      <w:r>
        <w:rPr>
          <w:rFonts w:ascii="Arial" w:cs="Arial" w:eastAsia="Arial" w:hAnsi="Arial"/>
          <w:sz w:val="22"/>
          <w:szCs w:val="22"/>
          <w:color w:val="auto"/>
        </w:rPr>
        <w:t>. I HAVE READ THIS AGREEMENT CAREFULLY, I HAVE HAD AN ADEQUATE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CONSULT AN ATTORNEY, AND I UNDERSTAND ALL OF ITS TERMS. IN AGREEING TO SIGN THIS AGREEMENT, I HAVE NOT RELIED ON ANY STATEMENTS OR EXPLANATIONS MADE BY THE COMPANY, EXCEPT AS SPECIFICALLY SET FORTH IN THIS AGREEMENT. I ALSO UNDERSTAND AND AGREE THAT THIS AGREEMENT CONTAINS ALL OF THE AGREEMENTS BETWEEN THE COMPANY AND ME RELATING TO THE MATTERS INCLUDED IN THIS AGREEMENT, EXCEPT AS TO ANY ADDITIONAL CONFIDENTIALITY AND RESTRICTIVE COVENANT AGREEMENTS TO WHICH I AM ALSO A PARTY INCLUDING WITHOUT LIMITATION THOSE CONTAINED IN THE EMPLOYMENT AGREEMENT. I ALSO AGREE THAT THIS AGREEMENT MAY BE EXECUTED IN ONE OR MORE COUNTERPARTS, ALL OF WHICH, TAKEN TOGETHER, SHALL CONSTITUTE ONE AND THE SAME AGREEMENT.</w:t>
      </w:r>
    </w:p>
    <w:p>
      <w:pPr>
        <w:spacing w:after="0" w:line="179" w:lineRule="exact"/>
        <w:rPr>
          <w:rFonts w:ascii="Arial" w:cs="Arial" w:eastAsia="Arial" w:hAnsi="Arial"/>
          <w:sz w:val="22"/>
          <w:szCs w:val="22"/>
          <w:color w:val="auto"/>
        </w:rPr>
      </w:pPr>
    </w:p>
    <w:p>
      <w:pPr>
        <w:ind w:firstLine="8"/>
        <w:spacing w:after="0" w:line="256" w:lineRule="auto"/>
        <w:tabs>
          <w:tab w:leader="none" w:pos="91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Medicare Addendum</w:t>
      </w:r>
      <w:r>
        <w:rPr>
          <w:rFonts w:ascii="Arial" w:cs="Arial" w:eastAsia="Arial" w:hAnsi="Arial"/>
          <w:sz w:val="22"/>
          <w:szCs w:val="22"/>
          <w:color w:val="auto"/>
        </w:rPr>
        <w:t>. I represent that (a) I am not enrolled in Medicare, and (b) I have not received any treatment</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Medicare related to My Claims.</w:t>
      </w:r>
    </w:p>
    <w:p>
      <w:pPr>
        <w:spacing w:after="0" w:line="162" w:lineRule="exact"/>
        <w:rPr>
          <w:rFonts w:ascii="Arial" w:cs="Arial" w:eastAsia="Arial" w:hAnsi="Arial"/>
          <w:sz w:val="22"/>
          <w:szCs w:val="22"/>
          <w:color w:val="auto"/>
        </w:rPr>
      </w:pPr>
    </w:p>
    <w:p>
      <w:pPr>
        <w:jc w:val="both"/>
        <w:ind w:firstLine="8"/>
        <w:spacing w:after="0" w:line="235" w:lineRule="auto"/>
        <w:tabs>
          <w:tab w:leader="none" w:pos="91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color w:val="auto"/>
        </w:rPr>
        <w:t>. All payments to be made to me and consideration provided as a result of my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under this Agreement may be made only upon a “separation from service” under section 409A of the Internal Revenue Code of 1986, as amended ("Code"). For purposes of section 409A of the Code, any right to receive a series of installment payments under this Agreement shall be treated as a right to a series of separate payments. Further, for purposes of the limitations on nonqualified deferred compensation under section 409A of the Code, each payment of compensation under this Agreement shall be treated as a separate payment. In no event may I, directly or indirectly, designate the calendar year of a payment.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Severance benefits under this Agreement are intended to be exempt from section 409A of the Code under the “short-term deferral” exception or the “separation pay” exception to the maximum extent applicable. Any payments hereunder that qualify for any exception under section 409A of the Code shall be paid under the applicable exception.</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payment or other consideration under this Agreement that is contingent upon the signing and non-revocation of a release shall be paid on the Company’s first regular payroll date following the date on which the release becomes effective and non-revocable (or the date otherwise provided in the Agreement); provided, however, that if the maximum period for consideration and revocation of the release begins in one calendar year and ends in the next calendar year, such payment or other consideration shall be paid in the later calendar year.</w:t>
      </w:r>
    </w:p>
    <w:p>
      <w:pPr>
        <w:spacing w:after="0" w:line="181"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jc w:val="center"/>
        <w:ind w:right="8240"/>
        <w:spacing w:after="0"/>
        <w:rPr>
          <w:sz w:val="20"/>
          <w:szCs w:val="20"/>
          <w:color w:val="auto"/>
        </w:rPr>
      </w:pPr>
      <w:r>
        <w:rPr>
          <w:rFonts w:ascii="Arial" w:cs="Arial" w:eastAsia="Arial" w:hAnsi="Arial"/>
          <w:sz w:val="19"/>
          <w:szCs w:val="19"/>
          <w:color w:val="auto"/>
        </w:rPr>
        <w:t>[Type here][Type here][Type here]</w:t>
      </w:r>
    </w:p>
    <w:p>
      <w:pPr>
        <w:spacing w:after="0" w:line="43" w:lineRule="exact"/>
        <w:rPr>
          <w:sz w:val="20"/>
          <w:szCs w:val="20"/>
          <w:color w:val="auto"/>
        </w:rPr>
      </w:pPr>
    </w:p>
    <w:p>
      <w:pPr>
        <w:jc w:val="center"/>
        <w:ind w:right="818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1/5/2021</w:t>
      </w:r>
    </w:p>
    <w:p>
      <w:pPr>
        <w:spacing w:after="0" w:line="200" w:lineRule="exact"/>
        <w:rPr>
          <w:sz w:val="20"/>
          <w:szCs w:val="20"/>
          <w:color w:val="auto"/>
        </w:rPr>
      </w:pPr>
    </w:p>
    <w:p>
      <w:pPr>
        <w:spacing w:after="0" w:line="236"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Printed Name:</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Kathleen M. LaVoy</w:t>
      </w:r>
    </w:p>
    <w:p>
      <w:pPr>
        <w:spacing w:after="0" w:line="200" w:lineRule="exact"/>
        <w:rPr>
          <w:sz w:val="20"/>
          <w:szCs w:val="20"/>
          <w:color w:val="auto"/>
        </w:rPr>
      </w:pPr>
    </w:p>
    <w:p>
      <w:pPr>
        <w:spacing w:after="0" w:line="236"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Signature:</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/s/ Kathleen M. LaVoy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Witness:</w:t>
      </w:r>
    </w:p>
    <w:p>
      <w:pPr>
        <w:spacing w:after="0" w:line="220"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/s/ Adam LaVoy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180"/>
        <w:spacing w:after="0" w:line="238" w:lineRule="auto"/>
        <w:rPr>
          <w:sz w:val="20"/>
          <w:szCs w:val="20"/>
          <w:color w:val="auto"/>
        </w:rPr>
      </w:pPr>
      <w:r>
        <w:rPr>
          <w:rFonts w:ascii="Arial" w:cs="Arial" w:eastAsia="Arial" w:hAnsi="Arial"/>
          <w:sz w:val="22"/>
          <w:szCs w:val="22"/>
          <w:color w:val="auto"/>
        </w:rPr>
        <w:t>Received and agreed to by Great Lakes Dredge &amp; Dock Corporation with and on behalf of its wholly owned subsidiary Great Lakes Dredge &amp; Dock Company, LLC on behalf of themselves and all other persons and entities released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jc w:val="center"/>
        <w:ind w:left="2380"/>
        <w:spacing w:after="0"/>
        <w:rPr>
          <w:sz w:val="20"/>
          <w:szCs w:val="20"/>
          <w:color w:val="auto"/>
        </w:rPr>
      </w:pPr>
      <w:r>
        <w:rPr>
          <w:rFonts w:ascii="Arial" w:cs="Arial" w:eastAsia="Arial" w:hAnsi="Arial"/>
          <w:sz w:val="22"/>
          <w:szCs w:val="22"/>
          <w:u w:val="single" w:color="auto"/>
          <w:color w:val="auto"/>
        </w:rPr>
        <w:t>/s/ James J. Tastard</w:t>
      </w:r>
    </w:p>
    <w:p>
      <w:pPr>
        <w:spacing w:after="0" w:line="21" w:lineRule="exact"/>
        <w:rPr>
          <w:sz w:val="20"/>
          <w:szCs w:val="20"/>
          <w:color w:val="auto"/>
        </w:rPr>
      </w:pPr>
    </w:p>
    <w:p>
      <w:pPr>
        <w:jc w:val="center"/>
        <w:ind w:left="2380"/>
        <w:spacing w:after="0"/>
        <w:rPr>
          <w:sz w:val="20"/>
          <w:szCs w:val="20"/>
          <w:color w:val="auto"/>
        </w:rPr>
      </w:pPr>
      <w:r>
        <w:rPr>
          <w:rFonts w:ascii="Arial" w:cs="Arial" w:eastAsia="Arial" w:hAnsi="Arial"/>
          <w:sz w:val="22"/>
          <w:szCs w:val="22"/>
          <w:color w:val="auto"/>
        </w:rPr>
        <w:t>James J. Tastard</w:t>
      </w:r>
    </w:p>
    <w:p>
      <w:pPr>
        <w:spacing w:after="0" w:line="200" w:lineRule="exact"/>
        <w:rPr>
          <w:sz w:val="20"/>
          <w:szCs w:val="20"/>
          <w:color w:val="auto"/>
        </w:rPr>
      </w:pPr>
    </w:p>
    <w:p>
      <w:pPr>
        <w:spacing w:after="0" w:line="218"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Date:</w:t>
      </w:r>
    </w:p>
    <w:p>
      <w:pPr>
        <w:spacing w:after="0" w:line="274" w:lineRule="exact"/>
        <w:rPr>
          <w:sz w:val="20"/>
          <w:szCs w:val="20"/>
          <w:color w:val="auto"/>
        </w:rPr>
      </w:pPr>
    </w:p>
    <w:p>
      <w:pPr>
        <w:ind w:left="5980"/>
        <w:spacing w:after="0"/>
        <w:rPr>
          <w:sz w:val="20"/>
          <w:szCs w:val="20"/>
          <w:color w:val="auto"/>
        </w:rPr>
      </w:pPr>
      <w:r>
        <w:rPr>
          <w:rFonts w:ascii="Arial" w:cs="Arial" w:eastAsia="Arial" w:hAnsi="Arial"/>
          <w:sz w:val="22"/>
          <w:szCs w:val="22"/>
          <w:u w:val="single" w:color="auto"/>
          <w:color w:val="auto"/>
        </w:rPr>
        <w:t>1/12/21</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40" w:type="dxa"/>
            <w:vAlign w:val="bottom"/>
            <w:gridSpan w:val="2"/>
          </w:tcPr>
          <w:p>
            <w:pPr>
              <w:ind w:left="1640"/>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331"/>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U.S. Fleet Management,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Brazil</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Bahamas</w:t>
            </w:r>
          </w:p>
        </w:tc>
      </w:tr>
      <w:tr>
        <w:trPr>
          <w:trHeight w:val="338"/>
        </w:trPr>
        <w:tc>
          <w:tcPr>
            <w:tcW w:w="602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51"/>
        </w:trPr>
        <w:tc>
          <w:tcPr>
            <w:tcW w:w="602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Delaware</w:t>
            </w:r>
          </w:p>
        </w:tc>
      </w:tr>
      <w:tr>
        <w:trPr>
          <w:trHeight w:val="324"/>
        </w:trPr>
        <w:tc>
          <w:tcPr>
            <w:tcW w:w="6020" w:type="dxa"/>
            <w:vAlign w:val="bottom"/>
            <w:gridSpan w:val="2"/>
          </w:tcPr>
          <w:p>
            <w:pPr>
              <w:spacing w:after="0"/>
              <w:rPr>
                <w:sz w:val="20"/>
                <w:szCs w:val="20"/>
                <w:color w:val="auto"/>
              </w:rPr>
            </w:pPr>
            <w:r>
              <w:rPr>
                <w:rFonts w:ascii="Arial" w:cs="Arial" w:eastAsia="Arial" w:hAnsi="Arial"/>
                <w:sz w:val="18"/>
                <w:szCs w:val="18"/>
                <w:color w:val="auto"/>
              </w:rPr>
              <w:t>Drews Services LLC</w:t>
            </w:r>
          </w:p>
        </w:tc>
        <w:tc>
          <w:tcPr>
            <w:tcW w:w="3440" w:type="dxa"/>
            <w:vAlign w:val="bottom"/>
            <w:gridSpan w:val="2"/>
          </w:tcPr>
          <w:p>
            <w:pPr>
              <w:ind w:left="1640"/>
              <w:spacing w:after="0"/>
              <w:rPr>
                <w:sz w:val="20"/>
                <w:szCs w:val="20"/>
                <w:color w:val="auto"/>
              </w:rPr>
            </w:pPr>
            <w:r>
              <w:rPr>
                <w:rFonts w:ascii="Arial" w:cs="Arial" w:eastAsia="Arial" w:hAnsi="Arial"/>
                <w:sz w:val="18"/>
                <w:szCs w:val="18"/>
                <w:color w:val="auto"/>
              </w:rPr>
              <w:t>South Carolina</w:t>
            </w:r>
          </w:p>
        </w:tc>
      </w:tr>
    </w:tbl>
    <w:p>
      <w:pPr>
        <w:sectPr>
          <w:pgSz w:w="11900" w:h="16838" w:orient="portrait"/>
          <w:cols w:equalWidth="0" w:num="1">
            <w:col w:w="11240"/>
          </w:cols>
          <w:pgMar w:left="320" w:top="121" w:right="339" w:bottom="1440" w:gutter="0" w:footer="0" w:header="0"/>
        </w:sectPr>
      </w:pPr>
    </w:p>
    <w:bookmarkStart w:id="96" w:name="page97"/>
    <w:bookmarkEnd w:id="96"/>
    <w:p>
      <w:pPr>
        <w:ind w:left="1520"/>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333-153207 on Form S-3 and Registration Statement Nos. 333-150067, 333-185350 and 333-218242 on Form S-8 of our reports dated February 24, 2021, relating to the financial statements of Great Lakes Dredge &amp; Dock Corporation and subsidiaries (the “Company”) and the effectiveness of the Company's internal control over financial reporting, appearing in this Annual Report on Form 10-K of Great Lakes Dredge &amp; Dock Corporation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2020,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2020,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amp;"/>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606"/>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
      <w:numFmt w:val="bullet"/>
      <w:start w:val="1"/>
    </w:lvl>
    <w:lvl w:ilvl="1">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lvl w:ilvl="1">
      <w:lvlJc w:val="left"/>
      <w:lvlText w:val="(%2)"/>
      <w:numFmt w:val="lowerLetter"/>
      <w:start w:val="1"/>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2"/>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6"/>
    </w:lvl>
  </w:abstractNum>
  <w:abstractNum w:abstractNumId="46">
    <w:nsid w:val="579478FE"/>
    <w:multiLevelType w:val="hybridMultilevel"/>
    <w:lvl w:ilvl="0">
      <w:lvlJc w:val="left"/>
      <w:lvlText w:val="%1."/>
      <w:numFmt w:val="decimal"/>
      <w:start w:val="9"/>
    </w:lvl>
  </w:abstractNum>
  <w:abstractNum w:abstractNumId="47">
    <w:nsid w:val="749ABB43"/>
    <w:multiLevelType w:val="hybridMultilevel"/>
    <w:lvl w:ilvl="0">
      <w:lvlJc w:val="left"/>
      <w:lvlText w:val="%1."/>
      <w:numFmt w:val="decimal"/>
      <w:start w:val="1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20" Type="http://schemas.openxmlformats.org/officeDocument/2006/relationships/hyperlink" Target="http://www.sec.gov/Archives/edgar/data/0000885538/000110465904000242/a03-6613_1ex2d1.htm" TargetMode="External"/><Relationship Id="rId121" Type="http://schemas.openxmlformats.org/officeDocument/2006/relationships/hyperlink" Target="http://www.sec.gov/Archives/edgar/data/0000885538/000110465906043195/a06-14169_1ex2d1.htm" TargetMode="External"/><Relationship Id="rId122" Type="http://schemas.openxmlformats.org/officeDocument/2006/relationships/hyperlink" Target="http://www.sec.gov/Archives/edgar/data/0001372020/000110465906083887/a06-25986_1ex3d1.htm" TargetMode="External"/><Relationship Id="rId123" Type="http://schemas.openxmlformats.org/officeDocument/2006/relationships/hyperlink" Target="http://www.sec.gov/Archives/edgar/data/0001372020/000119312515195254/d929885dex32.htm" TargetMode="External"/><Relationship Id="rId124" Type="http://schemas.openxmlformats.org/officeDocument/2006/relationships/hyperlink" Target="http://www.sec.gov/Archives/edgar/data/0001372020/000110465906084429/a06-26373_1ex3d1.htm" TargetMode="External"/><Relationship Id="rId125" Type="http://schemas.openxmlformats.org/officeDocument/2006/relationships/hyperlink" Target="http://www.sec.gov/Archives/edgar/data/0001372020/000156459017011629/gldd-ex41_335.htm" TargetMode="External"/><Relationship Id="rId126" Type="http://schemas.openxmlformats.org/officeDocument/2006/relationships/hyperlink" Target="http://www.sec.gov/Archives/edgar/data/0001372020/000110465907021696/a07-5615_1ex4d10.htm" TargetMode="External"/><Relationship Id="rId127" Type="http://schemas.openxmlformats.org/officeDocument/2006/relationships/hyperlink" Target="http://www.sec.gov/Archives/edgar/data/0001372020/000119312515174607/d919836dex101.htm" TargetMode="External"/><Relationship Id="rId128" Type="http://schemas.openxmlformats.org/officeDocument/2006/relationships/hyperlink" Target="http://www.sec.gov/Archives/edgar/data/0001372020/000119312515174607/d919836dex102.htm" TargetMode="External"/><Relationship Id="rId129" Type="http://schemas.openxmlformats.org/officeDocument/2006/relationships/hyperlink" Target="http://www.sec.gov/Archives/edgar/data/0001372020/000119312515174607/d919836dex103.htm" TargetMode="External"/><Relationship Id="rId130" Type="http://schemas.openxmlformats.org/officeDocument/2006/relationships/hyperlink" Target="http://www.sec.gov/Archives/edgar/data/0001372020/000119312515174607/d919836dex104.htm" TargetMode="External"/><Relationship Id="rId133" Type="http://schemas.openxmlformats.org/officeDocument/2006/relationships/hyperlink" Target="http://www.sec.gov/Archives/edgar/data/0001372020/000110465906084429/a06-26373_1ex10d4.htm" TargetMode="External"/><Relationship Id="rId134" Type="http://schemas.openxmlformats.org/officeDocument/2006/relationships/hyperlink" Target="http://www.sec.gov/Archives/edgar/data/0001372020/000119312515276701/d58409dex101.htm" TargetMode="External"/><Relationship Id="rId135" Type="http://schemas.openxmlformats.org/officeDocument/2006/relationships/hyperlink" Target="http://www.sec.gov/Archives/edgar/data/0001372020/000156459017007964/gldd-ex101_6.htm" TargetMode="External"/><Relationship Id="rId136" Type="http://schemas.openxmlformats.org/officeDocument/2006/relationships/hyperlink" Target="http://www.sec.gov/Archives/edgar/data/0001372020/000119312512013901/d284301dex101.htm" TargetMode="External"/><Relationship Id="rId137" Type="http://schemas.openxmlformats.org/officeDocument/2006/relationships/hyperlink" Target="http://www.sec.gov/Archives/edgar/data/0000885538/000110465905013624/a05-5703_1ex10d14.htm" TargetMode="External"/><Relationship Id="rId138" Type="http://schemas.openxmlformats.org/officeDocument/2006/relationships/hyperlink" Target="http://www.sec.gov/Archives/edgar/data/0001372020/000119312514094004/d689260dex1024.htm" TargetMode="External"/><Relationship Id="rId139" Type="http://schemas.openxmlformats.org/officeDocument/2006/relationships/hyperlink" Target="http://www.sec.gov/Archives/edgar/data/0001372020/000104746906011212/a2172300zex-10_17.htm" TargetMode="External"/><Relationship Id="rId140" Type="http://schemas.openxmlformats.org/officeDocument/2006/relationships/hyperlink" Target="http://www.sec.gov/Archives/edgar/data/0001372020/000119312512149971/d289765ddef14a.htm" TargetMode="External"/><Relationship Id="rId141" Type="http://schemas.openxmlformats.org/officeDocument/2006/relationships/hyperlink" Target="http://www.sec.gov/Archives/edgar/data/0001372020/000156459017011213/gldd-ex101_6.htm" TargetMode="External"/><Relationship Id="rId142" Type="http://schemas.openxmlformats.org/officeDocument/2006/relationships/hyperlink" Target="http://www.sec.gov/Archives/edgar/data/1372020/000156459016017437/gldd-ex101_156.htm" TargetMode="External"/><Relationship Id="rId143" Type="http://schemas.openxmlformats.org/officeDocument/2006/relationships/hyperlink" Target="http://www.sec.gov/Archives/edgar/data/1372020/000156459018010996/gldd-ex101_129.htm" TargetMode="External"/><Relationship Id="rId144" Type="http://schemas.openxmlformats.org/officeDocument/2006/relationships/hyperlink" Target="http://www.sec.gov/Archives/edgar/data/1372020/000156459018010996/gldd-ex102_131.htm" TargetMode="External"/><Relationship Id="rId145" Type="http://schemas.openxmlformats.org/officeDocument/2006/relationships/hyperlink" Target="http://www.sec.gov/Archives/edgar/data/1372020/000156459018010996/gldd-ex103_130.htm" TargetMode="External"/><Relationship Id="rId148" Type="http://schemas.openxmlformats.org/officeDocument/2006/relationships/hyperlink" Target="http://www.sec.gov/Archives/edgar/data/1372020/000156459019015687/gldd-ex101_108.htm" TargetMode="External"/><Relationship Id="rId149" Type="http://schemas.openxmlformats.org/officeDocument/2006/relationships/hyperlink" Target="http://www.sec.gov/Archives/edgar/data/1372020/000156459019015687/gldd-ex102_84.htm" TargetMode="External"/><Relationship Id="rId150" Type="http://schemas.openxmlformats.org/officeDocument/2006/relationships/hyperlink" Target="http://www.sec.gov/Archives/edgar/data/1372020/000156459018003940/gldd-ex1025_131.htm" TargetMode="External"/><Relationship Id="rId151" Type="http://schemas.openxmlformats.org/officeDocument/2006/relationships/hyperlink" Target="http://www.sec.gov/Archives/edgar/data/1372020/000156459017011629/gldd-ex101_9.htm" TargetMode="External"/><Relationship Id="rId152" Type="http://schemas.openxmlformats.org/officeDocument/2006/relationships/hyperlink" Target="http://www.sec.gov/Archives/edgar/data/1372020/000156459017011629/gldd-ex42_517.htm" TargetMode="External"/><Relationship Id="rId153" Type="http://schemas.openxmlformats.org/officeDocument/2006/relationships/hyperlink" Target="http://www.sec.gov/Archives/edgar/data/1372020/000156459019018122/gldd-ex101_100.htm" TargetMode="External"/><Relationship Id="rId154" Type="http://schemas.openxmlformats.org/officeDocument/2006/relationships/hyperlink" Target="http://www.sec.gov/Archives/edgar/data/1372020/000119312513134675/d474550dex1042.htm" TargetMode="External"/><Relationship Id="rId155" Type="http://schemas.openxmlformats.org/officeDocument/2006/relationships/hyperlink" Target="http://www.sec.gov/Archives/edgar/data/0001372020/000119312515276701/d58409dex103.htm" TargetMode="External"/><Relationship Id="rId156" Type="http://schemas.openxmlformats.org/officeDocument/2006/relationships/hyperlink" Target="http://www.sec.gov/Archives/edgar/data/1372020/000156459016030570/gldd-ex101_8.htm" TargetMode="External"/><Relationship Id="rId157" Type="http://schemas.openxmlformats.org/officeDocument/2006/relationships/hyperlink" Target="http://www.sec.gov/Archives/edgar/data/1372020/000156459020036109/gldd-ex101_121.htm" TargetMode="External"/><Relationship Id="rId158" Type="http://schemas.openxmlformats.org/officeDocument/2006/relationships/hyperlink" Target="http://www.sec.gov/Archives/edgar/data/0001372020/000156459016019663/gldd-ex1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2021-02-24T16:28:37Z</dcterms:created>
  <dcterms:modified xsi:type="dcterms:W3CDTF">2021-02-24T16:28:37Z</dcterms:modified>
</cp:coreProperties>
</file>