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300" w:hanging="479"/>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280" w:hanging="479"/>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3168650</wp:posOffset>
            </wp:positionH>
            <wp:positionV relativeFrom="paragraph">
              <wp:posOffset>85725</wp:posOffset>
            </wp:positionV>
            <wp:extent cx="779780" cy="78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9780"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760" w:type="dxa"/>
            <w:vAlign w:val="bottom"/>
          </w:tcPr>
          <w:p>
            <w:pPr>
              <w:jc w:val="center"/>
              <w:ind w:right="3238"/>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53"/>
        </w:trPr>
        <w:tc>
          <w:tcPr>
            <w:tcW w:w="6760" w:type="dxa"/>
            <w:vAlign w:val="bottom"/>
          </w:tcPr>
          <w:p>
            <w:pPr>
              <w:jc w:val="center"/>
              <w:ind w:right="3258"/>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1260" w:type="dxa"/>
            <w:vAlign w:val="bottom"/>
          </w:tcPr>
          <w:p>
            <w:pPr>
              <w:jc w:val="center"/>
              <w:ind w:left="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3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6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760" w:type="dxa"/>
            <w:vAlign w:val="bottom"/>
          </w:tcPr>
          <w:p>
            <w:pPr>
              <w:jc w:val="center"/>
              <w:ind w:right="3258"/>
              <w:spacing w:after="0"/>
              <w:rPr>
                <w:sz w:val="20"/>
                <w:szCs w:val="20"/>
                <w:color w:val="auto"/>
              </w:rPr>
            </w:pPr>
            <w:r>
              <w:rPr>
                <w:rFonts w:ascii="Arial" w:cs="Arial" w:eastAsia="Arial" w:hAnsi="Arial"/>
                <w:sz w:val="18"/>
                <w:szCs w:val="18"/>
                <w:b w:val="1"/>
                <w:bCs w:val="1"/>
                <w:color w:val="auto"/>
                <w:w w:val="90"/>
              </w:rPr>
              <w:t>9811 Katy Freeway, Suite 1200, Houston, TX</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77024</w:t>
            </w:r>
          </w:p>
        </w:tc>
      </w:tr>
      <w:tr>
        <w:trPr>
          <w:trHeight w:val="190"/>
        </w:trPr>
        <w:tc>
          <w:tcPr>
            <w:tcW w:w="6760" w:type="dxa"/>
            <w:vAlign w:val="bottom"/>
          </w:tcPr>
          <w:p>
            <w:pPr>
              <w:jc w:val="center"/>
              <w:ind w:right="32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250"/>
        </w:trPr>
        <w:tc>
          <w:tcPr>
            <w:tcW w:w="6760" w:type="dxa"/>
            <w:vAlign w:val="bottom"/>
          </w:tcPr>
          <w:p>
            <w:pPr>
              <w:jc w:val="right"/>
              <w:ind w:right="1538"/>
              <w:spacing w:after="0"/>
              <w:rPr>
                <w:sz w:val="20"/>
                <w:szCs w:val="20"/>
                <w:color w:val="auto"/>
              </w:rPr>
            </w:pPr>
            <w:r>
              <w:rPr>
                <w:rFonts w:ascii="Arial" w:cs="Arial" w:eastAsia="Arial" w:hAnsi="Arial"/>
                <w:sz w:val="18"/>
                <w:szCs w:val="18"/>
                <w:b w:val="1"/>
                <w:bCs w:val="1"/>
                <w:color w:val="auto"/>
              </w:rPr>
              <w:t>(346) 359-1010</w:t>
            </w:r>
          </w:p>
        </w:tc>
        <w:tc>
          <w:tcPr>
            <w:tcW w:w="1260" w:type="dxa"/>
            <w:vAlign w:val="bottom"/>
          </w:tcPr>
          <w:p>
            <w:pPr>
              <w:spacing w:after="0"/>
              <w:rPr>
                <w:sz w:val="21"/>
                <w:szCs w:val="21"/>
                <w:color w:val="auto"/>
              </w:rPr>
            </w:pPr>
          </w:p>
        </w:tc>
      </w:tr>
      <w:tr>
        <w:trPr>
          <w:trHeight w:val="234"/>
        </w:trPr>
        <w:tc>
          <w:tcPr>
            <w:tcW w:w="6760" w:type="dxa"/>
            <w:vAlign w:val="bottom"/>
          </w:tcPr>
          <w:p>
            <w:pPr>
              <w:jc w:val="center"/>
              <w:ind w:left="233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jc w:val="center"/>
              <w:spacing w:after="0"/>
              <w:rPr>
                <w:sz w:val="20"/>
                <w:szCs w:val="20"/>
                <w:color w:val="auto"/>
              </w:rPr>
            </w:pPr>
            <w:r>
              <w:rPr>
                <w:rFonts w:ascii="Arial" w:cs="Arial" w:eastAsia="Arial" w:hAnsi="Arial"/>
                <w:sz w:val="18"/>
                <w:szCs w:val="18"/>
                <w:color w:val="auto"/>
                <w:w w:val="88"/>
              </w:rPr>
              <w:t>Title of each class</w:t>
            </w:r>
          </w:p>
        </w:tc>
        <w:tc>
          <w:tcPr>
            <w:tcW w:w="1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44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w:t>
            </w:r>
          </w:p>
        </w:tc>
        <w:tc>
          <w:tcPr>
            <w:tcW w:w="1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GLDD</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r>
    </w:tbl>
    <w:p>
      <w:pPr>
        <w:spacing w:after="0" w:line="106" w:lineRule="exact"/>
        <w:rPr>
          <w:sz w:val="24"/>
          <w:szCs w:val="24"/>
          <w:color w:val="auto"/>
        </w:rPr>
      </w:pPr>
    </w:p>
    <w:p>
      <w:pPr>
        <w:ind w:right="6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40" w:firstLine="50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140"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5" w:lineRule="exact"/>
        <w:rPr>
          <w:sz w:val="24"/>
          <w:szCs w:val="24"/>
          <w:color w:val="auto"/>
        </w:rPr>
      </w:pPr>
    </w:p>
    <w:p>
      <w:pPr>
        <w:ind w:firstLine="50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right="1220"/>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28, 2023, 66,491,971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31"/>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b w:val="1"/>
                <w:bCs w:val="1"/>
                <w:color w:val="0000FF"/>
              </w:rPr>
              <w:t>Part I Financial Information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916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at June 30, 2023 and December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w w:val="93"/>
              </w:rPr>
              <w:t>Condensed Consolidated Statements of Comprehensive Income (Loss) for the Three and Six Months Ended June 30, 2023</w:t>
            </w:r>
          </w:p>
        </w:tc>
        <w:tc>
          <w:tcPr>
            <w:tcW w:w="90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62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and 2022</w:t>
            </w:r>
          </w:p>
        </w:tc>
        <w:tc>
          <w:tcPr>
            <w:tcW w:w="3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1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Equity for the Three and Six Months Ended June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16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916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40" w:type="dxa"/>
            <w:vAlign w:val="bottom"/>
            <w:tcBorders>
              <w:left w:val="single" w:sz="8" w:color="0000FF"/>
            </w:tcBorders>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916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b w:val="1"/>
                <w:bCs w:val="1"/>
                <w:color w:val="0000FF"/>
              </w:rPr>
              <w:t>Part II 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916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916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16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916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916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916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916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4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180" w:type="dxa"/>
            <w:vAlign w:val="bottom"/>
          </w:tcPr>
          <w:p>
            <w:pPr>
              <w:spacing w:after="0"/>
              <w:rPr>
                <w:sz w:val="24"/>
                <w:szCs w:val="24"/>
                <w:color w:val="auto"/>
              </w:rPr>
            </w:pPr>
          </w:p>
        </w:tc>
        <w:tc>
          <w:tcPr>
            <w:tcW w:w="9160" w:type="dxa"/>
            <w:vAlign w:val="bottom"/>
            <w:gridSpan w:val="19"/>
          </w:tcPr>
          <w:p>
            <w:pPr>
              <w:spacing w:after="0"/>
              <w:rPr>
                <w:sz w:val="20"/>
                <w:szCs w:val="20"/>
                <w:color w:val="auto"/>
              </w:rPr>
            </w:pPr>
            <w:r>
              <w:rPr>
                <w:rFonts w:ascii="Arial" w:cs="Arial" w:eastAsia="Arial" w:hAnsi="Arial"/>
                <w:sz w:val="18"/>
                <w:szCs w:val="18"/>
                <w:b w:val="1"/>
                <w:bCs w:val="1"/>
                <w:color w:val="0000FF"/>
              </w:rPr>
              <w:t>Signature</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831"/>
        </w:trPr>
        <w:tc>
          <w:tcPr>
            <w:tcW w:w="118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180" w:type="dxa"/>
            <w:vAlign w:val="bottom"/>
            <w:gridSpan w:val="10"/>
          </w:tcPr>
          <w:p>
            <w:pPr>
              <w:jc w:val="right"/>
              <w:ind w:right="14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43,036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44,890</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65,922</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32,068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29,229</w:t>
            </w:r>
          </w:p>
        </w:tc>
        <w:tc>
          <w:tcPr>
            <w:tcW w:w="140" w:type="dxa"/>
            <w:vAlign w:val="bottom"/>
          </w:tcPr>
          <w:p>
            <w:pPr>
              <w:spacing w:after="0"/>
              <w:rPr>
                <w:sz w:val="20"/>
                <w:szCs w:val="20"/>
                <w:color w:val="auto"/>
              </w:rPr>
            </w:pPr>
          </w:p>
        </w:tc>
      </w:tr>
      <w:tr>
        <w:trPr>
          <w:trHeight w:val="269"/>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29,982</w:t>
            </w:r>
          </w:p>
        </w:tc>
        <w:tc>
          <w:tcPr>
            <w:tcW w:w="3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36,254</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24"/>
        </w:trPr>
        <w:tc>
          <w:tcPr>
            <w:tcW w:w="746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190,358</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182,841</w:t>
            </w:r>
          </w:p>
        </w:tc>
        <w:tc>
          <w:tcPr>
            <w:tcW w:w="140" w:type="dxa"/>
            <w:vAlign w:val="bottom"/>
          </w:tcPr>
          <w:p>
            <w:pPr>
              <w:spacing w:after="0"/>
              <w:rPr>
                <w:sz w:val="19"/>
                <w:szCs w:val="19"/>
                <w:color w:val="auto"/>
              </w:rPr>
            </w:pPr>
          </w:p>
        </w:tc>
      </w:tr>
      <w:tr>
        <w:trPr>
          <w:trHeight w:val="249"/>
        </w:trPr>
        <w:tc>
          <w:tcPr>
            <w:tcW w:w="7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570,178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543,910</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79,112</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89,733</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76,576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76,576</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INVENTORIES—Noncurrent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82,546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140" w:type="dxa"/>
            <w:vAlign w:val="bottom"/>
          </w:tcPr>
          <w:p>
            <w:pPr>
              <w:spacing w:after="0"/>
              <w:rPr>
                <w:sz w:val="20"/>
                <w:szCs w:val="20"/>
                <w:color w:val="auto"/>
              </w:rPr>
            </w:pPr>
          </w:p>
        </w:tc>
      </w:tr>
      <w:tr>
        <w:trPr>
          <w:trHeight w:val="277"/>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1,007,596</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981,780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30"/>
        </w:trPr>
        <w:tc>
          <w:tcPr>
            <w:tcW w:w="7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65,210</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94,077</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25,815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29,469</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26,340</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26,873</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23,966</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140" w:type="dxa"/>
            <w:vAlign w:val="bottom"/>
          </w:tcPr>
          <w:p>
            <w:pPr>
              <w:spacing w:after="0"/>
              <w:rPr>
                <w:sz w:val="20"/>
                <w:szCs w:val="20"/>
                <w:color w:val="auto"/>
              </w:rPr>
            </w:pPr>
          </w:p>
        </w:tc>
      </w:tr>
      <w:tr>
        <w:trPr>
          <w:trHeight w:val="243"/>
        </w:trPr>
        <w:tc>
          <w:tcPr>
            <w:tcW w:w="7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141,331</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160,333</w:t>
            </w:r>
          </w:p>
        </w:tc>
        <w:tc>
          <w:tcPr>
            <w:tcW w:w="140" w:type="dxa"/>
            <w:vAlign w:val="bottom"/>
            <w:shd w:val="clear" w:color="auto" w:fill="CFF0FC"/>
          </w:tcPr>
          <w:p>
            <w:pPr>
              <w:spacing w:after="0"/>
              <w:rPr>
                <w:sz w:val="21"/>
                <w:szCs w:val="21"/>
                <w:color w:val="auto"/>
              </w:rPr>
            </w:pPr>
          </w:p>
        </w:tc>
      </w:tr>
      <w:tr>
        <w:trPr>
          <w:trHeight w:val="243"/>
        </w:trPr>
        <w:tc>
          <w:tcPr>
            <w:tcW w:w="7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321,795</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321,521</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55,000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LIABILITIES—Noncurrent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54,365</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65,010</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58,974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59,115</w:t>
            </w:r>
          </w:p>
        </w:tc>
        <w:tc>
          <w:tcPr>
            <w:tcW w:w="140" w:type="dxa"/>
            <w:vAlign w:val="bottom"/>
          </w:tcPr>
          <w:p>
            <w:pPr>
              <w:spacing w:after="0"/>
              <w:rPr>
                <w:sz w:val="20"/>
                <w:szCs w:val="20"/>
                <w:color w:val="auto"/>
              </w:rPr>
            </w:pP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4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639,074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613,560</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460" w:type="dxa"/>
            <w:vAlign w:val="bottom"/>
          </w:tcPr>
          <w:p>
            <w:pPr>
              <w:ind w:left="200"/>
              <w:spacing w:after="0"/>
              <w:rPr>
                <w:sz w:val="20"/>
                <w:szCs w:val="20"/>
                <w:color w:val="auto"/>
              </w:rPr>
            </w:pPr>
            <w:r>
              <w:rPr>
                <w:rFonts w:ascii="Arial" w:cs="Arial" w:eastAsia="Arial" w:hAnsi="Arial"/>
                <w:sz w:val="18"/>
                <w:szCs w:val="18"/>
                <w:color w:val="auto"/>
                <w:w w:val="98"/>
              </w:rPr>
              <w:t>Common stock—$.0001 par value; 90,000 authorized, 66,492 and 66,188 shares issued and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outstanding at June 30, 2023 and December 31, 2022, respectively.</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r>
      <w:tr>
        <w:trPr>
          <w:trHeight w:val="250"/>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314,321</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312,091</w:t>
            </w:r>
          </w:p>
        </w:tc>
        <w:tc>
          <w:tcPr>
            <w:tcW w:w="140" w:type="dxa"/>
            <w:vAlign w:val="bottom"/>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54,816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56,314</w:t>
            </w:r>
          </w:p>
        </w:tc>
        <w:tc>
          <w:tcPr>
            <w:tcW w:w="140" w:type="dxa"/>
            <w:vAlign w:val="bottom"/>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(622 )</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(191 )</w:t>
            </w:r>
          </w:p>
        </w:tc>
      </w:tr>
      <w:tr>
        <w:trPr>
          <w:trHeight w:val="230"/>
        </w:trPr>
        <w:tc>
          <w:tcPr>
            <w:tcW w:w="7460" w:type="dxa"/>
            <w:vAlign w:val="bottom"/>
          </w:tcPr>
          <w:p>
            <w:pPr>
              <w:ind w:left="56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368,522</w:t>
            </w:r>
          </w:p>
        </w:tc>
        <w:tc>
          <w:tcPr>
            <w:tcW w:w="3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368,220</w:t>
            </w:r>
          </w:p>
        </w:tc>
        <w:tc>
          <w:tcPr>
            <w:tcW w:w="140" w:type="dxa"/>
            <w:vAlign w:val="bottom"/>
          </w:tcPr>
          <w:p>
            <w:pPr>
              <w:spacing w:after="0"/>
              <w:rPr>
                <w:sz w:val="20"/>
                <w:szCs w:val="20"/>
                <w:color w:val="auto"/>
              </w:rPr>
            </w:pP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1,007,596</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981,780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-5186045</wp:posOffset>
            </wp:positionV>
            <wp:extent cx="857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-3925570</wp:posOffset>
            </wp:positionV>
            <wp:extent cx="135445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-1731010</wp:posOffset>
            </wp:positionV>
            <wp:extent cx="8572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-1731010</wp:posOffset>
            </wp:positionV>
            <wp:extent cx="8572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-363855</wp:posOffset>
            </wp:positionV>
            <wp:extent cx="137985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9855" cy="1968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3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149,428</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290,711</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343,777</w:t>
            </w:r>
          </w:p>
        </w:tc>
        <w:tc>
          <w:tcPr>
            <w:tcW w:w="140" w:type="dxa"/>
            <w:vAlign w:val="bottom"/>
            <w:shd w:val="clear" w:color="auto" w:fill="CFF0FC"/>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Costs of contract revenues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114,768</w:t>
            </w:r>
          </w:p>
        </w:tc>
        <w:tc>
          <w:tcPr>
            <w:tcW w:w="3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138,947</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260,677</w:t>
            </w:r>
          </w:p>
        </w:tc>
        <w:tc>
          <w:tcPr>
            <w:tcW w:w="3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300,241</w:t>
            </w:r>
          </w:p>
        </w:tc>
        <w:tc>
          <w:tcPr>
            <w:tcW w:w="140" w:type="dxa"/>
            <w:vAlign w:val="bottom"/>
          </w:tcPr>
          <w:p>
            <w:pPr>
              <w:spacing w:after="0"/>
              <w:rPr>
                <w:sz w:val="21"/>
                <w:szCs w:val="21"/>
                <w:color w:val="auto"/>
              </w:rPr>
            </w:pPr>
          </w:p>
        </w:tc>
      </w:tr>
      <w:tr>
        <w:trPr>
          <w:trHeight w:val="236"/>
        </w:trPr>
        <w:tc>
          <w:tcPr>
            <w:tcW w:w="3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17,899</w:t>
            </w: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10,481</w:t>
            </w: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30,034</w:t>
            </w:r>
          </w:p>
        </w:tc>
        <w:tc>
          <w:tcPr>
            <w:tcW w:w="3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43,536</w:t>
            </w:r>
          </w:p>
        </w:tc>
        <w:tc>
          <w:tcPr>
            <w:tcW w:w="140" w:type="dxa"/>
            <w:vAlign w:val="bottom"/>
            <w:shd w:val="clear" w:color="auto" w:fill="CFF0FC"/>
          </w:tcPr>
          <w:p>
            <w:pPr>
              <w:spacing w:after="0"/>
              <w:rPr>
                <w:sz w:val="20"/>
                <w:szCs w:val="20"/>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27,479</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25,424</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loss on sale of assets—net</w:t>
            </w: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(243 )</w:t>
            </w: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(261 )</w:t>
            </w:r>
          </w:p>
        </w:tc>
        <w:tc>
          <w:tcPr>
            <w:tcW w:w="5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(318 )</w:t>
            </w:r>
          </w:p>
        </w:tc>
      </w:tr>
      <w:tr>
        <w:trPr>
          <w:trHeight w:val="20"/>
        </w:trPr>
        <w:tc>
          <w:tcPr>
            <w:tcW w:w="36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(342 )</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2,816</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18,430</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expense—net</w:t>
            </w: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(3,175 )</w:t>
            </w:r>
          </w:p>
        </w:tc>
        <w:tc>
          <w:tcPr>
            <w:tcW w:w="5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(3,424 )</w:t>
            </w: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(6,560 )</w:t>
            </w:r>
          </w:p>
        </w:tc>
        <w:tc>
          <w:tcPr>
            <w:tcW w:w="5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(7,449 )</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(1,120 )</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2,251</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(1,525 )</w:t>
            </w:r>
          </w:p>
        </w:tc>
      </w:tr>
      <w:tr>
        <w:trPr>
          <w:trHeight w:val="236"/>
        </w:trPr>
        <w:tc>
          <w:tcPr>
            <w:tcW w:w="3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34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w:t>
            </w:r>
          </w:p>
        </w:tc>
        <w:tc>
          <w:tcPr>
            <w:tcW w:w="140" w:type="dxa"/>
            <w:vAlign w:val="bottom"/>
            <w:shd w:val="clear" w:color="auto" w:fill="CFF0FC"/>
          </w:tcPr>
          <w:p>
            <w:pPr>
              <w:spacing w:after="0"/>
              <w:rPr>
                <w:sz w:val="20"/>
                <w:szCs w:val="20"/>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(796 )</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(5 )</w:t>
            </w:r>
          </w:p>
        </w:tc>
        <w:tc>
          <w:tcPr>
            <w:tcW w:w="54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(2,432 )</w:t>
            </w:r>
          </w:p>
        </w:tc>
      </w:tr>
      <w:tr>
        <w:trPr>
          <w:trHeight w:val="277"/>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3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(loss) per share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(0.06 )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(0.02 )</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21"/>
                <w:szCs w:val="2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Basic weighted average shares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66,462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66,071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66,363</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65,959</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(0.06 )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(0.02 )</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weighted average shares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66,805</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66,071</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66,363</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66,480</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-1902460</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-1902460</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-1902460</wp:posOffset>
            </wp:positionV>
            <wp:extent cx="857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-1902460</wp:posOffset>
            </wp:positionV>
            <wp:extent cx="8572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-950595</wp:posOffset>
            </wp:positionV>
            <wp:extent cx="38150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15080" cy="17970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2880" w:type="dxa"/>
            <w:vAlign w:val="bottom"/>
            <w:gridSpan w:val="6"/>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5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1,733</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(4,033 )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(1,498 )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change in cash flow derivative hedges—net of tax (1)</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978</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(376 )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(431 )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5,859</w:t>
            </w:r>
          </w:p>
        </w:tc>
        <w:tc>
          <w:tcPr>
            <w:tcW w:w="140" w:type="dxa"/>
            <w:vAlign w:val="bottom"/>
          </w:tcPr>
          <w:p>
            <w:pPr>
              <w:spacing w:after="0"/>
              <w:rPr>
                <w:sz w:val="20"/>
                <w:szCs w:val="20"/>
                <w:color w:val="auto"/>
              </w:rPr>
            </w:pP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2,711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520" w:right="5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$(331) and $127 for the three months ended June 30, 2023 and 2022, respectively. Net of income tax (provision) benefit of $145 and $(1,979) for the six months ended June 30, 2023 and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BALANCE—January 1, 2023</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Vesting of restricted stock units and impact of shares withheld for taxes</w:t>
      </w:r>
    </w:p>
    <w:p>
      <w:pPr>
        <w:ind w:left="200" w:right="460"/>
        <w:spacing w:after="0" w:line="266" w:lineRule="auto"/>
        <w:rPr>
          <w:sz w:val="20"/>
          <w:szCs w:val="20"/>
          <w:color w:val="auto"/>
        </w:rPr>
      </w:pPr>
      <w:r>
        <w:rPr>
          <w:rFonts w:ascii="Arial" w:cs="Arial" w:eastAsia="Arial" w:hAnsi="Arial"/>
          <w:sz w:val="18"/>
          <w:szCs w:val="18"/>
          <w:color w:val="auto"/>
        </w:rPr>
        <w:t>Exercise of options and purchases from employee stock plans</w:t>
      </w:r>
    </w:p>
    <w:p>
      <w:pPr>
        <w:ind w:left="20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comprehensive loss—net of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BALANCE—June 30,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BALANCE—January 1, 2022</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ind w:left="200"/>
        <w:spacing w:after="0" w:line="266" w:lineRule="auto"/>
        <w:rPr>
          <w:sz w:val="20"/>
          <w:szCs w:val="20"/>
          <w:color w:val="auto"/>
        </w:rPr>
      </w:pPr>
      <w:r>
        <w:rPr>
          <w:rFonts w:ascii="Arial" w:cs="Arial" w:eastAsia="Arial" w:hAnsi="Arial"/>
          <w:sz w:val="18"/>
          <w:szCs w:val="18"/>
          <w:color w:val="auto"/>
        </w:rPr>
        <w:t>Vesting of restricted stock units and impact of shares withheld for taxes</w:t>
      </w:r>
    </w:p>
    <w:p>
      <w:pPr>
        <w:ind w:left="200" w:right="460"/>
        <w:spacing w:after="0" w:line="266" w:lineRule="auto"/>
        <w:rPr>
          <w:sz w:val="20"/>
          <w:szCs w:val="20"/>
          <w:color w:val="auto"/>
        </w:rPr>
      </w:pPr>
      <w:r>
        <w:rPr>
          <w:rFonts w:ascii="Arial" w:cs="Arial" w:eastAsia="Arial" w:hAnsi="Arial"/>
          <w:sz w:val="18"/>
          <w:szCs w:val="18"/>
          <w:color w:val="auto"/>
        </w:rPr>
        <w:t>Exercise of options and purchases from employee stock plans</w:t>
      </w:r>
    </w:p>
    <w:p>
      <w:pPr>
        <w:ind w:left="200"/>
        <w:spacing w:after="0"/>
        <w:rPr>
          <w:sz w:val="20"/>
          <w:szCs w:val="20"/>
          <w:color w:val="auto"/>
        </w:rPr>
      </w:pPr>
      <w:r>
        <w:rPr>
          <w:rFonts w:ascii="Arial" w:cs="Arial" w:eastAsia="Arial" w:hAnsi="Arial"/>
          <w:sz w:val="18"/>
          <w:szCs w:val="18"/>
          <w:color w:val="auto"/>
        </w:rPr>
        <w:t>Net income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comprehensive income—net of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BALANCE—June 30, 2022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66,188</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312,091</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96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(542 )</w:t>
            </w:r>
          </w:p>
        </w:tc>
        <w:tc>
          <w:tcPr>
            <w:tcW w:w="1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459"/>
        </w:trPr>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(1,498 )</w:t>
            </w:r>
          </w:p>
        </w:tc>
        <w:tc>
          <w:tcPr>
            <w:tcW w:w="120" w:type="dxa"/>
            <w:vAlign w:val="bottom"/>
          </w:tcPr>
          <w:p>
            <w:pPr>
              <w:spacing w:after="0"/>
              <w:rPr>
                <w:sz w:val="21"/>
                <w:szCs w:val="21"/>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(1,498 )</w:t>
            </w: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(431 )</w:t>
            </w: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37"/>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66,492</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314,321</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54,816</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60" w:type="dxa"/>
            <w:vAlign w:val="bottom"/>
          </w:tcPr>
          <w:p>
            <w:pPr>
              <w:jc w:val="right"/>
              <w:spacing w:after="0"/>
              <w:rPr>
                <w:sz w:val="20"/>
                <w:szCs w:val="20"/>
                <w:color w:val="auto"/>
              </w:rPr>
            </w:pPr>
            <w:r>
              <w:rPr>
                <w:rFonts w:ascii="Arial" w:cs="Arial" w:eastAsia="Arial" w:hAnsi="Arial"/>
                <w:sz w:val="18"/>
                <w:szCs w:val="18"/>
                <w:color w:val="auto"/>
              </w:rPr>
              <w:t>65,746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308,482</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90,369</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398,997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(1,827 )</w:t>
            </w:r>
          </w:p>
        </w:tc>
        <w:tc>
          <w:tcPr>
            <w:tcW w:w="160" w:type="dxa"/>
            <w:vAlign w:val="bottom"/>
          </w:tcPr>
          <w:p>
            <w:pPr>
              <w:spacing w:after="0"/>
              <w:rPr>
                <w:sz w:val="24"/>
                <w:szCs w:val="2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2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(1,827 )</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2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66,083</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308,790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97,393</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-3556635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-3248025</wp:posOffset>
            </wp:positionV>
            <wp:extent cx="71323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-2665730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-2348230</wp:posOffset>
            </wp:positionV>
            <wp:extent cx="713232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-1748155</wp:posOffset>
            </wp:positionV>
            <wp:extent cx="713232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-1165225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-847725</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500" w:space="360"/>
            <w:col w:w="73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BALANCE—March 31, 2023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66,416</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(1,600 )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364,022</w:t>
            </w:r>
          </w:p>
        </w:tc>
        <w:tc>
          <w:tcPr>
            <w:tcW w:w="140" w:type="dxa"/>
            <w:vAlign w:val="bottom"/>
            <w:shd w:val="clear" w:color="auto" w:fill="CFF0FC"/>
          </w:tcPr>
          <w:p>
            <w:pPr>
              <w:spacing w:after="0"/>
              <w:rPr>
                <w:sz w:val="21"/>
                <w:szCs w:val="21"/>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20"/>
                <w:szCs w:val="20"/>
                <w:color w:val="auto"/>
              </w:rPr>
            </w:pPr>
          </w:p>
        </w:tc>
      </w:tr>
      <w:tr>
        <w:trPr>
          <w:trHeight w:val="221"/>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restricted stock units and impact of</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withheld for taxes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(207 )</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(207 )</w:t>
            </w:r>
          </w:p>
        </w:tc>
      </w:tr>
      <w:tr>
        <w:trPr>
          <w:trHeight w:val="215"/>
        </w:trPr>
        <w:tc>
          <w:tcPr>
            <w:tcW w:w="3860" w:type="dxa"/>
            <w:vAlign w:val="bottom"/>
          </w:tcPr>
          <w:p>
            <w:pPr>
              <w:ind w:left="200"/>
              <w:spacing w:after="0"/>
              <w:rPr>
                <w:sz w:val="20"/>
                <w:szCs w:val="20"/>
                <w:color w:val="auto"/>
              </w:rPr>
            </w:pPr>
            <w:r>
              <w:rPr>
                <w:rFonts w:ascii="Arial" w:cs="Arial" w:eastAsia="Arial" w:hAnsi="Arial"/>
                <w:sz w:val="18"/>
                <w:szCs w:val="18"/>
                <w:color w:val="auto"/>
              </w:rPr>
              <w:t>Exercise of options and purchases from</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employee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FF0FC"/>
          </w:tcPr>
          <w:p>
            <w:pPr>
              <w:spacing w:after="0"/>
              <w:rPr>
                <w:sz w:val="21"/>
                <w:szCs w:val="21"/>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Other comprehensive income—net of tax</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20"/>
                <w:szCs w:val="20"/>
                <w:color w:val="auto"/>
              </w:rPr>
            </w:pPr>
          </w:p>
        </w:tc>
      </w:tr>
      <w:tr>
        <w:trPr>
          <w:trHeight w:val="283"/>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BALANCE—June 30, 2023</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314,321</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54,816</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368,522</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3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BALANCE—March 31, 2022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307,597</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101,426</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415,404</w:t>
            </w:r>
          </w:p>
        </w:tc>
        <w:tc>
          <w:tcPr>
            <w:tcW w:w="140" w:type="dxa"/>
            <w:vAlign w:val="bottom"/>
            <w:shd w:val="clear" w:color="auto" w:fill="CFF0FC"/>
          </w:tcPr>
          <w:p>
            <w:pPr>
              <w:spacing w:after="0"/>
              <w:rPr>
                <w:sz w:val="21"/>
                <w:szCs w:val="21"/>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r>
      <w:tr>
        <w:trPr>
          <w:trHeight w:val="221"/>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 of options and purchases from</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employee stock plans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21"/>
                <w:szCs w:val="21"/>
                <w:color w:val="auto"/>
              </w:rPr>
            </w:pPr>
          </w:p>
        </w:tc>
      </w:tr>
      <w:tr>
        <w:trPr>
          <w:trHeight w:val="237"/>
        </w:trPr>
        <w:tc>
          <w:tcPr>
            <w:tcW w:w="38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(4,033 )</w:t>
            </w:r>
          </w:p>
        </w:tc>
        <w:tc>
          <w:tcPr>
            <w:tcW w:w="380" w:type="dxa"/>
            <w:vAlign w:val="bottom"/>
          </w:tcPr>
          <w:p>
            <w:pPr>
              <w:spacing w:after="0"/>
              <w:rPr>
                <w:sz w:val="20"/>
                <w:szCs w:val="20"/>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(4,033 )</w:t>
            </w:r>
          </w:p>
        </w:tc>
      </w:tr>
      <w:tr>
        <w:trPr>
          <w:trHeight w:val="243"/>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loss—net of tax</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(376 )</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(376 )</w:t>
            </w:r>
          </w:p>
        </w:tc>
      </w:tr>
      <w:tr>
        <w:trPr>
          <w:trHeight w:val="283"/>
        </w:trPr>
        <w:tc>
          <w:tcPr>
            <w:tcW w:w="38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BALANCE—June 30, 2022</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66,083</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308,790</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97,393</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412,188</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-1276350</wp:posOffset>
            </wp:positionV>
            <wp:extent cx="408051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80510" cy="17970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-187960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r>
      <w:tr>
        <w:trPr>
          <w:trHeight w:val="237"/>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(1,498 )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20"/>
                <w:szCs w:val="20"/>
                <w:color w:val="auto"/>
              </w:rPr>
            </w:pPr>
          </w:p>
        </w:tc>
      </w:tr>
      <w:tr>
        <w:trPr>
          <w:trHeight w:val="22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flows provided by operating</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4"/>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21,787</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22,930</w:t>
            </w: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(261 )</w:t>
            </w:r>
          </w:p>
        </w:tc>
        <w:tc>
          <w:tcPr>
            <w:tcW w:w="5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(318 )</w:t>
            </w:r>
          </w:p>
        </w:tc>
      </w:tr>
      <w:tr>
        <w:trPr>
          <w:trHeight w:val="249"/>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2,435</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13,628</w:t>
            </w: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22,717</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(22,771 )</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(5,378 )</w:t>
            </w:r>
          </w:p>
        </w:tc>
        <w:tc>
          <w:tcPr>
            <w:tcW w:w="5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(8,528 )</w:t>
            </w:r>
          </w:p>
        </w:tc>
      </w:tr>
      <w:tr>
        <w:trPr>
          <w:trHeight w:val="249"/>
        </w:trPr>
        <w:tc>
          <w:tcPr>
            <w:tcW w:w="6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(8,052 )</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(26,268 )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14,052</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(12,200 )</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Other noncurrent assets and liabilities</w:t>
            </w:r>
          </w:p>
        </w:tc>
        <w:tc>
          <w:tcPr>
            <w:tcW w:w="32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(3,098 )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r>
      <w:tr>
        <w:trPr>
          <w:trHeight w:val="243"/>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34,097</w:t>
            </w:r>
          </w:p>
        </w:tc>
        <w:tc>
          <w:tcPr>
            <w:tcW w:w="32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21"/>
                <w:szCs w:val="21"/>
                <w:color w:val="auto"/>
              </w:rPr>
            </w:pPr>
          </w:p>
        </w:tc>
      </w:t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(54,777 )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(71,701 )</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0"/>
                <w:szCs w:val="20"/>
                <w:color w:val="auto"/>
              </w:rPr>
            </w:pPr>
          </w:p>
        </w:tc>
      </w:tr>
      <w:tr>
        <w:trPr>
          <w:trHeight w:val="243"/>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(53,597</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(69,641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(542 )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(1,827 )</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r>
      <w:tr>
        <w:trPr>
          <w:trHeight w:val="24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Borrowing under revolving loans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32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(25,000 )</w:t>
            </w:r>
          </w:p>
        </w:tc>
        <w:tc>
          <w:tcPr>
            <w:tcW w:w="54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55,020</w:t>
            </w:r>
          </w:p>
        </w:tc>
        <w:tc>
          <w:tcPr>
            <w:tcW w:w="32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35,520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(70,039 )</w:t>
            </w:r>
          </w:p>
        </w:tc>
      </w:tr>
      <w:tr>
        <w:trPr>
          <w:trHeight w:val="24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147,459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42,066</w:t>
            </w:r>
          </w:p>
        </w:tc>
        <w:tc>
          <w:tcPr>
            <w:tcW w:w="32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77,420</w:t>
            </w:r>
          </w:p>
        </w:tc>
        <w:tc>
          <w:tcPr>
            <w:tcW w:w="12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42,066</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75,420</w:t>
            </w: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Restricted cash included in other long-term assets</w:t>
            </w:r>
          </w:p>
        </w:tc>
        <w:tc>
          <w:tcPr>
            <w:tcW w:w="320" w:type="dxa"/>
            <w:vAlign w:val="bottom"/>
          </w:tcPr>
          <w:p>
            <w:pPr>
              <w:spacing w:after="0"/>
              <w:rPr>
                <w:sz w:val="20"/>
                <w:szCs w:val="20"/>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77"/>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42,066</w:t>
            </w:r>
          </w:p>
        </w:tc>
        <w:tc>
          <w:tcPr>
            <w:tcW w:w="3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77,420</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66"/>
        </w:trPr>
        <w:tc>
          <w:tcPr>
            <w:tcW w:w="67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3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8,808</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Cash paid (received) for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32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-1996440</wp:posOffset>
            </wp:positionV>
            <wp:extent cx="85725"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-1996440</wp:posOffset>
            </wp:positionV>
            <wp:extent cx="7747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-1182370</wp:posOffset>
            </wp:positionV>
            <wp:extent cx="1251585" cy="3340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1585" cy="334010"/>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-693420</wp:posOffset>
            </wp:positionV>
            <wp:extent cx="1251585" cy="360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1585" cy="360045"/>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2022.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2023 and December 31, 2022, and its results of operations for the three and six months ended June 30, 2023 and 2022 and cash flows for the six months ended June 30, 2023 and 2022 have been included.</w:t>
      </w:r>
    </w:p>
    <w:p>
      <w:pPr>
        <w:spacing w:after="0" w:line="18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has one operating segment which is also the Company’s reportable segment and reporting unit of which the Company tests goodwill for impairment. The Company performed its most recent test of impairment as of October 1, 2022 with no indication of impairment as of the test date. As of the test date, the fair value of the reporting unit was in excess of its carrying value by at least 10%.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The Company will continue to monitor for changes in facts or circumstances that may impact its estimates. The Company will perform its next scheduled annual test of goodwill in the third quarter of 2023.</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(loss) for the interim periods presented herein are not necessarily indicative of the results to be expected for the full year.</w:t>
      </w:r>
    </w:p>
    <w:p>
      <w:pPr>
        <w:spacing w:after="0" w:line="16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85"/>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(4,033 )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120" w:type="dxa"/>
            <w:vAlign w:val="bottom"/>
            <w:shd w:val="clear" w:color="auto" w:fill="CFF0FC"/>
          </w:tcPr>
          <w:p>
            <w:pPr>
              <w:spacing w:after="0"/>
              <w:rPr>
                <w:sz w:val="21"/>
                <w:szCs w:val="21"/>
                <w:color w:val="auto"/>
              </w:rPr>
            </w:pPr>
          </w:p>
        </w:tc>
      </w:tr>
      <w:tr>
        <w:trPr>
          <w:trHeight w:val="479"/>
        </w:trPr>
        <w:tc>
          <w:tcPr>
            <w:tcW w:w="522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66,462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66,071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66,363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65,959</w:t>
            </w:r>
          </w:p>
        </w:tc>
        <w:tc>
          <w:tcPr>
            <w:tcW w:w="120" w:type="dxa"/>
            <w:vAlign w:val="bottom"/>
          </w:tcPr>
          <w:p>
            <w:pPr>
              <w:spacing w:after="0"/>
              <w:rPr>
                <w:sz w:val="24"/>
                <w:szCs w:val="2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21"/>
                <w:szCs w:val="21"/>
                <w:color w:val="auto"/>
              </w:rPr>
            </w:pPr>
          </w:p>
        </w:tc>
      </w:tr>
      <w:tr>
        <w:trPr>
          <w:trHeight w:val="479"/>
        </w:trPr>
        <w:tc>
          <w:tcPr>
            <w:tcW w:w="52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66,805</w:t>
            </w: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66,071</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66,363</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66,480</w:t>
            </w:r>
          </w:p>
        </w:tc>
        <w:tc>
          <w:tcPr>
            <w:tcW w:w="120" w:type="dxa"/>
            <w:vAlign w:val="bottom"/>
            <w:tcBorders>
              <w:top w:val="single" w:sz="8" w:color="CFF0FC"/>
            </w:tcBorders>
          </w:tcPr>
          <w:p>
            <w:pPr>
              <w:spacing w:after="0"/>
              <w:rPr>
                <w:sz w:val="24"/>
                <w:szCs w:val="24"/>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11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21"/>
                <w:szCs w:val="2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(0.02 )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-796925</wp:posOffset>
            </wp:positionV>
            <wp:extent cx="77470" cy="49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4972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-796925</wp:posOffset>
            </wp:positionV>
            <wp:extent cx="77470" cy="497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4972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-796925</wp:posOffset>
            </wp:positionV>
            <wp:extent cx="76835" cy="49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49720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-796925</wp:posOffset>
            </wp:positionV>
            <wp:extent cx="77470" cy="4972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497205"/>
                    </a:xfrm>
                    <a:prstGeom prst="rect">
                      <a:avLst/>
                    </a:prstGeom>
                    <a:noFill/>
                  </pic:spPr>
                </pic:pic>
              </a:graphicData>
            </a:graphic>
          </wp:anchor>
        </w:drawing>
      </w:r>
    </w:p>
    <w:p>
      <w:pPr>
        <w:spacing w:after="0" w:line="19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six months ended June 30, 2023, 319 stock options and restricted stock units were excluded from the diluted weighted average common shares outstanding because the Company incurred a loss during this period. For the three months ended June 30, 2022, 447 of stock options and restricted stock units were excluded from the diluted weighted average common shares outstanding because the Company incurred a loss for the quarter.</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three and six months ended June 30, 2023, 918 and 554 stock options (“NQSOs”) and restricted stock units (“RSUs”) were excluded from the calculation of diluted earnings per share, respectively, based on the application of the treasury stock method, as such NQSOs and RSUs were determined to be anti-dilutive.</w:t>
      </w:r>
    </w:p>
    <w:p>
      <w:pPr>
        <w:spacing w:after="0" w:line="39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2023 and December 31, 2022 were as follows: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85"/>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42"/>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17,808</w:t>
            </w:r>
          </w:p>
        </w:tc>
        <w:tc>
          <w:tcPr>
            <w:tcW w:w="100" w:type="dxa"/>
            <w:vAlign w:val="bottom"/>
            <w:shd w:val="clear" w:color="auto" w:fill="CFF0FC"/>
          </w:tcPr>
          <w:p>
            <w:pPr>
              <w:spacing w:after="0"/>
              <w:rPr>
                <w:sz w:val="21"/>
                <w:szCs w:val="2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21"/>
                <w:szCs w:val="2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21"/>
                <w:szCs w:val="2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r>
      <w:tr>
        <w:trPr>
          <w:trHeight w:val="24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25,815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29,469</w:t>
            </w:r>
          </w:p>
        </w:tc>
        <w:tc>
          <w:tcPr>
            <w:tcW w:w="10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29, 2022, the Company, Great Lakes Dredge &amp; Dock Company, LLC, NASDI Holdings, LLC, Great Lakes Environmental &amp; Infrastructure Solutions, LLC, Great Lakes U.S. Fleet Management, LLC, and Drews Services LLC (collectively, the “Credit Parties”) entered into a second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1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right="220"/>
        <w:spacing w:after="0" w:line="259" w:lineRule="auto"/>
        <w:rPr>
          <w:sz w:val="20"/>
          <w:szCs w:val="20"/>
          <w:color w:val="auto"/>
        </w:rPr>
      </w:pPr>
      <w:r>
        <w:rPr>
          <w:rFonts w:ascii="Arial" w:cs="Arial" w:eastAsia="Arial" w:hAnsi="Arial"/>
          <w:sz w:val="18"/>
          <w:szCs w:val="18"/>
          <w:color w:val="auto"/>
        </w:rPr>
        <w:t>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1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 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1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9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The Company had $55,000 and no borrowings on the revolver as of June 30, 2023 and December 31, 2022, respectively. There were $16,391 of letters of credit outstanding on each of June 30, 2023 and December 31, 2022. The Company had $190,706 and $245,713 of availability under the Amended Credit Agreement as of June 30, 2023 and December 31, 2022, respectively. Availability is suppressed by $37,903 and $37,897, respectively, as of June 30, 2023 and December 31, 2022, as a result of certain limitations of borrowing related to reserves and compliance with the Company's obligations set forth in the Amended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w:t>
      </w:r>
    </w:p>
    <w:p>
      <w:pPr>
        <w:spacing w:after="0" w:line="103"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6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or foreign currency risk. The Company does not hold or issue derivatives for speculative or trading purposes. The fair values of these financial instruments are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Fair Value at</w:t>
            </w: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Hierarchy</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Levels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June 30, 2023</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Liabilities</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Assets</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Derivatives designated as cash flow</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hedging instruments:</w:t>
            </w: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00" w:type="dxa"/>
            <w:vAlign w:val="bottom"/>
          </w:tcPr>
          <w:p>
            <w:pPr>
              <w:ind w:left="120"/>
              <w:spacing w:after="0"/>
              <w:rPr>
                <w:sz w:val="20"/>
                <w:szCs w:val="20"/>
                <w:color w:val="auto"/>
              </w:rPr>
            </w:pPr>
            <w:r>
              <w:rPr>
                <w:rFonts w:ascii="Arial" w:cs="Arial" w:eastAsia="Arial" w:hAnsi="Arial"/>
                <w:sz w:val="18"/>
                <w:szCs w:val="18"/>
                <w:color w:val="auto"/>
              </w:rPr>
              <w:t>Fuel hedge contracts</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currency exchange hedge</w:t>
            </w:r>
          </w:p>
        </w:tc>
        <w:tc>
          <w:tcPr>
            <w:tcW w:w="1200" w:type="dxa"/>
            <w:vAlign w:val="bottom"/>
            <w:vMerge w:val="restart"/>
            <w:shd w:val="clear" w:color="auto" w:fill="CFF0FC"/>
          </w:tcPr>
          <w:p>
            <w:pPr>
              <w:jc w:val="right"/>
              <w:ind w:right="47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contracts</w:t>
            </w:r>
          </w:p>
        </w:tc>
        <w:tc>
          <w:tcPr>
            <w:tcW w:w="120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8572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domestic backlog.</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2023, the Company was party to various swap arrangements to hedge the price of a portion of its diesel fuel purchase requirements for work in its backlog to be performed through January 2025. As of June 30, 2023, there were 8.5 million gallons remaining on these contracts representing forecasted domestic fuel purchases through January 2025. Under these swap agreements, the Company will pay fixed prices ranging from $2.34 to $3.22 per gallon.</w:t>
      </w:r>
    </w:p>
    <w:p>
      <w:pPr>
        <w:spacing w:after="0" w:line="11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June 30, 2023 and December 31, 2022, the fair value liability of the fuel hedge contracts were estimated to be $1,112 and $638, respectively, and are recorded in accrued expenses. For fuel hedge contracts considered to be highly effective, the losses reclassified to earnings from changes in fair value of derivatives, net of cash settlements and taxes, for the six months ended June 30, 2023 were $1,804. The remaining gains and losses included in accumulated other comprehensive loss at June 30, 2023 will be reclassified into earnings over the next nineteen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Foreign currency exchange hedge contracts</w:t>
      </w:r>
    </w:p>
    <w:p>
      <w:pPr>
        <w:spacing w:after="0" w:line="1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US Dollar could have an adverse impact on cash flows associated with its equipment builds.</w:t>
      </w:r>
    </w:p>
    <w:p>
      <w:pPr>
        <w:spacing w:after="0" w:line="10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of June 30, 2023, the Company was party to various foreign exchange forward contract arrangements to hedge the purchase of materials through November 2024. As of June 30, 2023, there were 26.1 million Euro of payments remaining on these hedge contracts. Under these hedge contracts, the Company will pay fixed prices ranging from $1.00 to $1.13 per Euro.</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2023 and December 31, 2022, the fair value asset of foreign currency exchange hedge contracts was estimated to be $723 and $831, respectively, and are recorded in other current assets. At December 31, 2022, the fair value liability of foreign currency exchange hedge contracts was estimated to be $6 and is recorded in accrued expenses. For foreign currency exchange hedge contracts considered to be highly effective, the gains reclassified to earnings from changes in fair value of derivatives, net of cash settlements and taxes, for the six months ended June 30, 2023 were $321. The remaining gains and losses included in accumulated other comprehensive income (loss) at June 30, 2023 will be reclassified into earnings over the next seventeen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840" w:type="dxa"/>
            <w:vAlign w:val="bottom"/>
            <w:gridSpan w:val="6"/>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14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60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Fuel Hedge Contracts</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of derivative (gains) losses to earnings—net of tax</w:t>
            </w: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(4,719 )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(7,200 )</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720" w:type="dxa"/>
            <w:vAlign w:val="bottom"/>
          </w:tcPr>
          <w:p>
            <w:pPr>
              <w:spacing w:after="0"/>
              <w:rPr>
                <w:sz w:val="20"/>
                <w:szCs w:val="20"/>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(252 )</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(2,158 )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13,300</w:t>
            </w:r>
          </w:p>
        </w:tc>
        <w:tc>
          <w:tcPr>
            <w:tcW w:w="140" w:type="dxa"/>
            <w:vAlign w:val="bottom"/>
          </w:tcPr>
          <w:p>
            <w:pPr>
              <w:spacing w:after="0"/>
              <w:rPr>
                <w:sz w:val="20"/>
                <w:szCs w:val="20"/>
                <w:color w:val="auto"/>
              </w:rPr>
            </w:pP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flow derivative fuel hedges—net of tax</w:t>
            </w:r>
          </w:p>
        </w:tc>
        <w:tc>
          <w:tcPr>
            <w:tcW w:w="72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1,182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Foreign Currency Exchange Hedge Contracts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of derivative gains to earnings—net of tax</w:t>
            </w:r>
          </w:p>
        </w:tc>
        <w:tc>
          <w:tcPr>
            <w:tcW w:w="72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(279 )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(241 )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(321 )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(241 )</w:t>
            </w: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flow derivative foreign currency hedges—net of tax</w:t>
            </w:r>
          </w:p>
        </w:tc>
        <w:tc>
          <w:tcPr>
            <w:tcW w:w="72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6020" w:type="dxa"/>
            <w:vAlign w:val="bottom"/>
          </w:tcPr>
          <w:p>
            <w:pPr>
              <w:ind w:left="20"/>
              <w:spacing w:after="0"/>
              <w:rPr>
                <w:sz w:val="20"/>
                <w:szCs w:val="20"/>
                <w:color w:val="auto"/>
              </w:rPr>
            </w:pPr>
            <w:r>
              <w:rPr>
                <w:rFonts w:ascii="Arial" w:cs="Arial" w:eastAsia="Arial" w:hAnsi="Arial"/>
                <w:sz w:val="18"/>
                <w:szCs w:val="18"/>
                <w:color w:val="auto"/>
              </w:rPr>
              <w:t>Total net change in cash flow derivative hedges - net of tax</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(376 )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(431 )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5,859</w:t>
            </w:r>
          </w:p>
        </w:tc>
        <w:tc>
          <w:tcPr>
            <w:tcW w:w="1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-856615</wp:posOffset>
            </wp:positionV>
            <wp:extent cx="258064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0640" cy="18034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-205105</wp:posOffset>
            </wp:positionV>
            <wp:extent cx="258064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80640" cy="2057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Six Months Ended</w:t>
            </w:r>
          </w:p>
        </w:tc>
      </w:tr>
      <w:tr>
        <w:trPr>
          <w:trHeight w:val="255"/>
        </w:trPr>
        <w:tc>
          <w:tcPr>
            <w:tcW w:w="25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50"/>
        </w:trPr>
        <w:tc>
          <w:tcPr>
            <w:tcW w:w="2520" w:type="dxa"/>
            <w:vAlign w:val="bottom"/>
          </w:tcPr>
          <w:p>
            <w:pPr>
              <w:spacing w:after="0"/>
              <w:rPr>
                <w:sz w:val="21"/>
                <w:szCs w:val="21"/>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Location</w:t>
            </w:r>
          </w:p>
        </w:tc>
        <w:tc>
          <w:tcPr>
            <w:tcW w:w="260" w:type="dxa"/>
            <w:vAlign w:val="bottom"/>
          </w:tcPr>
          <w:p>
            <w:pPr>
              <w:spacing w:after="0"/>
              <w:rPr>
                <w:sz w:val="21"/>
                <w:szCs w:val="21"/>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243"/>
        </w:trPr>
        <w:tc>
          <w:tcPr>
            <w:tcW w:w="2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360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63"/>
        </w:trPr>
        <w:tc>
          <w:tcPr>
            <w:tcW w:w="2520" w:type="dxa"/>
            <w:vAlign w:val="bottom"/>
          </w:tcPr>
          <w:p>
            <w:pPr>
              <w:ind w:left="200"/>
              <w:spacing w:after="0"/>
              <w:rPr>
                <w:sz w:val="20"/>
                <w:szCs w:val="20"/>
                <w:color w:val="auto"/>
              </w:rPr>
            </w:pPr>
            <w:r>
              <w:rPr>
                <w:rFonts w:ascii="Arial" w:cs="Arial" w:eastAsia="Arial" w:hAnsi="Arial"/>
                <w:sz w:val="18"/>
                <w:szCs w:val="18"/>
                <w:color w:val="auto"/>
              </w:rPr>
              <w:t>Fuel hedge contracts</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Costs of contract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1,918</w:t>
            </w:r>
          </w:p>
        </w:tc>
        <w:tc>
          <w:tcPr>
            <w:tcW w:w="26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(6,313 )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2,413</w:t>
            </w:r>
          </w:p>
        </w:tc>
        <w:tc>
          <w:tcPr>
            <w:tcW w:w="26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(9,632 )</w:t>
            </w:r>
          </w:p>
        </w:tc>
      </w:tr>
      <w:tr>
        <w:trPr>
          <w:trHeight w:val="222"/>
        </w:trPr>
        <w:tc>
          <w:tcPr>
            <w:tcW w:w="2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exchange</w:t>
            </w:r>
          </w:p>
        </w:tc>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2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hedge contracts</w:t>
            </w:r>
          </w:p>
        </w:tc>
        <w:tc>
          <w:tcPr>
            <w:tcW w:w="3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(424 )</w:t>
            </w: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2520" w:type="dxa"/>
            <w:vAlign w:val="bottom"/>
          </w:tcPr>
          <w:p>
            <w:pPr>
              <w:spacing w:after="0"/>
              <w:rPr>
                <w:sz w:val="21"/>
                <w:szCs w:val="21"/>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(1,594 )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(2,432 )</w:t>
            </w:r>
          </w:p>
        </w:tc>
      </w:tr>
      <w:tr>
        <w:trPr>
          <w:trHeight w:val="277"/>
        </w:trPr>
        <w:tc>
          <w:tcPr>
            <w:tcW w:w="2520" w:type="dxa"/>
            <w:vAlign w:val="bottom"/>
            <w:tcBorders>
              <w:bottom w:val="single" w:sz="8" w:color="CFF0FC"/>
            </w:tcBorders>
            <w:shd w:val="clear" w:color="auto" w:fill="CFF0FC"/>
          </w:tcPr>
          <w:p>
            <w:pPr>
              <w:spacing w:after="0"/>
              <w:rPr>
                <w:sz w:val="24"/>
                <w:szCs w:val="24"/>
                <w:color w:val="auto"/>
              </w:rPr>
            </w:pPr>
          </w:p>
        </w:tc>
        <w:tc>
          <w:tcPr>
            <w:tcW w:w="36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revolving credit agreement approximates fair value. In May 2021, the Company sold $325,000 of the 2029 Notes, which were outstanding at June 30, 2023 (see Note 4, Long-term debt). The fair value of the 2029 Notes was $271,450 at June 30, 2023, which is a Level 1 fair value measurement as the senior notes’ value was obtained using quoted prices in active markets. It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impracticable to determine the fair value of outstanding letters of credit or performance, bid and payment bonds due to uncertainties as to the amount and timing of future obligations, if any.</w:t>
      </w:r>
    </w:p>
    <w:p>
      <w:pPr>
        <w:spacing w:after="0" w:line="16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 and/or the applicable committee or committees thereof, as may be required.</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June 30, 2023, the Company granted 950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$2,198 and $1,000 for the three months ended June 30, 2023 and 2022, respectively. Compensation cost charged to expense related to share-based compensation arrangements was $2,435 and $1,552 for the six months ended June 30, 2023 and 2022, respectively.</w:t>
      </w:r>
    </w:p>
    <w:p>
      <w:pPr>
        <w:spacing w:after="0" w:line="11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At June 30, 2023, the Company had $434,555 of remaining performance obligations, which the Company refers to as total dredging backlog. Total dredging backlog does not include approximately $50,000 of performance obligations related to offshore wind contracts. Approximately 53% of the Company’s dredging backlog is expected to be completed in 2023 with the remaining balance expected to be completed in 2024 and 2025.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the Company's revenue disaggregated by several categories.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are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8"/>
                <w:szCs w:val="18"/>
                <w:color w:val="auto"/>
              </w:rPr>
            </w:pPr>
          </w:p>
        </w:tc>
      </w:tr>
      <w:tr>
        <w:trPr>
          <w:trHeight w:val="243"/>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8"/>
                <w:szCs w:val="18"/>
                <w:color w:val="auto"/>
              </w:rPr>
              <w:t>Capital—U.S.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38,157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89,693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70,632</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190,704</w:t>
            </w:r>
          </w:p>
        </w:tc>
        <w:tc>
          <w:tcPr>
            <w:tcW w:w="100" w:type="dxa"/>
            <w:vAlign w:val="bottom"/>
          </w:tcPr>
          <w:p>
            <w:pPr>
              <w:spacing w:after="0"/>
              <w:rPr>
                <w:sz w:val="20"/>
                <w:szCs w:val="20"/>
                <w:color w:val="auto"/>
              </w:rPr>
            </w:pPr>
          </w:p>
        </w:tc>
      </w:tr>
      <w:tr>
        <w:trPr>
          <w:trHeight w:val="249"/>
        </w:trPr>
        <w:tc>
          <w:tcPr>
            <w:tcW w:w="2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Coastal protection</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107,795</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117,036</w:t>
            </w:r>
          </w:p>
        </w:tc>
        <w:tc>
          <w:tcPr>
            <w:tcW w:w="100" w:type="dxa"/>
            <w:vAlign w:val="bottom"/>
            <w:shd w:val="clear" w:color="auto" w:fill="CFF0FC"/>
          </w:tcPr>
          <w:p>
            <w:pPr>
              <w:spacing w:after="0"/>
              <w:rPr>
                <w:sz w:val="21"/>
                <w:szCs w:val="2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12,648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107,737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32,460</w:t>
            </w:r>
          </w:p>
        </w:tc>
        <w:tc>
          <w:tcPr>
            <w:tcW w:w="100" w:type="dxa"/>
            <w:vAlign w:val="bottom"/>
          </w:tcPr>
          <w:p>
            <w:pPr>
              <w:spacing w:after="0"/>
              <w:rPr>
                <w:sz w:val="20"/>
                <w:szCs w:val="20"/>
                <w:color w:val="auto"/>
              </w:rPr>
            </w:pPr>
          </w:p>
        </w:tc>
      </w:tr>
      <w:tr>
        <w:trPr>
          <w:trHeight w:val="243"/>
        </w:trPr>
        <w:tc>
          <w:tcPr>
            <w:tcW w:w="28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Rivers &amp; lakes</w:t>
            </w:r>
          </w:p>
        </w:tc>
        <w:tc>
          <w:tcPr>
            <w:tcW w:w="2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3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132,667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149,428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290,711</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343,777</w:t>
            </w:r>
          </w:p>
        </w:tc>
        <w:tc>
          <w:tcPr>
            <w:tcW w:w="100" w:type="dxa"/>
            <w:vAlign w:val="bottom"/>
          </w:tcPr>
          <w:p>
            <w:pPr>
              <w:spacing w:after="0"/>
              <w:rPr>
                <w:sz w:val="21"/>
                <w:szCs w:val="2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603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1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7"/>
        </w:trPr>
        <w:tc>
          <w:tcPr>
            <w:tcW w:w="1700" w:type="dxa"/>
            <w:vAlign w:val="bottom"/>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Federal government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107,368</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95,360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249,530</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262,934</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8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 and local government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41,181</w:t>
            </w: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75,523</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8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Private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132,667</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290,711</w:t>
            </w:r>
          </w:p>
        </w:tc>
        <w:tc>
          <w:tcPr>
            <w:tcW w:w="3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343,777</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-513715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-496570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-676275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-513715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-496570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-676275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-513715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-496570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-676275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-513715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-496570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-676275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Accounts receivable at June 30, 2023 and December 31,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6"/>
          </w:tcPr>
          <w:p>
            <w:pPr>
              <w:jc w:val="right"/>
              <w:ind w:right="71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6"/>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30,447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32,546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Retainage</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9,725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43,600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45,454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(564 )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(564 )</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85"/>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accounts receivable—net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43,036</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44,890</w:t>
            </w: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8"/>
        </w:trPr>
        <w:tc>
          <w:tcPr>
            <w:tcW w:w="7220" w:type="dxa"/>
            <w:vAlign w:val="bottom"/>
            <w:gridSpan w:val="4"/>
          </w:tcPr>
          <w:p>
            <w:pPr>
              <w:jc w:val="right"/>
              <w:ind w:right="110"/>
              <w:spacing w:after="0"/>
              <w:rPr>
                <w:sz w:val="20"/>
                <w:szCs w:val="20"/>
                <w:color w:val="auto"/>
              </w:rPr>
            </w:pPr>
            <w:r>
              <w:rPr>
                <w:rFonts w:ascii="Arial" w:cs="Arial" w:eastAsia="Arial" w:hAnsi="Arial"/>
                <w:sz w:val="18"/>
                <w:szCs w:val="18"/>
                <w:color w:val="auto"/>
                <w:w w:val="89"/>
              </w:rPr>
              <w:t>The components of contracts in progress at June 30, 2023 and December 31, 2022 are as follows: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9"/>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7"/>
        </w:trPr>
        <w:tc>
          <w:tcPr>
            <w:tcW w:w="1120" w:type="dxa"/>
            <w:vAlign w:val="bottom"/>
          </w:tcPr>
          <w:p>
            <w:pPr>
              <w:spacing w:after="0"/>
              <w:rPr>
                <w:sz w:val="20"/>
                <w:szCs w:val="20"/>
                <w:color w:val="auto"/>
              </w:rPr>
            </w:pPr>
          </w:p>
        </w:tc>
        <w:tc>
          <w:tcPr>
            <w:tcW w:w="5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Costs and earnings in excess of billings:</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Costs and earnings for contracts in progress</w:t>
            </w:r>
          </w:p>
        </w:tc>
        <w:tc>
          <w:tcPr>
            <w:tcW w:w="240" w:type="dxa"/>
            <w:vAlign w:val="bottom"/>
          </w:tcPr>
          <w:p>
            <w:pPr>
              <w:spacing w:after="0"/>
              <w:rPr>
                <w:sz w:val="20"/>
                <w:szCs w:val="20"/>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324,309</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262,125</w:t>
            </w: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Amounts billed</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w w:val="87"/>
              </w:rPr>
              <w:t>(290,209 )</w:t>
            </w:r>
          </w:p>
        </w:tc>
        <w:tc>
          <w:tcPr>
            <w:tcW w:w="160" w:type="dxa"/>
            <w:vAlign w:val="bottom"/>
            <w:shd w:val="clear" w:color="auto" w:fill="CFF0FC"/>
          </w:tcPr>
          <w:p>
            <w:pPr>
              <w:spacing w:after="0"/>
              <w:rPr>
                <w:sz w:val="21"/>
                <w:szCs w:val="21"/>
                <w:color w:val="auto"/>
              </w:rPr>
            </w:pP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(210,068 )</w:t>
            </w:r>
          </w:p>
        </w:tc>
      </w:tr>
      <w:tr>
        <w:trPr>
          <w:trHeight w:val="236"/>
        </w:trPr>
        <w:tc>
          <w:tcPr>
            <w:tcW w:w="1120" w:type="dxa"/>
            <w:vAlign w:val="bottom"/>
          </w:tcPr>
          <w:p>
            <w:pPr>
              <w:spacing w:after="0"/>
              <w:rPr>
                <w:sz w:val="20"/>
                <w:szCs w:val="20"/>
                <w:color w:val="auto"/>
              </w:rPr>
            </w:pPr>
          </w:p>
        </w:tc>
        <w:tc>
          <w:tcPr>
            <w:tcW w:w="586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4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34,100</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52,057</w:t>
            </w:r>
          </w:p>
        </w:tc>
        <w:tc>
          <w:tcPr>
            <w:tcW w:w="120" w:type="dxa"/>
            <w:vAlign w:val="bottom"/>
            <w:tcBorders>
              <w:top w:val="single" w:sz="8" w:color="CFF0FC"/>
            </w:tcBorders>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Costs and earnings in excess of billings for completed contracts</w:t>
            </w: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9,106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14,972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Total contract revenues in excess of billings</w:t>
            </w:r>
          </w:p>
        </w:tc>
        <w:tc>
          <w:tcPr>
            <w:tcW w:w="240" w:type="dxa"/>
            <w:vAlign w:val="bottom"/>
          </w:tcPr>
          <w:p>
            <w:pPr>
              <w:spacing w:after="0"/>
              <w:rPr>
                <w:sz w:val="20"/>
                <w:szCs w:val="20"/>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43,206</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67,029</w:t>
            </w:r>
          </w:p>
        </w:tc>
        <w:tc>
          <w:tcPr>
            <w:tcW w:w="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586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80" w:type="dxa"/>
            <w:vAlign w:val="bottom"/>
            <w:gridSpan w:val="3"/>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Current portion of contract revenues in excess of billings</w:t>
            </w:r>
          </w:p>
        </w:tc>
        <w:tc>
          <w:tcPr>
            <w:tcW w:w="240" w:type="dxa"/>
            <w:vAlign w:val="bottom"/>
          </w:tcPr>
          <w:p>
            <w:pPr>
              <w:spacing w:after="0"/>
              <w:rPr>
                <w:sz w:val="20"/>
                <w:szCs w:val="20"/>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43,206</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65,922</w:t>
            </w: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Long-term contract revenues in excess of billings</w:t>
            </w: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Total contract revenues in excess of billings</w:t>
            </w:r>
          </w:p>
        </w:tc>
        <w:tc>
          <w:tcPr>
            <w:tcW w:w="240" w:type="dxa"/>
            <w:vAlign w:val="bottom"/>
          </w:tcPr>
          <w:p>
            <w:pPr>
              <w:spacing w:after="0"/>
              <w:rPr>
                <w:sz w:val="20"/>
                <w:szCs w:val="20"/>
                <w:color w:val="auto"/>
              </w:rPr>
            </w:pPr>
          </w:p>
        </w:tc>
        <w:tc>
          <w:tcPr>
            <w:tcW w:w="58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43,206</w:t>
            </w:r>
          </w:p>
        </w:tc>
        <w:tc>
          <w:tcPr>
            <w:tcW w:w="26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67,029</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86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Billings in excess of costs and earnings:</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1120" w:type="dxa"/>
            <w:vAlign w:val="bottom"/>
          </w:tcPr>
          <w:p>
            <w:pPr>
              <w:spacing w:after="0"/>
              <w:rPr>
                <w:sz w:val="21"/>
                <w:szCs w:val="21"/>
                <w:color w:val="auto"/>
              </w:rPr>
            </w:pPr>
          </w:p>
        </w:tc>
        <w:tc>
          <w:tcPr>
            <w:tcW w:w="5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Amounts billed</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5"/>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color w:val="auto"/>
                <w:w w:val="87"/>
              </w:rPr>
              <w:t>(163,342 )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(95,013 )</w:t>
            </w:r>
          </w:p>
        </w:tc>
      </w:tr>
      <w:tr>
        <w:trPr>
          <w:trHeight w:val="237"/>
        </w:trPr>
        <w:tc>
          <w:tcPr>
            <w:tcW w:w="1120" w:type="dxa"/>
            <w:vAlign w:val="bottom"/>
          </w:tcPr>
          <w:p>
            <w:pPr>
              <w:spacing w:after="0"/>
              <w:rPr>
                <w:sz w:val="20"/>
                <w:szCs w:val="20"/>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Costs and earnings for contracts in progress</w:t>
            </w: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139,376</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85,099</w:t>
            </w:r>
          </w:p>
        </w:tc>
        <w:tc>
          <w:tcPr>
            <w:tcW w:w="120" w:type="dxa"/>
            <w:vAlign w:val="bottom"/>
          </w:tcPr>
          <w:p>
            <w:pPr>
              <w:spacing w:after="0"/>
              <w:rPr>
                <w:sz w:val="20"/>
                <w:szCs w:val="20"/>
                <w:color w:val="auto"/>
              </w:rPr>
            </w:pPr>
          </w:p>
        </w:tc>
      </w:tr>
      <w:tr>
        <w:trPr>
          <w:trHeight w:val="277"/>
        </w:trPr>
        <w:tc>
          <w:tcPr>
            <w:tcW w:w="1120" w:type="dxa"/>
            <w:vAlign w:val="bottom"/>
          </w:tcPr>
          <w:p>
            <w:pPr>
              <w:spacing w:after="0"/>
              <w:rPr>
                <w:sz w:val="24"/>
                <w:szCs w:val="24"/>
                <w:color w:val="auto"/>
              </w:rPr>
            </w:pPr>
          </w:p>
        </w:tc>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billings in excess of contract revenues</w:t>
            </w:r>
          </w:p>
        </w:tc>
        <w:tc>
          <w:tcPr>
            <w:tcW w:w="2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(23,966</w:t>
            </w:r>
          </w:p>
        </w:tc>
        <w:tc>
          <w:tcPr>
            <w:tcW w:w="26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-3710940</wp:posOffset>
            </wp:positionV>
            <wp:extent cx="5969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-3710940</wp:posOffset>
            </wp:positionV>
            <wp:extent cx="5969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-3394075</wp:posOffset>
            </wp:positionV>
            <wp:extent cx="5969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3771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-3394075</wp:posOffset>
            </wp:positionV>
            <wp:extent cx="5969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3771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-1936750</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-1936750</wp:posOffset>
            </wp:positionV>
            <wp:extent cx="7747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-1619885</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-1619885</wp:posOffset>
            </wp:positionV>
            <wp:extent cx="7747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-993775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-993775</wp:posOffset>
            </wp:positionV>
            <wp:extent cx="7747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three and six months ending June 30, 2022, a revision to the estimated gross profit percentage of a project was recognized due to a positive settlement of a claim from the recently completed project resulting in a cumulative net impact on the project margin, which increased gross profit by $5,638 and $17,362, respectively.</w:t>
      </w:r>
    </w:p>
    <w:p>
      <w:pPr>
        <w:spacing w:after="0" w:line="1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At June 30, 2023 and December 31, 2022, costs to fulfill a contract with a customer recognized as an asset were $7,675 and $4,472, respectively, and are recorded in other current assets and other noncurrent assets. These costs relate to pre-contract and pre-construction activities. During the three and six months ended June 30, 2023, the Company amortized $1,323 and $4,989, respectively, of pre-construction costs. During the three and six months ended June 30, 2022, the Company amortized $2,061 and $4,452, respectively, of pre-construction costs.</w:t>
      </w:r>
    </w:p>
    <w:p>
      <w:pPr>
        <w:spacing w:after="0" w:line="16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Performance and bid bonds are customarily required for dredging and marine construction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Bid bonds are generally obtained for a percentage of bid value and amounts outstanding typically range from $1,000 to $10,000. At June 30, 2023, the Company had outstanding performance bonds with a notional amount of approximately $865,428. The revenue value remaining in dredging backlog related to the outstanding performance bonds totaled approximately $371,275.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8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4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comprised the Company’s historical demolition business, to a privately-owned demolition company. The Company has been involved in litigation relating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sale, and on April 11, 2022 the Supreme Court of Delaware affirmed an earlier decision by Delaware Court of Chancery granting the Company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$21,934 judgment relating to the buyer's default of its obligations to indemnify the Company for losses resulting from failure to perform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a surety performance bond. Following this judgment, the Company continued to aggressively pursue collection from the buyer on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owed under the sale and the indemnification. On April 24, 2023, the Company settled the remaining litigation related to the sale and subsequent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buyer's default of its obligations to indemnify the Company for losses resulting from failure to perform in accordance with terms of a surety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 The settlement calls for a one-time payment to the Company from entities affiliated with the buyer in the amount of $1,250, a disbursement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a litigation escrow account in the amount of $680 and a release of funds retained by New York City to the Company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pre-purchase construction project which is expected to be $800 after the payment of related expenses. In the second quarter of 2023,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$2,410 benefit in cost of contract revenues and $784 in other income related to the settlement and the release of certain liabilities related to the original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5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2022 and in other securities filings by Great Lakes with the SEC.</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98"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four primary types of work: capital, coastal protection, maintenance and rivers &amp; lakes.</w:t>
      </w:r>
    </w:p>
    <w:p>
      <w:pPr>
        <w:spacing w:after="0" w:line="8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35% over the prior three years, including 39%, 59%, 21% and 30% of the domestic capital, coastal protection, maintenance and rivers &amp; lakes sectors, respectively.</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largest domestic customer is the U.S. Army Corps of Engineers (the “Corps”), which has responsibility for federally funded projects related to navigation and flood control of U.S. waterways. In the first six months of 2023, the Company’s dredging revenues earned from contracts with federal government agencies, including the Corps as well as other federal entities such as the U.S. Coast Guard and the U.S. Navy were approximately 86% of dredging revenues, above the Company’s prior three-year average of 75%.</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The Company experienced regulatory dry dock inspections on two dredges in the second quarter of 2023. The dry dock vessels are expected to return to work in the third quarter of 2023.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120"/>
        <w:spacing w:after="0" w:line="257" w:lineRule="auto"/>
        <w:rPr>
          <w:sz w:val="20"/>
          <w:szCs w:val="20"/>
          <w:color w:val="auto"/>
        </w:rPr>
      </w:pPr>
      <w:r>
        <w:rPr>
          <w:rFonts w:ascii="Arial" w:cs="Arial" w:eastAsia="Arial" w:hAnsi="Arial"/>
          <w:sz w:val="18"/>
          <w:szCs w:val="18"/>
          <w:color w:val="auto"/>
        </w:rPr>
        <w:t xml:space="preserve">The Company has taken action on cost reductions and fleet adjustments. In 2022, the Company retired the 42-year-old hopper dredge, the </w:t>
      </w:r>
      <w:r>
        <w:rPr>
          <w:rFonts w:ascii="Arial" w:cs="Arial" w:eastAsia="Arial" w:hAnsi="Arial"/>
          <w:sz w:val="18"/>
          <w:szCs w:val="18"/>
          <w:i w:val="1"/>
          <w:iCs w:val="1"/>
          <w:color w:val="auto"/>
        </w:rPr>
        <w:t>Terrapin Island</w:t>
      </w:r>
      <w:r>
        <w:rPr>
          <w:rFonts w:ascii="Arial" w:cs="Arial" w:eastAsia="Arial" w:hAnsi="Arial"/>
          <w:sz w:val="18"/>
          <w:szCs w:val="18"/>
          <w:color w:val="auto"/>
        </w:rPr>
        <w:t>. Beginning in 2023, the Company chose to cold stack some of its equipment with minimal crews and cost to adjust to the then current difficult market conditions. The equipment can be easily reactivated when the Company sees improvements in the bid market. The Company currently has three major dredges cold stacked, of which one is expected to be reactivated for work later this year. The Company may reactivate more cold stacked equipment given the 2023 bid market outlook and recent wins.</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Arial" w:cs="Arial" w:eastAsia="Arial" w:hAnsi="Arial"/>
          <w:sz w:val="18"/>
          <w:szCs w:val="18"/>
          <w:i w:val="1"/>
          <w:iCs w:val="1"/>
          <w:color w:val="auto"/>
        </w:rPr>
        <w:t>Acadia</w:t>
      </w:r>
      <w:r>
        <w:rPr>
          <w:rFonts w:ascii="Arial" w:cs="Arial" w:eastAsia="Arial" w:hAnsi="Arial"/>
          <w:sz w:val="18"/>
          <w:szCs w:val="18"/>
          <w:color w:val="auto"/>
        </w:rPr>
        <w:t>, which is expected to be delivered and operational in 2025. This vessel represents a significant critical advancement in building the U.S. logistics infrastructure to support the future of the new U.S. offshore wind industry. The Company has begun bidding on select projects in the offshore wind market and on July 14, 2022, the Company, in consortium with Van Oord, entered into its first contract with Empire Offshore Wind, a joint venture between Equinor and BP, to perform subsea rock installation work for the Empire I and Empire II offshore wind farms in New York in 2025 and 2026. These wind farms are expected to provide over 2 Gigawatts (“GW”) of renewable energy to the state of New York, which is enough renewable energy to power more than one million households in New York.</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2021, the Biden Administration announced the ambitious goal of 30 GW of offshore wind by 2030 and provided $3.0 billion in federal loan guarantees for offshore wind projects. In July 2023, the Federal Government further showed their support for offshore wind by providing approval for New Jersey’s first offshore wind farm to begin construction, which is the first of at least three more projects that the state has planned on the East Coast. Also in July 2023, the Department of the Interior issued the final sale notice for the first-ever offshore wind lease sale in the Gulf of Mexico, which will take place at the end of August. The Company continues to tender bids on multiple offshore wind projects for our subsea rock installation vessel and additional contract awards are anticipated in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as defined below, as a percentage of contract revenues for the three and six months ended June 30, 2023 and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4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3"/>
              </w:rPr>
              <w:t>Three Months Ended</w:t>
            </w:r>
          </w:p>
        </w:tc>
        <w:tc>
          <w:tcPr>
            <w:tcW w:w="1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17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0"/>
        </w:trPr>
        <w:tc>
          <w:tcPr>
            <w:tcW w:w="1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Contract revenues</w:t>
            </w: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w w:val="74"/>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60" w:type="dxa"/>
            <w:vAlign w:val="bottom"/>
            <w:gridSpan w:val="2"/>
          </w:tcPr>
          <w:p>
            <w:pPr>
              <w:jc w:val="right"/>
              <w:ind w:right="1680"/>
              <w:spacing w:after="0"/>
              <w:rPr>
                <w:sz w:val="20"/>
                <w:szCs w:val="20"/>
                <w:color w:val="auto"/>
              </w:rPr>
            </w:pPr>
            <w:r>
              <w:rPr>
                <w:rFonts w:ascii="Arial" w:cs="Arial" w:eastAsia="Arial" w:hAnsi="Arial"/>
                <w:sz w:val="18"/>
                <w:szCs w:val="18"/>
                <w:color w:val="auto"/>
                <w:w w:val="99"/>
              </w:rPr>
              <w:t>%</w:t>
            </w:r>
          </w:p>
        </w:tc>
      </w:tr>
      <w:tr>
        <w:trPr>
          <w:trHeight w:val="243"/>
        </w:trPr>
        <w:tc>
          <w:tcPr>
            <w:tcW w:w="170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(86.5 )</w:t>
            </w:r>
          </w:p>
        </w:tc>
        <w:tc>
          <w:tcPr>
            <w:tcW w:w="2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(93.0 )</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(89.7 )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(87.3 )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7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(0.2 )</w:t>
            </w:r>
          </w:p>
        </w:tc>
        <w:tc>
          <w:tcPr>
            <w:tcW w:w="26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income (loss)</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expense—net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(2.3 )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(0.7 )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(3.2 )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(0.6 )</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(0.7 )</w:t>
            </w:r>
          </w:p>
        </w:tc>
        <w:tc>
          <w:tcPr>
            <w:tcW w:w="1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(2.6 )</w:t>
            </w:r>
          </w:p>
        </w:tc>
        <w:tc>
          <w:tcPr>
            <w:tcW w:w="1240" w:type="dxa"/>
            <w:vAlign w:val="bottom"/>
            <w:gridSpan w:val="4"/>
          </w:tcPr>
          <w:p>
            <w:pPr>
              <w:jc w:val="right"/>
              <w:ind w:right="180"/>
              <w:spacing w:after="0" w:line="242" w:lineRule="exact"/>
              <w:rPr>
                <w:sz w:val="20"/>
                <w:szCs w:val="20"/>
                <w:color w:val="auto"/>
              </w:rPr>
            </w:pPr>
            <w:r>
              <w:rPr>
                <w:rFonts w:ascii="Arial" w:cs="Arial" w:eastAsia="Arial" w:hAnsi="Arial"/>
                <w:sz w:val="15"/>
                <w:szCs w:val="15"/>
                <w:color w:val="auto"/>
              </w:rPr>
              <w:t xml:space="preserve">(0.6 ) </w:t>
            </w:r>
            <w:r>
              <w:rPr>
                <w:rFonts w:ascii="Arial" w:cs="Arial" w:eastAsia="Arial" w:hAnsi="Arial"/>
                <w:sz w:val="28"/>
                <w:szCs w:val="28"/>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860" w:type="dxa"/>
            <w:vAlign w:val="bottom"/>
            <w:gridSpan w:val="2"/>
          </w:tcPr>
          <w:p>
            <w:pPr>
              <w:jc w:val="right"/>
              <w:ind w:right="1680"/>
              <w:spacing w:after="0"/>
              <w:rPr>
                <w:sz w:val="20"/>
                <w:szCs w:val="20"/>
                <w:color w:val="auto"/>
              </w:rPr>
            </w:pPr>
            <w:r>
              <w:rPr>
                <w:rFonts w:ascii="Arial" w:cs="Arial" w:eastAsia="Arial" w:hAnsi="Arial"/>
                <w:sz w:val="18"/>
                <w:szCs w:val="18"/>
                <w:color w:val="auto"/>
                <w:w w:val="99"/>
              </w:rPr>
              <w:t>%</w:t>
            </w: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24"/>
        </w:trPr>
        <w:tc>
          <w:tcPr>
            <w:tcW w:w="170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6"/>
        </w:trPr>
        <w:tc>
          <w:tcPr>
            <w:tcW w:w="1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Adjusted EBITDA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color w:val="auto"/>
                <w:highlight w:val="white"/>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1860" w:type="dxa"/>
            <w:vAlign w:val="bottom"/>
            <w:gridSpan w:val="2"/>
          </w:tcPr>
          <w:p>
            <w:pPr>
              <w:jc w:val="right"/>
              <w:ind w:right="1680"/>
              <w:spacing w:after="0"/>
              <w:rPr>
                <w:sz w:val="20"/>
                <w:szCs w:val="20"/>
                <w:color w:val="auto"/>
              </w:rPr>
            </w:pPr>
            <w:r>
              <w:rPr>
                <w:rFonts w:ascii="Arial" w:cs="Arial" w:eastAsia="Arial" w:hAnsi="Arial"/>
                <w:sz w:val="18"/>
                <w:szCs w:val="18"/>
                <w:color w:val="auto"/>
                <w:w w:val="99"/>
              </w:rPr>
              <w:t>%</w:t>
            </w: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jc w:val="right"/>
              <w:ind w:right="353"/>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-2287905</wp:posOffset>
            </wp:positionV>
            <wp:extent cx="60325"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-2287905</wp:posOffset>
            </wp:positionV>
            <wp:extent cx="6858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-2287905</wp:posOffset>
            </wp:positionV>
            <wp:extent cx="5969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-2287905</wp:posOffset>
            </wp:positionV>
            <wp:extent cx="6032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-1344930</wp:posOffset>
            </wp:positionV>
            <wp:extent cx="6032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-1344930</wp:posOffset>
            </wp:positionV>
            <wp:extent cx="6858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-1344930</wp:posOffset>
            </wp:positionV>
            <wp:extent cx="5969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-1344930</wp:posOffset>
            </wp:positionV>
            <wp:extent cx="6032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-1028065</wp:posOffset>
            </wp:positionV>
            <wp:extent cx="603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-1028065</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-1028065</wp:posOffset>
            </wp:positionV>
            <wp:extent cx="5969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03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-685165</wp:posOffset>
            </wp:positionV>
            <wp:extent cx="5969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-685165</wp:posOffset>
            </wp:positionV>
            <wp:extent cx="603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line="267" w:lineRule="auto"/>
        <w:rPr>
          <w:sz w:val="20"/>
          <w:szCs w:val="20"/>
          <w:color w:val="auto"/>
        </w:rPr>
      </w:pPr>
      <w:r>
        <w:rPr>
          <w:rFonts w:ascii="Arial" w:cs="Arial" w:eastAsia="Arial" w:hAnsi="Arial"/>
          <w:sz w:val="17"/>
          <w:szCs w:val="17"/>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(loss) to measure the Company’s operating performance and uses Adjusted EBITDA only as a supplement. The following is a reconciliation of Adjusted EBITDA to net income (loss):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r>
      <w:tr>
        <w:trPr>
          <w:trHeight w:val="214"/>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r>
      <w:tr>
        <w:trPr>
          <w:trHeight w:val="169"/>
        </w:trPr>
        <w:tc>
          <w:tcPr>
            <w:tcW w:w="500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(4,033 )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(1,498 )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Adjusted for: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expense—net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120" w:type="dxa"/>
            <w:vAlign w:val="bottom"/>
            <w:shd w:val="clear" w:color="auto" w:fill="CFF0FC"/>
          </w:tcPr>
          <w:p>
            <w:pPr>
              <w:spacing w:after="0"/>
              <w:rPr>
                <w:sz w:val="21"/>
                <w:szCs w:val="2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(853 )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0"/>
                <w:szCs w:val="20"/>
                <w:color w:val="auto"/>
              </w:rPr>
            </w:pPr>
          </w:p>
        </w:tc>
      </w:tr>
      <w:tr>
        <w:trPr>
          <w:trHeight w:val="243"/>
        </w:trPr>
        <w:tc>
          <w:tcPr>
            <w:tcW w:w="5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16,641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10,152</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26,854</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39,835</w:t>
            </w:r>
          </w:p>
        </w:tc>
        <w:tc>
          <w:tcPr>
            <w:tcW w:w="120" w:type="dxa"/>
            <w:vAlign w:val="bottom"/>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-187960</wp:posOffset>
            </wp:positionV>
            <wp:extent cx="7747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7683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7747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4"/>
          </w:tcPr>
          <w:p>
            <w:pPr>
              <w:jc w:val="center"/>
              <w:ind w:left="36"/>
              <w:spacing w:after="0"/>
              <w:rPr>
                <w:sz w:val="20"/>
                <w:szCs w:val="20"/>
                <w:color w:val="auto"/>
              </w:rPr>
            </w:pPr>
            <w:r>
              <w:rPr>
                <w:rFonts w:ascii="Arial" w:cs="Arial" w:eastAsia="Arial" w:hAnsi="Arial"/>
                <w:sz w:val="14"/>
                <w:szCs w:val="14"/>
                <w:b w:val="1"/>
                <w:bCs w:val="1"/>
                <w:color w:val="auto"/>
                <w:w w:val="93"/>
              </w:rPr>
              <w:t>Six Months Ended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Revenues (in</w:t>
            </w:r>
          </w:p>
        </w:tc>
        <w:tc>
          <w:tcPr>
            <w:tcW w:w="22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56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3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Dredging:</w:t>
            </w:r>
          </w:p>
        </w:tc>
        <w:tc>
          <w:tcPr>
            <w:tcW w:w="2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0"/>
              <w:spacing w:after="0"/>
              <w:rPr>
                <w:sz w:val="20"/>
                <w:szCs w:val="20"/>
                <w:color w:val="auto"/>
              </w:rPr>
            </w:pPr>
            <w:r>
              <w:rPr>
                <w:rFonts w:ascii="Arial" w:cs="Arial" w:eastAsia="Arial" w:hAnsi="Arial"/>
                <w:sz w:val="18"/>
                <w:szCs w:val="18"/>
                <w:color w:val="auto"/>
              </w:rPr>
              <w:t>Capital—U.S.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38,157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89,693</w:t>
            </w:r>
          </w:p>
        </w:tc>
        <w:tc>
          <w:tcPr>
            <w:tcW w:w="22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(57.5 )% $</w:t>
            </w:r>
          </w:p>
        </w:tc>
        <w:tc>
          <w:tcPr>
            <w:tcW w:w="760" w:type="dxa"/>
            <w:vAlign w:val="bottom"/>
          </w:tcPr>
          <w:p>
            <w:pPr>
              <w:jc w:val="right"/>
              <w:spacing w:after="0"/>
              <w:rPr>
                <w:sz w:val="20"/>
                <w:szCs w:val="20"/>
                <w:color w:val="auto"/>
              </w:rPr>
            </w:pPr>
            <w:r>
              <w:rPr>
                <w:rFonts w:ascii="Arial" w:cs="Arial" w:eastAsia="Arial" w:hAnsi="Arial"/>
                <w:sz w:val="18"/>
                <w:szCs w:val="18"/>
                <w:color w:val="auto"/>
              </w:rPr>
              <w:t>70,632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190,704</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(63.0 )%</w:t>
            </w:r>
          </w:p>
        </w:tc>
        <w:tc>
          <w:tcPr>
            <w:tcW w:w="0" w:type="dxa"/>
            <w:vAlign w:val="bottom"/>
          </w:tcPr>
          <w:p>
            <w:pPr>
              <w:spacing w:after="0"/>
              <w:rPr>
                <w:sz w:val="1"/>
                <w:szCs w:val="1"/>
                <w:color w:val="auto"/>
              </w:rPr>
            </w:pPr>
          </w:p>
        </w:tc>
      </w:tr>
      <w:tr>
        <w:trPr>
          <w:trHeight w:val="228"/>
        </w:trPr>
        <w:tc>
          <w:tcPr>
            <w:tcW w:w="1640" w:type="dxa"/>
            <w:vAlign w:val="bottom"/>
          </w:tcPr>
          <w:p>
            <w:pPr>
              <w:ind w:left="200"/>
              <w:spacing w:after="0"/>
              <w:rPr>
                <w:sz w:val="20"/>
                <w:szCs w:val="20"/>
                <w:color w:val="auto"/>
              </w:rPr>
            </w:pPr>
            <w:r>
              <w:rPr>
                <w:rFonts w:ascii="Arial" w:cs="Arial" w:eastAsia="Arial" w:hAnsi="Arial"/>
                <w:sz w:val="18"/>
                <w:szCs w:val="18"/>
                <w:color w:val="auto"/>
              </w:rPr>
              <w:t>Coastal</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0"/>
              <w:spacing w:after="0"/>
              <w:rPr>
                <w:sz w:val="20"/>
                <w:szCs w:val="20"/>
                <w:color w:val="auto"/>
              </w:rPr>
            </w:pPr>
            <w:r>
              <w:rPr>
                <w:rFonts w:ascii="Arial" w:cs="Arial" w:eastAsia="Arial" w:hAnsi="Arial"/>
                <w:sz w:val="18"/>
                <w:szCs w:val="18"/>
                <w:color w:val="auto"/>
              </w:rPr>
              <w:t>protection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25.2 %</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107,795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117,036</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1640" w:type="dxa"/>
            <w:vAlign w:val="bottom"/>
          </w:tcPr>
          <w:p>
            <w:pPr>
              <w:ind w:left="20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35,809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12,648</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183.1 %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107,737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32,460</w:t>
            </w:r>
          </w:p>
        </w:tc>
        <w:tc>
          <w:tcPr>
            <w:tcW w:w="22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231.9 %</w:t>
            </w:r>
          </w:p>
        </w:tc>
        <w:tc>
          <w:tcPr>
            <w:tcW w:w="0" w:type="dxa"/>
            <w:vAlign w:val="bottom"/>
          </w:tcPr>
          <w:p>
            <w:pPr>
              <w:spacing w:after="0"/>
              <w:rPr>
                <w:sz w:val="1"/>
                <w:szCs w:val="1"/>
                <w:color w:val="auto"/>
              </w:rPr>
            </w:pPr>
          </w:p>
        </w:tc>
      </w:tr>
      <w:tr>
        <w:trPr>
          <w:trHeight w:val="243"/>
        </w:trPr>
        <w:tc>
          <w:tcPr>
            <w:tcW w:w="1640" w:type="dxa"/>
            <w:vAlign w:val="bottom"/>
          </w:tcPr>
          <w:p>
            <w:pPr>
              <w:ind w:left="200"/>
              <w:spacing w:after="0"/>
              <w:rPr>
                <w:sz w:val="20"/>
                <w:szCs w:val="20"/>
                <w:color w:val="auto"/>
              </w:rPr>
            </w:pPr>
            <w:r>
              <w:rPr>
                <w:rFonts w:ascii="Arial" w:cs="Arial" w:eastAsia="Arial" w:hAnsi="Arial"/>
                <w:sz w:val="18"/>
                <w:szCs w:val="18"/>
                <w:color w:val="auto"/>
              </w:rPr>
              <w:t>Rivers &amp; lakes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12.3 %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3,577</w:t>
            </w:r>
          </w:p>
        </w:tc>
        <w:tc>
          <w:tcPr>
            <w:tcW w:w="22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7"/>
        </w:trPr>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132,667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149,428</w:t>
            </w:r>
          </w:p>
        </w:tc>
        <w:tc>
          <w:tcPr>
            <w:tcW w:w="22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color w:val="auto"/>
                <w:highlight w:val="white"/>
              </w:rPr>
              <w:t>)</w:t>
            </w: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290,711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343,777</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-788035</wp:posOffset>
            </wp:positionV>
            <wp:extent cx="5709285"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9285" cy="29146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-342265</wp:posOffset>
            </wp:positionV>
            <wp:extent cx="5709285" cy="342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9285" cy="342900"/>
                    </a:xfrm>
                    <a:prstGeom prst="rect">
                      <a:avLst/>
                    </a:prstGeom>
                    <a:noFill/>
                  </pic:spPr>
                </pic:pic>
              </a:graphicData>
            </a:graphic>
          </wp:anchor>
        </w:drawing>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Total revenue was $132.7 million for the three months ended June 30, 2023, down $16.7 million, or 11%, from $149.4 million for the same period in the prior year. For the three months ended June 30, 2023, the Company experienced a decrease in domestic capital project revenue as compared to the same period in the prior year. This decrease was partially offset by an increase in maintenance and coastal protection revenue during the second quarter of 2023 as compared to the same period in the prior year. For the six months ended June 30, 2023, total revenue was $290.7 million, down from revenue of $343.8 million for the same period in the prior year, representing a decrease of $53.1 million or 15%. For the six months ended June 30, 2023, the Company experienced a decrease in domestic capital and coastal protection project revenue as compared to the same period in the prior year. This decrease was partially offset by an increase in maintenance revenues during the current period as compared to the same period in the prior year.</w:t>
      </w:r>
    </w:p>
    <w:p>
      <w:pPr>
        <w:spacing w:after="0" w:line="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June 30, 2023, domestic capital dredging revenue was $38.2 million, down $51.5 million, or 58%, compared to $89.7 million for the same period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spacing w:after="0" w:line="293" w:lineRule="auto"/>
        <w:rPr>
          <w:sz w:val="20"/>
          <w:szCs w:val="20"/>
          <w:color w:val="auto"/>
        </w:rPr>
      </w:pPr>
      <w:r>
        <w:rPr>
          <w:rFonts w:ascii="Arial" w:cs="Arial" w:eastAsia="Arial" w:hAnsi="Arial"/>
          <w:sz w:val="16"/>
          <w:szCs w:val="16"/>
          <w:color w:val="auto"/>
        </w:rPr>
        <w:t>2022. The decrease in capital dredging revenues for the three months ended June 30, 2023 was mostly due to a lower amount of revenue earned on projects in Massachusetts, Florida, South Carolina, Louisiana and Alabama in the second quarter of 2023 when compared to the same period in the prior year. For the six months ended June 30, 2023, domestic capital revenue was $70.6 million compared to $190.7 million for the same period in 2022, representing a decrease of $120.1 million, or 63%. The decrease in capital dredging revenues for the six months ended June 30, 2023 was mostly due to a lower amount of revenue earned on projects in Massachusetts, Florida, South Carolina, Louisiana, New Hampshire and Alabama in the current year period when compared to the prior year. This decrease was slightly offset by increased revenue earned on projects in Texas and Virginia in the current year.</w:t>
      </w:r>
    </w:p>
    <w:p>
      <w:pPr>
        <w:spacing w:after="0" w:line="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Coastal protection projects involve moving sand from the ocean floor to shoreline locations where erosion threatens shoreline assets. Coastal protection revenue for the quarter ended June 30, 2023 was $56.5 million, an increase of $11.4 million, or 25%, compared to $45.1 million in the prior year period. The increase in coastal protection revenues for the three months ended June 30, 2023 was mostly attributable to a greater amount of revenue earned on projects in New York and New Jersey in the current year period when compared to the prior year. This increase was partially offset by revenue earned on projects in North Carolina in the prior year quarter. Coastal protection revenue for the six months ended June 30, 2023 was $107.8 million, representing a decrease of $9.2 million or 8%, from $117.0 million for the same period in 2022. The increase in coastal protection revenues for the six months ended June 30, 2023 was mostly due to less revenue earned on projects in North Carolina and Florida in the current year. This decrease was offset partially by a greater amount of revenue earned on projects in New York and New Jersey in the current year period when compared to the prior year.</w:t>
      </w:r>
    </w:p>
    <w:p>
      <w:pPr>
        <w:spacing w:after="0" w:line="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2023 was $35.8 million, up $23.2 million, or 183%, from $12.6 million in the same period of 2022. The increase in maintenance revenues for the three months ended June 30, 2023 was mostly attributable to an increase in revenue earned on projects in North Carolina, Alabama, Louisiana, and Texas when compared with prior year quarter. This increase was slightly offset by a decrease in revenue earned on projects in Georgia in the current year quarter. Maintenance revenue for the six months ended June 30, 2023 was $107.7 million, an increase of $75.2 million, or 232%, compared to $32.5 million for the comparable period in the prior year. The increase in maintenance revenues for the six months ended June 30, 2023 was mostly due to a higher amount of revenue earned on projects in New York, New Jersey, Florida, Georgia, North and South Carolina, Alabama, Texas, and Mississippi in the current year period when compared to the prior year. This decrease was slightly offset by less revenue earned on projects in Louisiana in the current year.</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second quarter of 2023, rivers &amp; lakes revenue was $2.2 million, an increase of $0.2 million, or 12%, from $2.0 million during the same period of 2022. Rivers &amp; lakes revenue for the six months ended June 30, 2023 was $4.5 million, up $0.9 million</w:t>
      </w:r>
      <w:r>
        <w:rPr>
          <w:rFonts w:ascii="Arial" w:cs="Arial" w:eastAsia="Arial" w:hAnsi="Arial"/>
          <w:sz w:val="17"/>
          <w:szCs w:val="17"/>
          <w:color w:val="4F81BD"/>
        </w:rPr>
        <w:t>,</w:t>
      </w:r>
      <w:r>
        <w:rPr>
          <w:rFonts w:ascii="Arial" w:cs="Arial" w:eastAsia="Arial" w:hAnsi="Arial"/>
          <w:sz w:val="17"/>
          <w:szCs w:val="17"/>
          <w:color w:val="auto"/>
        </w:rPr>
        <w:t xml:space="preserve"> or 27%, from $3.6 million for the same period in the prior year. The increase in river &amp; lakes revenue for the three and six months ended June 30, 2023 was mostly attributable to an increase in revenue earned on projects in Arkansas and Tennessee in the current year. This increase was partially offset by revenue earned on a project in Mississippi in the prior year.</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Consolidated gross profit for the quarter ended June 30, 2023 was $17.9 million, up $7.4 million, or 70%, compared to $10.5 million in same period of 2022. The higher gross profit experienced for the three months ended June 30, 2023 was driven by fewer vessels in drydock, and lower vessel maintenance costs as compared to the prior year quarter. In addition, the Company recorded a $2.4 million benefit in cost of contract revenues related to a legal settlement on a previously completed and closed project. Consolidated gross profit for the six months ended June 30, 2023 was $30.0 million, down $13.5 million, or 31%, compared to $43.5 million in the same period of the prior year. Gross profit margin for the six months ended June 30, 2023 was down to 10.3% from 12.7% in the same period in the prior year. The lower gross profit experienced for the six months ended June 30, 2023 was driven by lower revenue and fewer higher margin domestic capital projects.</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six months ended June 30, 2023, general and administrative expenses were $14.5 million and $27.5 million, respectively, compared to the same periods in the prior year in which the three and six months totaled $10.8 million and $25.4 million, respectively. For the three and six months ended June 30, 2023, general and administrative expenses include higher incentive pay and profit sharing, higher office rent due to the expansion of our Houston headquarters, offset partially by lower office, legal and recruiting expense.</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income for the second quarter of 2023 was $3.7 million, up $4.0 million compared to an operating loss of $0.3 million for the same quarter in 2022. The increase in operating income for the three months ended June 30, 2023 was a result of higher gross profit in the current year when compared to the same period in the prior year, partially offset by higher general and administrative expenses in the current quarter when compared to the same period in the prior year. Operating income for the six months ended June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30, 2023 was $2.8 million, down $15.6 million from operating income of $18.4 million in the same period of the prior year. The decrease in operating income for the six months ended June 30, 2023 was a result of lower gross profit in the first half of 2023.</w:t>
      </w:r>
    </w:p>
    <w:p>
      <w:pPr>
        <w:spacing w:after="0" w:line="10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For the three months ended June 30, 2023, net interest expense was $3.2 million, $0.2 million lower compared to $3.4 million for the same period in the prior year. Net interest expense for the six months ended June 30, 2023 was $6.6 million, $0.8 million lower compared with $7.4 million for the same period in the prior year. The decrease in net interest expense for the three and six months ended June 30, 2023 was primarily due to an increase in capitalized interest due to the new build program, offset partially by current year revolver interest expense.</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tax provision for the three months ended June 30, 2023 was $0.8 million compared to an income tax benefit of $0.9 million for the same period in the prior year. For the six months ended June 30, 2023, the Company had negligible income tax provision and in the prior year period had an income tax provision of $2.4 million. The effective tax rate for the six months ended June 30, 2023 was nearly zero, as compared to the effective tax rate of 25.7% for the same period of 2022. The low income tax rate incurred in 2023 was primarily due to near break-even net loss offset by lower deductions for stock compensation.</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Net income for the quarter ended June 30, 2023 was $1.7 million, up $5.7 million from a net loss of $4.0 million in the same quarter in the prior year. Diluted earnings per share was $0.03 for the three months ended June 30, 2023, compared to $0.06 of diluted losses for the three months ended June 30, 2022. The increase in net income for the three months ended June 30, 2023 was primarily due to the increase in gross profit in the current year quarter, partially offset by an increase in general and administrative expense and income tax provision. Net loss for the six months ended June 30, 2023 was $1.5 million, a decrease of $8.5 million, or 121%, from net income of $7.0 million for the same period in the prior year. Diluted losses per share were $0.02 for the six months ended June 30, 2023, compared to a $0.11 of diluted earnings per share for the six months ended June 30, 2022. The decrease in net income for six months ended June 30, 2023 was driven by the substantial decrease to revenue and gross margin, and the increase to general and administrative expense. This decrease was slightly offset by an increase in other income related to a legal settlement on previously disposed business.</w:t>
      </w:r>
    </w:p>
    <w:p>
      <w:pPr>
        <w:spacing w:after="0" w:line="9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Adjusted EBITDA (as defined on page 18) for the quarter ended June 30, 2023 was $16.6 million, up $6.4 million, from $10.2 million in the same quarter in the prior year. The increase in Adjusted EBITDA during the second quarter of 2023 was driven by the increase in gross profit, excluding depreciation partially offset by an increase in general and administrative expense. For the six months ended June 30, 2023 Adjusted EBITDA was $26.9 million, a decrease of $12.9 million, or 32%, from $39.8 million during the same period in the prior year. The decrease in Adjusted EBITDA during the first six months of 2023 was driven primarily by the decrease in gross profit, excluding depreciation.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jc w:val="right"/>
              <w:ind w:right="755"/>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r>
      <w:tr>
        <w:trPr>
          <w:trHeight w:val="185"/>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Backlog (in thousands)</w:t>
            </w:r>
          </w:p>
        </w:tc>
        <w:tc>
          <w:tcPr>
            <w:tcW w:w="1500" w:type="dxa"/>
            <w:vAlign w:val="bottom"/>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6"/>
                <w:szCs w:val="16"/>
                <w:color w:val="auto"/>
              </w:rPr>
            </w:pPr>
          </w:p>
        </w:tc>
        <w:tc>
          <w:tcPr>
            <w:tcW w:w="19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ind w:right="8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Dredging:</w:t>
            </w:r>
          </w:p>
        </w:tc>
        <w:tc>
          <w:tcPr>
            <w:tcW w:w="1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3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 U.S.</w:t>
            </w:r>
          </w:p>
        </w:tc>
        <w:tc>
          <w:tcPr>
            <w:tcW w:w="150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243,646</w:t>
            </w:r>
          </w:p>
        </w:tc>
        <w:tc>
          <w:tcPr>
            <w:tcW w:w="1980" w:type="dxa"/>
            <w:vAlign w:val="bottom"/>
            <w:gridSpan w:val="2"/>
            <w:shd w:val="clear" w:color="auto" w:fill="CFF0FC"/>
          </w:tcPr>
          <w:p>
            <w:pPr>
              <w:jc w:val="right"/>
              <w:ind w:right="139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148,429</w:t>
            </w:r>
          </w:p>
        </w:tc>
        <w:tc>
          <w:tcPr>
            <w:tcW w:w="9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246,042</w:t>
            </w:r>
          </w:p>
        </w:tc>
        <w:tc>
          <w:tcPr>
            <w:tcW w:w="140" w:type="dxa"/>
            <w:vAlign w:val="bottom"/>
            <w:shd w:val="clear" w:color="auto" w:fill="CFF0FC"/>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8"/>
                <w:szCs w:val="18"/>
                <w:color w:val="auto"/>
              </w:rPr>
              <w:t>Coastal protection</w:t>
            </w:r>
          </w:p>
        </w:tc>
        <w:tc>
          <w:tcPr>
            <w:tcW w:w="1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34,835</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97,819</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76,978</w:t>
            </w:r>
          </w:p>
        </w:tc>
        <w:tc>
          <w:tcPr>
            <w:tcW w:w="140" w:type="dxa"/>
            <w:vAlign w:val="bottom"/>
          </w:tcPr>
          <w:p>
            <w:pPr>
              <w:spacing w:after="0"/>
              <w:rPr>
                <w:sz w:val="20"/>
                <w:szCs w:val="20"/>
                <w:color w:val="auto"/>
              </w:rPr>
            </w:pPr>
          </w:p>
        </w:tc>
      </w:tr>
      <w:tr>
        <w:trPr>
          <w:trHeight w:val="249"/>
        </w:trPr>
        <w:tc>
          <w:tcPr>
            <w:tcW w:w="3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Maintenance</w:t>
            </w:r>
          </w:p>
        </w:tc>
        <w:tc>
          <w:tcPr>
            <w:tcW w:w="15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147,143</w:t>
            </w: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125,671</w:t>
            </w:r>
          </w:p>
        </w:tc>
        <w:tc>
          <w:tcPr>
            <w:tcW w:w="4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43,561</w:t>
            </w:r>
          </w:p>
        </w:tc>
        <w:tc>
          <w:tcPr>
            <w:tcW w:w="140" w:type="dxa"/>
            <w:vAlign w:val="bottom"/>
            <w:shd w:val="clear" w:color="auto" w:fill="CFF0FC"/>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8"/>
                <w:szCs w:val="18"/>
                <w:color w:val="auto"/>
              </w:rPr>
              <w:t>Rivers &amp; lakes</w:t>
            </w:r>
          </w:p>
        </w:tc>
        <w:tc>
          <w:tcPr>
            <w:tcW w:w="1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4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40" w:type="dxa"/>
            <w:vAlign w:val="bottom"/>
          </w:tcPr>
          <w:p>
            <w:pPr>
              <w:spacing w:after="0"/>
              <w:rPr>
                <w:sz w:val="20"/>
                <w:szCs w:val="20"/>
                <w:color w:val="auto"/>
              </w:rPr>
            </w:pPr>
          </w:p>
        </w:tc>
      </w:tr>
      <w:tr>
        <w:trPr>
          <w:trHeight w:val="276"/>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backlog</w:t>
            </w:r>
          </w:p>
        </w:tc>
        <w:tc>
          <w:tcPr>
            <w:tcW w:w="1500" w:type="dxa"/>
            <w:vAlign w:val="bottom"/>
            <w:tcBorders>
              <w:bottom w:val="single" w:sz="8" w:color="auto"/>
            </w:tcBorders>
            <w:shd w:val="clear" w:color="auto" w:fill="CFF0FC"/>
          </w:tcPr>
          <w:p>
            <w:pPr>
              <w:jc w:val="right"/>
              <w:ind w:right="13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434,555</w:t>
            </w:r>
          </w:p>
        </w:tc>
        <w:tc>
          <w:tcPr>
            <w:tcW w:w="4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ind w:right="13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377,140</w:t>
            </w:r>
          </w:p>
        </w:tc>
        <w:tc>
          <w:tcPr>
            <w:tcW w:w="4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373,801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total dredging backlog above does not include approximately $487.3 million of low bid pending or $50 million of performance obligations related to offshore wind contracts. The Company expects to perform on its offshore wind contracts using the inclined fall-pipe vessel for subsea rock installation which is expected to be delivered and operational in 2025.</w:t>
      </w:r>
    </w:p>
    <w:p>
      <w:pPr>
        <w:spacing w:after="0" w:line="1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61% of the Company’s June 30, 2023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240"/>
        <w:spacing w:after="0" w:line="272" w:lineRule="auto"/>
        <w:rPr>
          <w:sz w:val="20"/>
          <w:szCs w:val="20"/>
          <w:color w:val="auto"/>
        </w:rPr>
      </w:pPr>
      <w:r>
        <w:rPr>
          <w:rFonts w:ascii="Arial" w:cs="Arial" w:eastAsia="Arial" w:hAnsi="Arial"/>
          <w:sz w:val="17"/>
          <w:szCs w:val="17"/>
          <w:color w:val="auto"/>
        </w:rPr>
        <w:t>On December 29, 2022, the Omnibus Appropriations Bill for fiscal year 2023 was signed into law which included another record budget of $8.66 billion for the Corps civil works program of which $2.32 billion is provided for the Harbor Maintenance Trust Fund ("HMTF") to maintain and modernize our nation’s waterways. In addition, the Disaster Relief Supplemental Appropriations Act for fiscal year 2023 was approved which included $1.48 billion for the Corps to make necessary repairs to infrastructure impacted by hurricanes and other natural disasters and to initiate beach renourishment projects that will increase coastal resiliency. Some related projects for beach renourishment have come to bid and the Company expect to see additional beach renourishment work in the second half of the year. This increased budget and additional funding has resulted in a strong bid market in the first half 2023, which the Company expect will continue for the remainder of the year.</w:t>
      </w:r>
    </w:p>
    <w:p>
      <w:pPr>
        <w:spacing w:after="0" w:line="1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expects the budgeted appropriations to support the funding of several previously delayed capital port improvement projects including Sabine, Houston, Corpus Christi, and additional phases of Norfolk that are still expected to bid before the end of 2023.</w:t>
      </w:r>
    </w:p>
    <w:p>
      <w:pPr>
        <w:spacing w:after="0" w:line="6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March 2023, President Biden released the President’s Fiscal Year 2024 executive budget. The proposed amount for the Corps targets $7.4 billion, which is a record amount for a President's budget. In June 2023, the House proposed an increased 2024 budget of $9.6 billion for the Corps’, which is $910 million above fiscal year 2023 and includes $2.7 billion for the HMTF and $1.5 billion for flood and storm damage reduction. In July 2023, the budget passed the Senate Committee on Appropriations which targets $8.9 billion for the Corps. This will move to the Senate floor for further deliberation and consideration. This proposed budget is expected to provide for a strong 2024 bid market.</w:t>
      </w:r>
    </w:p>
    <w:p>
      <w:pPr>
        <w:spacing w:after="0" w:line="10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At the end of 2022, the Water Resources Development Act of 2022, or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estimated at $6 billion, as well as the Coastal Texas Protection and Restoration Program, estimated at $34.4 billion which includes dune and marsh restoration to safeguard the Texas Gulf Coast from hurricane surges. In addition, this legislation includes policy changes that will allow future port, waterways, and coastal projects to be more readily approved and funded.</w:t>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domestic dredging bid market for the quarter ended June 30, 2023 was $607.3 million, a $330.7 million decrease compared to the same period in the prior year. Total domestic dredging bid market for the current year period included awards for four domestic capital projects in Florida, Virginia, and Texas, two coastal protection projects in Florida and Philadelphia, twelve coastal protection projects in Texas, Louisiana, Baltimore, New York, Baltimore, Georgia and Philadelphia, and river maintenance projects in Louisiana and Texas. The total domestic bid market through June 30, 2023 was $930.4 million, of which the Company won 33.6%, comparable to the Company’s prior three-year average of 34.9%. Variability in contract wins from quarter to quarter is not unusual and one quarter’s win rate is generally not indicative of the win rate the Company is likely to achieve for a full year.</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contracted dredging backlog was $434.6 million at June 30, 2023 compared to $377.1 million of dredging backlog at December 31, 2022. These amounts do not reflect approximately $487.3 million of domestic low bids pending formal award and additional phases (“options”) pending on projects currently in dredging backlog at June 30, 2023. At December 31, 2022, the amount of domestic low bids and options pending award was $584.7 million. Included in the low bids pending are two liquefied natural gas ("LNG") projects that have been awaiting Notice to Proceed from the Company's clients. In July 2023, the Company received Notice to Proceed on the Rio Grande LNG project, which will now be the largest project undertaken in its history. Work on this project is anticipated to start later this year.</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Domestic capital dredging backlog at June 30, 2023 increased by $95.2 million from December 31, 2022. In the three months ended June 30, 2023, the Company was awarded three domestic capital dredging projects in Texas and Florida totaling $175.4 million. During the six months ended June 30, 2023, the Company continued to earn revenue on deepening projects in Virginia and Texas, and multiple coastal restoration projects in Louisiana. Government funded projects coming into the pipeline include the Norfolk Harbor deepening, as well as additional phase of Corpus Christi.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Coastal protection dredging backlog at June 30, 2023 decreased $63.0 million from December 31, 2022. During the six months ended June 30, 2023, the Company continued to earn revenue on coastal protection projects in New Jersey, New York, Virginia, and North Carolina, which were in dredging backlog at December 31, 2022.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80"/>
        <w:spacing w:after="0" w:line="255" w:lineRule="auto"/>
        <w:rPr>
          <w:sz w:val="20"/>
          <w:szCs w:val="20"/>
          <w:color w:val="auto"/>
        </w:rPr>
      </w:pPr>
      <w:r>
        <w:rPr>
          <w:rFonts w:ascii="Arial" w:cs="Arial" w:eastAsia="Arial" w:hAnsi="Arial"/>
          <w:sz w:val="18"/>
          <w:szCs w:val="18"/>
          <w:color w:val="auto"/>
        </w:rPr>
        <w:t>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Maintenance dredging backlog at June 30, 2023 increased $21.5 million from December 31, 2022. In the three months ended June 30, 2023, the Company was awarded one maintenance project of $34.6 million in Texas. During the six months ended June 30, 2023, the Company continued to earn revenue on projects in Louisiana, Georgia, South and North Carolina, Florida, and Texas that were in dredging backlog at December 31, 2022.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Rivers &amp; lakes backlog at June 30, 2023 increased $3.7 million compared to rivers &amp; lakes backlog at December 31, 2022. For the six months ended June 30, 2023, the Company continued to earn revenue on projects in Tennessee and Arkansas which were in dredging backlog at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cash provided by operating activities for the six months ended June 30, 2023 and 2022 was $34.1 million and $0.8 million, respectively. Normal increases or decreases in the level of working capital relative to the level of operational activity impact cash flow from operating activities. The increase in cash provided by operating activities during the six months ended June 30, 2023, compared to the same period in the prior year, relates primarily to the changes in working capital, including the increased cash collected for billing in excess of contract revenue, increased cash inflow due to the decrease of contract revenue in excess of billing in the current year compared to an increase in prior year, offset partially by the increase in cash paid for accounts payables and accrued expenses.</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cash flows used in investing activities for the six months ended June 30, 2023 and 2022 were $53.6 million and $69.6 million, respectively. Investing activities primarily relate to normal course upgrades and capital maintenance of the Company’s dredging fleet. The Company is currently building a 6,500 cubic yard trailing suction hopper dredge, the </w:t>
      </w:r>
      <w:r>
        <w:rPr>
          <w:rFonts w:ascii="Arial" w:cs="Arial" w:eastAsia="Arial" w:hAnsi="Arial"/>
          <w:sz w:val="17"/>
          <w:szCs w:val="17"/>
          <w:i w:val="1"/>
          <w:iCs w:val="1"/>
          <w:color w:val="auto"/>
        </w:rPr>
        <w:t>Galveston Island</w:t>
      </w:r>
      <w:r>
        <w:rPr>
          <w:rFonts w:ascii="Arial" w:cs="Arial" w:eastAsia="Arial" w:hAnsi="Arial"/>
          <w:sz w:val="17"/>
          <w:szCs w:val="17"/>
          <w:color w:val="auto"/>
        </w:rPr>
        <w:t xml:space="preserve">, which is expected to be operational in the second half of 2023, additionally, in June 2022 the Company exercised the contract option with the same builder to build a second 6,500 cubic yard trailing suction hopper dredge, the </w:t>
      </w:r>
      <w:r>
        <w:rPr>
          <w:rFonts w:ascii="Arial" w:cs="Arial" w:eastAsia="Arial" w:hAnsi="Arial"/>
          <w:sz w:val="17"/>
          <w:szCs w:val="17"/>
          <w:i w:val="1"/>
          <w:iCs w:val="1"/>
          <w:color w:val="auto"/>
        </w:rPr>
        <w:t>Amelia Island</w:t>
      </w:r>
      <w:r>
        <w:rPr>
          <w:rFonts w:ascii="Arial" w:cs="Arial" w:eastAsia="Arial" w:hAnsi="Arial"/>
          <w:sz w:val="17"/>
          <w:szCs w:val="17"/>
          <w:color w:val="auto"/>
        </w:rPr>
        <w:t xml:space="preserve">, with expected delivery in 2025. The delivery of the new </w:t>
      </w:r>
      <w:r>
        <w:rPr>
          <w:rFonts w:ascii="Arial" w:cs="Arial" w:eastAsia="Arial" w:hAnsi="Arial"/>
          <w:sz w:val="17"/>
          <w:szCs w:val="17"/>
          <w:i w:val="1"/>
          <w:iCs w:val="1"/>
          <w:color w:val="auto"/>
        </w:rPr>
        <w:t>Galveston Island</w:t>
      </w:r>
      <w:r>
        <w:rPr>
          <w:rFonts w:ascii="Arial" w:cs="Arial" w:eastAsia="Arial" w:hAnsi="Arial"/>
          <w:sz w:val="17"/>
          <w:szCs w:val="17"/>
          <w:color w:val="auto"/>
        </w:rPr>
        <w:t xml:space="preserve"> hopper dredge will provide the Company with added capacity and the opportunity to potentially retire some older dredges. In November 2021, the Company entered into a $197 million contract with Philly Shipyard Inc. to build the first U.S. flagged Jones Act compliant, inclined fall-pipe vessel for subsea rock installation for wind turbine foundations to support the new U.S. offshore wind industry, the </w:t>
      </w:r>
      <w:r>
        <w:rPr>
          <w:rFonts w:ascii="Arial" w:cs="Arial" w:eastAsia="Arial" w:hAnsi="Arial"/>
          <w:sz w:val="17"/>
          <w:szCs w:val="17"/>
          <w:i w:val="1"/>
          <w:iCs w:val="1"/>
          <w:color w:val="auto"/>
        </w:rPr>
        <w:t>Acadia</w:t>
      </w:r>
      <w:r>
        <w:rPr>
          <w:rFonts w:ascii="Arial" w:cs="Arial" w:eastAsia="Arial" w:hAnsi="Arial"/>
          <w:sz w:val="17"/>
          <w:szCs w:val="17"/>
          <w:color w:val="auto"/>
        </w:rPr>
        <w:t xml:space="preserve">, which is expected to be delivered and operational in 2025. In July 2021, the Company announced a contract to build two multifunctional all-purpose vessels (“multicats”) with expected delivery in the third quarter of 2023. During the six months ended June 30, 2023, the Company invested $11.7 million in the </w:t>
      </w:r>
      <w:r>
        <w:rPr>
          <w:rFonts w:ascii="Arial" w:cs="Arial" w:eastAsia="Arial" w:hAnsi="Arial"/>
          <w:sz w:val="17"/>
          <w:szCs w:val="17"/>
          <w:i w:val="1"/>
          <w:iCs w:val="1"/>
          <w:color w:val="auto"/>
        </w:rPr>
        <w:t>Galveston Island</w:t>
      </w:r>
      <w:r>
        <w:rPr>
          <w:rFonts w:ascii="Arial" w:cs="Arial" w:eastAsia="Arial" w:hAnsi="Arial"/>
          <w:sz w:val="17"/>
          <w:szCs w:val="17"/>
          <w:color w:val="auto"/>
        </w:rPr>
        <w:t xml:space="preserve">, $22.9 million in the </w:t>
      </w:r>
      <w:r>
        <w:rPr>
          <w:rFonts w:ascii="Arial" w:cs="Arial" w:eastAsia="Arial" w:hAnsi="Arial"/>
          <w:sz w:val="17"/>
          <w:szCs w:val="17"/>
          <w:i w:val="1"/>
          <w:iCs w:val="1"/>
          <w:color w:val="auto"/>
        </w:rPr>
        <w:t>Amelia Island</w:t>
      </w:r>
      <w:r>
        <w:rPr>
          <w:rFonts w:ascii="Arial" w:cs="Arial" w:eastAsia="Arial" w:hAnsi="Arial"/>
          <w:sz w:val="17"/>
          <w:szCs w:val="17"/>
          <w:color w:val="auto"/>
        </w:rPr>
        <w:t xml:space="preserve">, $5.3 million in the </w:t>
      </w:r>
      <w:r>
        <w:rPr>
          <w:rFonts w:ascii="Arial" w:cs="Arial" w:eastAsia="Arial" w:hAnsi="Arial"/>
          <w:sz w:val="17"/>
          <w:szCs w:val="17"/>
          <w:i w:val="1"/>
          <w:iCs w:val="1"/>
          <w:color w:val="auto"/>
        </w:rPr>
        <w:t>Acadia</w:t>
      </w:r>
      <w:r>
        <w:rPr>
          <w:rFonts w:ascii="Arial" w:cs="Arial" w:eastAsia="Arial" w:hAnsi="Arial"/>
          <w:sz w:val="17"/>
          <w:szCs w:val="17"/>
          <w:color w:val="auto"/>
        </w:rPr>
        <w:t>, and $5.6 million in the multicats.</w:t>
      </w:r>
    </w:p>
    <w:p>
      <w:pPr>
        <w:spacing w:after="0" w:line="1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cash flows provided by (used in) financing activities for the six months ended June 30, 2023 and 2022 totaled proceeds of $55.0 million and a use of $1.2 million, respectively. The increase in net cash flows provided by financing activities is primarily due to net borrowings on the Company’s revolver during the first half of 2023 of $55 million, compared to zero net borrowings for the same period in the prior year.</w:t>
      </w:r>
    </w:p>
    <w:p>
      <w:pPr>
        <w:spacing w:after="0" w:line="8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expects to spend approximately $175 million on capital expenditures in 2023 which is comprised of vessels in our new build program and maintenance capital expenditures. In January 2023, the Company applied with the Maritime Administration or MARAD, which is a unit of the U.S. Department of Transportation, for Title XI financing. If approved, we could borrow a portion of the acquisition cost of the subsea rock installation vessel with repayment terms of up to 25 years at rates tied to U.S. Treasury rates. MARAD announced in 2022 that they want to facilitate more offshore wind construction and have designated vessels like our subsea rock installation ship, “Vessels of National Interest” which will prioritize our application for review and funding through Title XI. The review and approval process is currently ongoing. The Company anticipates that remaining new build program payments will be made with cash on hand, future cash flows generated from operations, revolver availability and potential new sources of financing.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and 2029 Notes. Additionally, refer to Note 8, Commitments and contingencies, in the Notes to Condensed Consolidated Financial Statements for discussion of the Company’s surety agreements.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2023, the Company’s corporate credit ratings were downgraded by S&amp;P Global Ratings and Moody’s Investors Service to CCC+ and B2, respectively. In addition, both firms placed the Company’s credit rating on a negative outlook. These credit ratings continue to be below investment grade and could adversely affect its ability to renew the existing credit facility, obtain access to new credit facilities or otherwise issue debt in the future and could increase the cost of such debt.</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2022 Consolidated Financial Statements included in the Company’s Annual Report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market risk of the Company’s financial instruments as of June 30, 2023 has not materially changed since December 31, 2022. The market risk profile of the Company on December 31, 2022 is disclosed in Item 7A. “Quantitative and Qualitative Disclosures about Market Risk” of the Company’s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 2023.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2023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2023 that have materially affected, or are reasonably likely to materially affect, our internal control over financial reporting.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4" w:name="page25"/>
    <w:bookmarkEnd w:id="24"/>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2023 to the risk factors previously disclosed in Item 1A. “Risk Factors” in the Company’s Annual Report on Form 10-K for the year ended December 31,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b w:val="1"/>
                <w:bCs w:val="1"/>
                <w:color w:val="auto"/>
              </w:rPr>
              <w:t>Document Description</w:t>
            </w:r>
          </w:p>
        </w:tc>
      </w:tr>
      <w:tr>
        <w:trPr>
          <w:trHeight w:val="257"/>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 the</w:t>
            </w:r>
          </w:p>
        </w:tc>
        <w:tc>
          <w:tcPr>
            <w:tcW w:w="36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Sarbanes-Oxley Act of 2002. *</w:t>
            </w:r>
          </w:p>
        </w:tc>
        <w:tc>
          <w:tcPr>
            <w:tcW w:w="8040" w:type="dxa"/>
            <w:vAlign w:val="bottom"/>
            <w:gridSpan w:val="3"/>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 the</w:t>
            </w:r>
          </w:p>
        </w:tc>
        <w:tc>
          <w:tcPr>
            <w:tcW w:w="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Sarbanes-Oxley Act of 2002. *</w:t>
            </w:r>
          </w:p>
        </w:tc>
        <w:tc>
          <w:tcPr>
            <w:tcW w:w="8040" w:type="dxa"/>
            <w:vAlign w:val="bottom"/>
            <w:gridSpan w:val="3"/>
          </w:tcPr>
          <w:p>
            <w:pPr>
              <w:spacing w:after="0"/>
              <w:rPr>
                <w:sz w:val="17"/>
                <w:szCs w:val="17"/>
                <w:color w:val="auto"/>
              </w:rPr>
            </w:pPr>
          </w:p>
        </w:tc>
      </w:tr>
      <w:tr>
        <w:trPr>
          <w:trHeight w:val="372"/>
        </w:trPr>
        <w:tc>
          <w:tcPr>
            <w:tcW w:w="20" w:type="dxa"/>
            <w:vAlign w:val="bottom"/>
            <w:tcBorders>
              <w:bottom w:val="single" w:sz="8" w:color="0000EE"/>
            </w:tcBorders>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 906 of the Sarbanes-Oxley Act of 2002. **</w:t>
            </w:r>
          </w:p>
        </w:tc>
        <w:tc>
          <w:tcPr>
            <w:tcW w:w="1280" w:type="dxa"/>
            <w:vAlign w:val="bottom"/>
            <w:gridSpan w:val="2"/>
          </w:tcPr>
          <w:p>
            <w:pPr>
              <w:spacing w:after="0"/>
              <w:rPr>
                <w:sz w:val="24"/>
                <w:szCs w:val="24"/>
                <w:color w:val="auto"/>
              </w:rPr>
            </w:pPr>
          </w:p>
        </w:tc>
      </w:tr>
      <w:tr>
        <w:trPr>
          <w:trHeight w:val="372"/>
        </w:trPr>
        <w:tc>
          <w:tcPr>
            <w:tcW w:w="20" w:type="dxa"/>
            <w:vAlign w:val="bottom"/>
            <w:tcBorders>
              <w:bottom w:val="single" w:sz="8" w:color="0000EE"/>
            </w:tcBorders>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Pursuant to 18 U.S.C. Section 1350, as Adopted Pursuant to Section 906 of the Sarbanes-Oxley Act of 2002. **</w:t>
            </w:r>
          </w:p>
        </w:tc>
        <w:tc>
          <w:tcPr>
            <w:tcW w:w="1280" w:type="dxa"/>
            <w:vAlign w:val="bottom"/>
            <w:gridSpan w:val="2"/>
          </w:tcPr>
          <w:p>
            <w:pPr>
              <w:spacing w:after="0"/>
              <w:rPr>
                <w:sz w:val="24"/>
                <w:szCs w:val="24"/>
                <w:color w:val="auto"/>
              </w:rPr>
            </w:pPr>
          </w:p>
        </w:tc>
      </w:tr>
      <w:tr>
        <w:trPr>
          <w:trHeight w:val="398"/>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w w:val="92"/>
              </w:rPr>
              <w:t>Interactive Data Files pursuant to Rule 405 of Regulation S-T formatted in Inline Extensible Business Reporting Language ("Inline XBRL") *</w:t>
            </w:r>
          </w:p>
        </w:tc>
      </w:tr>
    </w:tbl>
    <w:p>
      <w:pPr>
        <w:spacing w:after="0" w:line="161" w:lineRule="exact"/>
        <w:rPr>
          <w:sz w:val="20"/>
          <w:szCs w:val="20"/>
          <w:color w:val="auto"/>
        </w:rPr>
      </w:pPr>
    </w:p>
    <w:p>
      <w:pPr>
        <w:ind w:right="3620" w:firstLine="21"/>
        <w:spacing w:after="0" w:line="493" w:lineRule="auto"/>
        <w:tabs>
          <w:tab w:leader="none" w:pos="9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 * Filed herewith</w:t>
      </w: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Great Lakes Dredge &amp; Dock Corporation</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62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K</w:t>
      </w:r>
      <w:r>
        <w:rPr>
          <w:rFonts w:ascii="Arial" w:cs="Arial" w:eastAsia="Arial" w:hAnsi="Arial"/>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23495</wp:posOffset>
            </wp:positionV>
            <wp:extent cx="25977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97785" cy="8255"/>
                    </a:xfrm>
                    <a:prstGeom prst="rect">
                      <a:avLst/>
                    </a:prstGeom>
                    <a:noFill/>
                  </pic:spPr>
                </pic:pic>
              </a:graphicData>
            </a:graphic>
          </wp:anchor>
        </w:drawing>
      </w:r>
    </w:p>
    <w:p>
      <w:pPr>
        <w:spacing w:after="0" w:line="31"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Scott Kornblau</w:t>
      </w:r>
    </w:p>
    <w:p>
      <w:pPr>
        <w:spacing w:after="0" w:line="26"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spacing w:after="0" w:line="26"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(Principal Financial Officer and Duly Authorized Officer)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2023,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2023</w:t>
      </w: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2023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41"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2023</w:t>
      </w: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7"/>
    </w:lvl>
  </w:abstractNum>
  <w:abstractNum w:abstractNumId="10">
    <w:nsid w:val="DED7263"/>
    <w:multiLevelType w:val="hybridMultilevel"/>
    <w:lvl w:ilvl="0">
      <w:lvlJc w:val="left"/>
      <w:lvlText w:val="%1."/>
      <w:numFmt w:val="decimal"/>
      <w:start w:val="8"/>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2023-08-01T15:06:49Z</dcterms:created>
  <dcterms:modified xsi:type="dcterms:W3CDTF">2023-08-01T15:06:49Z</dcterms:modified>
</cp:coreProperties>
</file>