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40" w:type="dxa"/>
            <w:vAlign w:val="bottom"/>
          </w:tcPr>
          <w:p>
            <w:pPr>
              <w:spacing w:after="0"/>
              <w:rPr>
                <w:sz w:val="24"/>
                <w:szCs w:val="24"/>
                <w:color w:val="auto"/>
              </w:rPr>
            </w:pPr>
          </w:p>
        </w:tc>
        <w:tc>
          <w:tcPr>
            <w:tcW w:w="5040" w:type="dxa"/>
            <w:vAlign w:val="bottom"/>
          </w:tcPr>
          <w:p>
            <w:pPr>
              <w:jc w:val="right"/>
              <w:ind w:right="284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40" w:type="dxa"/>
            <w:vAlign w:val="bottom"/>
          </w:tcPr>
          <w:p>
            <w:pPr>
              <w:spacing w:after="0"/>
              <w:rPr>
                <w:sz w:val="15"/>
                <w:szCs w:val="15"/>
                <w:color w:val="auto"/>
              </w:rPr>
            </w:pPr>
          </w:p>
        </w:tc>
        <w:tc>
          <w:tcPr>
            <w:tcW w:w="504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August 3, 2012, 59,220,422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2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1120" w:type="dxa"/>
            <w:vAlign w:val="bottom"/>
            <w:tcBorders>
              <w:top w:val="single" w:sz="8" w:color="0000EE"/>
            </w:tcBorders>
            <w:gridSpan w:val="3"/>
          </w:tcPr>
          <w:p>
            <w:pPr>
              <w:ind w:left="280"/>
              <w:spacing w:after="0"/>
              <w:rPr>
                <w:sz w:val="20"/>
                <w:szCs w:val="20"/>
                <w:color w:val="auto"/>
              </w:rPr>
            </w:pPr>
            <w:r>
              <w:rPr>
                <w:rFonts w:ascii="Arial" w:cs="Arial" w:eastAsia="Arial" w:hAnsi="Arial"/>
                <w:sz w:val="18"/>
                <w:szCs w:val="18"/>
                <w:color w:val="auto"/>
              </w:rPr>
              <w:t>Item 1</w:t>
            </w:r>
          </w:p>
        </w:tc>
        <w:tc>
          <w:tcPr>
            <w:tcW w:w="198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2012 and December 31,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and Six Months ended June 30, 2012 and 2011</w:t>
              </w:r>
            </w:hyperlink>
          </w:p>
        </w:tc>
        <w:tc>
          <w:tcPr>
            <w:tcW w:w="20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Comprehensive Income for the Three and Six Months ended June 30, 2012 and 2011</w:t>
              </w:r>
            </w:hyperlink>
          </w:p>
        </w:tc>
        <w:tc>
          <w:tcPr>
            <w:tcW w:w="1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Six Months ended June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6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 for the Six Months ended June 30, 2012 and 2011</w:t>
              </w:r>
            </w:hyperlink>
          </w:p>
        </w:tc>
        <w:tc>
          <w:tcPr>
            <w:tcW w:w="27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60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6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4</w:t>
            </w:r>
          </w:p>
        </w:tc>
        <w:tc>
          <w:tcPr>
            <w:tcW w:w="992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8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Part II Other Information</w:t>
              </w:r>
            </w:hyperlink>
          </w:p>
        </w:tc>
        <w:tc>
          <w:tcPr>
            <w:tcW w:w="90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6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Risk Factors</w:t>
              </w:r>
            </w:hyperlink>
          </w:p>
        </w:tc>
        <w:tc>
          <w:tcPr>
            <w:tcW w:w="90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Unregistered Sales of Equity Securities and Use of Proceeds</w:t>
              </w:r>
            </w:hyperlink>
          </w:p>
        </w:tc>
        <w:tc>
          <w:tcPr>
            <w:tcW w:w="56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3</w:t>
            </w:r>
          </w:p>
        </w:tc>
        <w:tc>
          <w:tcPr>
            <w:tcW w:w="992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6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2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80"/>
              <w:spacing w:after="0"/>
              <w:rPr>
                <w:sz w:val="20"/>
                <w:szCs w:val="20"/>
                <w:color w:val="auto"/>
              </w:rPr>
            </w:pPr>
            <w:r>
              <w:rPr>
                <w:rFonts w:ascii="Arial" w:cs="Arial" w:eastAsia="Arial" w:hAnsi="Arial"/>
                <w:sz w:val="18"/>
                <w:szCs w:val="18"/>
                <w:color w:val="auto"/>
              </w:rPr>
              <w:t>Item 6</w:t>
            </w:r>
          </w:p>
        </w:tc>
        <w:tc>
          <w:tcPr>
            <w:tcW w:w="992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37">
              <w:r>
                <w:rPr>
                  <w:rFonts w:ascii="Arial" w:cs="Arial" w:eastAsia="Arial" w:hAnsi="Arial"/>
                  <w:sz w:val="18"/>
                  <w:szCs w:val="18"/>
                  <w:b w:val="1"/>
                  <w:bCs w:val="1"/>
                  <w:color w:val="0000EE"/>
                  <w:w w:val="86"/>
                </w:rPr>
                <w:t>Signature</w:t>
              </w:r>
            </w:hyperlink>
          </w:p>
        </w:tc>
        <w:tc>
          <w:tcPr>
            <w:tcW w:w="38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Exhibit Index</w:t>
              </w:r>
            </w:hyperlink>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3"/>
          </w:tcPr>
          <w:p>
            <w:pPr>
              <w:ind w:left="456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June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112,897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48,696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326,205</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325,778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316,460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789,960</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130,786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130,526</w:t>
            </w:r>
          </w:p>
        </w:tc>
        <w:tc>
          <w:tcPr>
            <w:tcW w:w="0" w:type="dxa"/>
            <w:vAlign w:val="bottom"/>
          </w:tcPr>
          <w:p>
            <w:pPr>
              <w:spacing w:after="0"/>
              <w:rPr>
                <w:sz w:val="1"/>
                <w:szCs w:val="1"/>
                <w:color w:val="auto"/>
              </w:rPr>
            </w:pPr>
          </w:p>
        </w:tc>
      </w:tr>
      <w:tr>
        <w:trPr>
          <w:trHeight w:val="322"/>
        </w:trPr>
        <w:tc>
          <w:tcPr>
            <w:tcW w:w="9440" w:type="dxa"/>
            <w:vAlign w:val="bottom"/>
            <w:gridSpan w:val="2"/>
          </w:tcPr>
          <w:p>
            <w:pPr>
              <w:spacing w:after="0"/>
              <w:rPr>
                <w:sz w:val="20"/>
                <w:szCs w:val="20"/>
                <w:color w:val="auto"/>
              </w:rPr>
            </w:pPr>
            <w:r>
              <w:rPr>
                <w:rFonts w:ascii="Arial" w:cs="Arial" w:eastAsia="Arial" w:hAnsi="Arial"/>
                <w:sz w:val="18"/>
                <w:szCs w:val="18"/>
                <w:color w:val="auto"/>
              </w:rPr>
              <w:t>LONG TERM NOTE PAYABLE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494,359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495,923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stock—$.0001 par value; 90,000,000 authorized, 59,220,422 and 58,999,404 shares issued and outstanding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2012 and December 31, 2011,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269,613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295,373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291,969</w:t>
            </w:r>
          </w:p>
        </w:tc>
        <w:tc>
          <w:tcPr>
            <w:tcW w:w="0" w:type="dxa"/>
            <w:vAlign w:val="bottom"/>
          </w:tcPr>
          <w:p>
            <w:pPr>
              <w:spacing w:after="0"/>
              <w:rPr>
                <w:sz w:val="1"/>
                <w:szCs w:val="1"/>
                <w:color w:val="auto"/>
              </w:rPr>
            </w:pPr>
          </w:p>
        </w:tc>
      </w:tr>
      <w:tr>
        <w:trPr>
          <w:trHeight w:val="323"/>
        </w:trPr>
        <w:tc>
          <w:tcPr>
            <w:tcW w:w="94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295,601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292,537</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789,960</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321,439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142,643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135,193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277,528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263,089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25,711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1"/>
        </w:trPr>
        <w:tc>
          <w:tcPr>
            <w:tcW w:w="67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(10,861)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880"/>
              <w:spacing w:after="0"/>
              <w:rPr>
                <w:sz w:val="20"/>
                <w:szCs w:val="20"/>
                <w:color w:val="auto"/>
              </w:rPr>
            </w:pPr>
            <w:r>
              <w:rPr>
                <w:rFonts w:ascii="Arial" w:cs="Arial" w:eastAsia="Arial" w:hAnsi="Arial"/>
                <w:sz w:val="18"/>
                <w:szCs w:val="18"/>
                <w:color w:val="auto"/>
              </w:rPr>
              <w:t>Net (income) loss attributable to noncontrolling interests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40" w:type="dxa"/>
            <w:vAlign w:val="bottom"/>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58,830</w:t>
            </w:r>
          </w:p>
        </w:tc>
        <w:tc>
          <w:tcPr>
            <w:tcW w:w="0" w:type="dxa"/>
            <w:vAlign w:val="bottom"/>
          </w:tcPr>
          <w:p>
            <w:pPr>
              <w:spacing w:after="0"/>
              <w:rPr>
                <w:sz w:val="1"/>
                <w:szCs w:val="1"/>
                <w:color w:val="auto"/>
              </w:rPr>
            </w:pPr>
          </w:p>
        </w:tc>
      </w:tr>
      <w:tr>
        <w:trPr>
          <w:trHeight w:val="322"/>
        </w:trPr>
        <w:tc>
          <w:tcPr>
            <w:tcW w:w="6740" w:type="dxa"/>
            <w:vAlign w:val="bottom"/>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59,228</w:t>
            </w:r>
          </w:p>
        </w:tc>
        <w:tc>
          <w:tcPr>
            <w:tcW w:w="0" w:type="dxa"/>
            <w:vAlign w:val="bottom"/>
          </w:tcPr>
          <w:p>
            <w:pPr>
              <w:spacing w:after="0"/>
              <w:rPr>
                <w:sz w:val="1"/>
                <w:szCs w:val="1"/>
                <w:color w:val="auto"/>
              </w:rPr>
            </w:pPr>
          </w:p>
        </w:tc>
      </w:tr>
      <w:tr>
        <w:trPr>
          <w:trHeight w:val="322"/>
        </w:trPr>
        <w:tc>
          <w:tcPr>
            <w:tcW w:w="67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78"/>
        </w:trPr>
        <w:tc>
          <w:tcPr>
            <w:tcW w:w="8500" w:type="dxa"/>
            <w:vAlign w:val="bottom"/>
            <w:gridSpan w:val="5"/>
          </w:tcPr>
          <w:p>
            <w:pPr>
              <w:jc w:val="right"/>
              <w:ind w:right="40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40" w:type="dxa"/>
            <w:vAlign w:val="bottom"/>
          </w:tcPr>
          <w:p>
            <w:pPr>
              <w:ind w:left="568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15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$ 4,346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$ 5,299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gains (losses) to earnings—net of tax (2)</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Change in fair value of derivatives —net of tax (3)</w:t>
            </w:r>
          </w:p>
        </w:tc>
        <w:tc>
          <w:tcPr>
            <w:tcW w:w="2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(1,905)</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(1,025)</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(loss)—net of tax</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(1,770)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2,576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4,007</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Great Lakes Dredge &amp; Dock Corporation</w:t>
            </w: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$ 2,667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$ 4,213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$(5) and $0 for the three months ended June 30, 2012 and 2011, respectively, and $(3) and $0 for the six months ended June 30, 2012 and 2011, respectively.</w:t>
      </w:r>
    </w:p>
    <w:p>
      <w:pPr>
        <w:ind w:left="460" w:right="1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$94 and $(295) for the three months ended June 30, 2012 and 2011, respectively, and $(175) and $(709) for the six months ended June 30, 2012 and 2011, respectively.</w:t>
      </w:r>
    </w:p>
    <w:p>
      <w:pPr>
        <w:ind w:left="460" w:right="18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$(1,265) and $(246) for the three months ended June 30, 2012 and 2011, respectively, and $(681) and $544 for the six months ended June 30, 2012 and 2011,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000" w:type="dxa"/>
            <w:vAlign w:val="bottom"/>
            <w:tcBorders>
              <w:bottom w:val="single" w:sz="8" w:color="auto"/>
            </w:tcBorders>
            <w:gridSpan w:val="11"/>
          </w:tcPr>
          <w:p>
            <w:pPr>
              <w:ind w:left="760"/>
              <w:spacing w:after="0"/>
              <w:rPr>
                <w:sz w:val="20"/>
                <w:szCs w:val="20"/>
                <w:color w:val="auto"/>
              </w:rPr>
            </w:pPr>
            <w:r>
              <w:rPr>
                <w:rFonts w:ascii="Arial" w:cs="Arial" w:eastAsia="Arial" w:hAnsi="Arial"/>
                <w:sz w:val="14"/>
                <w:szCs w:val="14"/>
                <w:b w:val="1"/>
                <w:bCs w:val="1"/>
                <w:color w:val="auto"/>
                <w:w w:val="89"/>
              </w:rPr>
              <w:t>Great Lakes Dredge &amp; Dock Corporation shareholders</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Retained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58,999,404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$267,918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$24,042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568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$292,537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122,136</w:t>
            </w:r>
          </w:p>
        </w:tc>
        <w:tc>
          <w:tcPr>
            <w:tcW w:w="10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Vesting of restricted stock units, including impact of</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81,640</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(2,482)</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Distributions paid to noncontrolling interests</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5,505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59,220,422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269,613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27,043</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228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00" w:type="dxa"/>
            <w:vAlign w:val="bottom"/>
            <w:tcBorders>
              <w:bottom w:val="single" w:sz="8" w:color="auto"/>
            </w:tcBorders>
            <w:gridSpan w:val="11"/>
          </w:tcPr>
          <w:p>
            <w:pPr>
              <w:ind w:left="760"/>
              <w:spacing w:after="0"/>
              <w:rPr>
                <w:sz w:val="20"/>
                <w:szCs w:val="20"/>
                <w:color w:val="auto"/>
              </w:rPr>
            </w:pPr>
            <w:r>
              <w:rPr>
                <w:rFonts w:ascii="Arial" w:cs="Arial" w:eastAsia="Arial" w:hAnsi="Arial"/>
                <w:sz w:val="14"/>
                <w:szCs w:val="14"/>
                <w:b w:val="1"/>
                <w:bCs w:val="1"/>
                <w:color w:val="auto"/>
                <w:w w:val="89"/>
              </w:rPr>
              <w:t>Great Lakes Dredge &amp; Dock Corporation shareholders</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Retained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58,770,369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$12,261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357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57,215</w:t>
            </w:r>
          </w:p>
        </w:tc>
        <w:tc>
          <w:tcPr>
            <w:tcW w:w="10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Vesting of restricted stock units, including impact of</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81,387</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w w:val="98"/>
              </w:rPr>
              <w:t>Acquisition of noncontrolling interest in NASDI, LLC</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1,973</w:t>
            </w: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468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58,915,249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266,961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14,112</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313</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5,299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Loss on extinguishment of 7 3/4% senior subordinated notes</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adjustment of contingent earnout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currency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(22,288)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(8,653)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(5,873)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(11,771)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operating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(15,185)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(22,428)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(22,202)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Senior subordinated notes redemption premium</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Distributions paid to minority interests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64,272</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(42,497)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113,288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95,997</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Cash paid (refunded)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(6,371)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6,231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 in NASDI, LLC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2012, and its results of operations for the three and six months ended June 30, 2012 and 2011 and cash flows for the six months ended June 30, 2012 and 2011 have been included.</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25%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2011 for the goodwill in both the dredging and demolition segments with no indication of goodwill impairment as of the test date. As of the test date, the fair value of both the dredging segment and the demolition segment were in excess of their carrying values by approximately 35% and 8%, respectively. Given the small margin with which the demolition segment’s fair value is in excess of its carrying value, a more than insignificant decline in the demolition segment’s future operating results or cash flow forecasts versus the segment’s current forecasts could potentially cause a goodwill impairment charge to be recognized in a future period. The Company will perform its next scheduled annual test of goodwill in the third quarter of 2012.</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and six months ended June 30, 2012 and 2011,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552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w w:val="92"/>
              </w:rPr>
              <w:t>Net income attributable to common shareholders of Great Lakes Dredge &amp;</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Dock Corporation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1,706</w:t>
            </w:r>
          </w:p>
        </w:tc>
        <w:tc>
          <w:tcPr>
            <w:tcW w:w="1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59,171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4"/>
          </w:tcPr>
          <w:p>
            <w:pPr>
              <w:jc w:val="right"/>
              <w:ind w:right="220"/>
              <w:spacing w:after="0"/>
              <w:rPr>
                <w:sz w:val="20"/>
                <w:szCs w:val="20"/>
                <w:color w:val="auto"/>
              </w:rPr>
            </w:pPr>
            <w:r>
              <w:rPr>
                <w:rFonts w:ascii="Arial" w:cs="Arial" w:eastAsia="Arial" w:hAnsi="Arial"/>
                <w:sz w:val="18"/>
                <w:szCs w:val="18"/>
                <w:color w:val="auto"/>
                <w:w w:val="83"/>
              </w:rPr>
              <w:t>58,875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59,105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83"/>
              </w:rPr>
              <w:t>58,830</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55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59,534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220"/>
              <w:spacing w:after="0"/>
              <w:rPr>
                <w:sz w:val="20"/>
                <w:szCs w:val="20"/>
                <w:color w:val="auto"/>
              </w:rPr>
            </w:pPr>
            <w:r>
              <w:rPr>
                <w:rFonts w:ascii="Arial" w:cs="Arial" w:eastAsia="Arial" w:hAnsi="Arial"/>
                <w:sz w:val="18"/>
                <w:szCs w:val="18"/>
                <w:color w:val="auto"/>
                <w:w w:val="83"/>
              </w:rPr>
              <w:t>59,184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59,493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83"/>
              </w:rPr>
              <w:t>59,228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0.09</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51"/>
        </w:trPr>
        <w:tc>
          <w:tcPr>
            <w:tcW w:w="6440" w:type="dxa"/>
            <w:vAlign w:val="bottom"/>
            <w:gridSpan w:val="3"/>
          </w:tcPr>
          <w:p>
            <w:pPr>
              <w:jc w:val="right"/>
              <w:ind w:right="2292"/>
              <w:spacing w:after="0"/>
              <w:rPr>
                <w:sz w:val="20"/>
                <w:szCs w:val="20"/>
                <w:color w:val="auto"/>
              </w:rPr>
            </w:pPr>
            <w:r>
              <w:rPr>
                <w:rFonts w:ascii="Arial" w:cs="Arial" w:eastAsia="Arial" w:hAnsi="Arial"/>
                <w:sz w:val="18"/>
                <w:szCs w:val="18"/>
                <w:b w:val="1"/>
                <w:bCs w:val="1"/>
                <w:color w:val="auto"/>
                <w:w w:val="95"/>
              </w:rPr>
              <w:t>3. Accounts receivable and contracts in progress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40" w:type="dxa"/>
            <w:vAlign w:val="bottom"/>
            <w:gridSpan w:val="3"/>
          </w:tcPr>
          <w:p>
            <w:pPr>
              <w:jc w:val="right"/>
              <w:ind w:right="932"/>
              <w:spacing w:after="0"/>
              <w:rPr>
                <w:sz w:val="20"/>
                <w:szCs w:val="20"/>
                <w:color w:val="auto"/>
              </w:rPr>
            </w:pPr>
            <w:r>
              <w:rPr>
                <w:rFonts w:ascii="Arial" w:cs="Arial" w:eastAsia="Arial" w:hAnsi="Arial"/>
                <w:sz w:val="18"/>
                <w:szCs w:val="18"/>
                <w:color w:val="auto"/>
                <w:w w:val="87"/>
              </w:rPr>
              <w:t>Accounts receivable at June 30, 2012 and December 31, 2011 are as follows: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38,317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Contracts in progress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69,469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20,692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123,439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128,478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52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 accounts receivable—net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55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121,939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126,639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112,897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120,268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121,939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126,639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jc w:val="right"/>
              <w:ind w:right="592"/>
              <w:spacing w:after="0"/>
              <w:rPr>
                <w:sz w:val="20"/>
                <w:szCs w:val="20"/>
                <w:color w:val="auto"/>
              </w:rPr>
            </w:pPr>
            <w:r>
              <w:rPr>
                <w:rFonts w:ascii="Arial" w:cs="Arial" w:eastAsia="Arial" w:hAnsi="Arial"/>
                <w:sz w:val="18"/>
                <w:szCs w:val="18"/>
                <w:color w:val="auto"/>
              </w:rPr>
              <w:t>9</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4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366,985</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(317,477)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(152,045)</w:t>
            </w: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49,508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50,889</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Portion included in other noncurrent assets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(383,047)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363,048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414,170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(19,999)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June 30, 2012 and December 31, 2011, the Company held certain derivative contracts that it uses to manage foreign currency risk, commodity price risk and interest rate risk. The Company does not hold or issue derivatives for speculative or trading purposes. The fair values of these financial instruments are summarized as follows: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6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640" w:type="dxa"/>
            <w:vAlign w:val="bottom"/>
          </w:tcPr>
          <w:p>
            <w:pPr>
              <w:spacing w:after="0"/>
              <w:rPr>
                <w:sz w:val="12"/>
                <w:szCs w:val="12"/>
                <w:color w:val="auto"/>
              </w:rPr>
            </w:pPr>
          </w:p>
        </w:tc>
        <w:tc>
          <w:tcPr>
            <w:tcW w:w="920" w:type="dxa"/>
            <w:vAlign w:val="bottom"/>
          </w:tcPr>
          <w:p>
            <w:pPr>
              <w:jc w:val="center"/>
              <w:ind w:left="211"/>
              <w:spacing w:after="0" w:line="149" w:lineRule="exact"/>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3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64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162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At June 30, 2012</w:t>
            </w:r>
          </w:p>
        </w:tc>
        <w:tc>
          <w:tcPr>
            <w:tcW w:w="80" w:type="dxa"/>
            <w:vAlign w:val="bottom"/>
          </w:tcPr>
          <w:p>
            <w:pPr>
              <w:spacing w:after="0"/>
              <w:rPr>
                <w:sz w:val="14"/>
                <w:szCs w:val="14"/>
                <w:color w:val="auto"/>
              </w:rPr>
            </w:pPr>
          </w:p>
        </w:tc>
        <w:tc>
          <w:tcPr>
            <w:tcW w:w="1020" w:type="dxa"/>
            <w:vAlign w:val="bottom"/>
          </w:tcPr>
          <w:p>
            <w:pPr>
              <w:jc w:val="center"/>
              <w:ind w:right="1"/>
              <w:spacing w:after="0" w:line="148"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6"/>
              <w:spacing w:after="0" w:line="148" w:lineRule="exact"/>
              <w:rPr>
                <w:sz w:val="20"/>
                <w:szCs w:val="20"/>
                <w:color w:val="auto"/>
              </w:rPr>
            </w:pPr>
            <w:r>
              <w:rPr>
                <w:rFonts w:ascii="Arial" w:cs="Arial" w:eastAsia="Arial" w:hAnsi="Arial"/>
                <w:sz w:val="14"/>
                <w:szCs w:val="14"/>
                <w:b w:val="1"/>
                <w:bCs w:val="1"/>
                <w:color w:val="auto"/>
                <w:w w:val="87"/>
              </w:rPr>
              <w:t>(Level 2)</w:t>
            </w:r>
          </w:p>
        </w:tc>
        <w:tc>
          <w:tcPr>
            <w:tcW w:w="640" w:type="dxa"/>
            <w:vAlign w:val="bottom"/>
          </w:tcPr>
          <w:p>
            <w:pPr>
              <w:spacing w:after="0"/>
              <w:rPr>
                <w:sz w:val="14"/>
                <w:szCs w:val="14"/>
                <w:color w:val="auto"/>
              </w:rPr>
            </w:pPr>
          </w:p>
        </w:tc>
        <w:tc>
          <w:tcPr>
            <w:tcW w:w="920" w:type="dxa"/>
            <w:vAlign w:val="bottom"/>
          </w:tcPr>
          <w:p>
            <w:pPr>
              <w:jc w:val="center"/>
              <w:ind w:left="211"/>
              <w:spacing w:after="0" w:line="148" w:lineRule="exact"/>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416</w:t>
            </w:r>
          </w:p>
        </w:tc>
        <w:tc>
          <w:tcPr>
            <w:tcW w:w="1560" w:type="dxa"/>
            <w:vAlign w:val="bottom"/>
            <w:gridSpan w:val="2"/>
          </w:tcPr>
          <w:p>
            <w:pPr>
              <w:jc w:val="right"/>
              <w:ind w:right="77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1560" w:type="dxa"/>
            <w:vAlign w:val="bottom"/>
            <w:gridSpan w:val="2"/>
          </w:tcPr>
          <w:p>
            <w:pPr>
              <w:jc w:val="right"/>
              <w:ind w:right="77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1,695</w:t>
            </w:r>
          </w:p>
        </w:tc>
        <w:tc>
          <w:tcPr>
            <w:tcW w:w="1560" w:type="dxa"/>
            <w:vAlign w:val="bottom"/>
            <w:gridSpan w:val="2"/>
          </w:tcPr>
          <w:p>
            <w:pPr>
              <w:jc w:val="right"/>
              <w:ind w:right="77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6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640" w:type="dxa"/>
            <w:vAlign w:val="bottom"/>
          </w:tcPr>
          <w:p>
            <w:pPr>
              <w:spacing w:after="0"/>
              <w:rPr>
                <w:sz w:val="12"/>
                <w:szCs w:val="12"/>
                <w:color w:val="auto"/>
              </w:rPr>
            </w:pPr>
          </w:p>
        </w:tc>
        <w:tc>
          <w:tcPr>
            <w:tcW w:w="920" w:type="dxa"/>
            <w:vAlign w:val="bottom"/>
          </w:tcPr>
          <w:p>
            <w:pPr>
              <w:jc w:val="center"/>
              <w:ind w:left="211"/>
              <w:spacing w:after="0" w:line="149" w:lineRule="exact"/>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380" w:type="dxa"/>
            <w:vAlign w:val="bottom"/>
            <w:vMerge w:val="restart"/>
          </w:tcPr>
          <w:p>
            <w:pPr>
              <w:spacing w:after="0"/>
              <w:rPr>
                <w:sz w:val="12"/>
                <w:szCs w:val="12"/>
                <w:color w:val="auto"/>
              </w:rPr>
            </w:pPr>
          </w:p>
        </w:tc>
        <w:tc>
          <w:tcPr>
            <w:tcW w:w="16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At December 31,</w:t>
            </w:r>
          </w:p>
        </w:tc>
        <w:tc>
          <w:tcPr>
            <w:tcW w:w="80" w:type="dxa"/>
            <w:vAlign w:val="bottom"/>
          </w:tcPr>
          <w:p>
            <w:pPr>
              <w:spacing w:after="0"/>
              <w:rPr>
                <w:sz w:val="12"/>
                <w:szCs w:val="12"/>
                <w:color w:val="auto"/>
              </w:rPr>
            </w:pPr>
          </w:p>
        </w:tc>
        <w:tc>
          <w:tcPr>
            <w:tcW w:w="10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64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4"/>
              <w:spacing w:after="0" w:line="148"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
              <w:spacing w:after="0" w:line="148" w:lineRule="exact"/>
              <w:rPr>
                <w:sz w:val="20"/>
                <w:szCs w:val="20"/>
                <w:color w:val="auto"/>
              </w:rPr>
            </w:pPr>
            <w:r>
              <w:rPr>
                <w:rFonts w:ascii="Arial" w:cs="Arial" w:eastAsia="Arial" w:hAnsi="Arial"/>
                <w:sz w:val="14"/>
                <w:szCs w:val="14"/>
                <w:b w:val="1"/>
                <w:bCs w:val="1"/>
                <w:color w:val="auto"/>
                <w:w w:val="87"/>
              </w:rPr>
              <w:t>(Level 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16"/>
              <w:spacing w:after="0" w:line="148" w:lineRule="exact"/>
              <w:rPr>
                <w:sz w:val="20"/>
                <w:szCs w:val="20"/>
                <w:color w:val="auto"/>
              </w:rPr>
            </w:pPr>
            <w:r>
              <w:rPr>
                <w:rFonts w:ascii="Arial" w:cs="Arial" w:eastAsia="Arial" w:hAnsi="Arial"/>
                <w:sz w:val="14"/>
                <w:szCs w:val="14"/>
                <w:b w:val="1"/>
                <w:bCs w:val="1"/>
                <w:color w:val="auto"/>
                <w:w w:val="87"/>
              </w:rPr>
              <w:t>(Level 2)</w:t>
            </w:r>
          </w:p>
        </w:tc>
        <w:tc>
          <w:tcPr>
            <w:tcW w:w="640" w:type="dxa"/>
            <w:vAlign w:val="bottom"/>
          </w:tcPr>
          <w:p>
            <w:pPr>
              <w:spacing w:after="0"/>
              <w:rPr>
                <w:sz w:val="14"/>
                <w:szCs w:val="14"/>
                <w:color w:val="auto"/>
              </w:rPr>
            </w:pPr>
          </w:p>
        </w:tc>
        <w:tc>
          <w:tcPr>
            <w:tcW w:w="920" w:type="dxa"/>
            <w:vAlign w:val="bottom"/>
          </w:tcPr>
          <w:p>
            <w:pPr>
              <w:jc w:val="center"/>
              <w:ind w:left="211"/>
              <w:spacing w:after="0" w:line="148" w:lineRule="exact"/>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7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1,359</w:t>
            </w:r>
          </w:p>
        </w:tc>
        <w:tc>
          <w:tcPr>
            <w:tcW w:w="1560" w:type="dxa"/>
            <w:vAlign w:val="bottom"/>
            <w:gridSpan w:val="2"/>
          </w:tcPr>
          <w:p>
            <w:pPr>
              <w:jc w:val="right"/>
              <w:ind w:right="771"/>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 in place. The swaps are not accounted for as a hedge; therefore, the changes in fair value are recorded as adjustments to interest expense in each reporting period.</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previously verified the fair value of the interest rate swap contracts using a quantitative model that contained both observable and unobservable inputs. The unobservable inputs related primarily to the implied LIBOR forward rate and the long-term nature of the contracts. As of December 31, 2011, the unobservable inputs began to be corroborated by observable market data and accordingly the Company transferred the swaps into Level 2 of the fair value hierarchy. The change in Level 3 interest rate swap contracts during the comparable quarter of the prior year was as follows:</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Fair Value Measurements Using</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4180" w:type="dxa"/>
            <w:vAlign w:val="bottom"/>
            <w:gridSpan w:val="4"/>
          </w:tcPr>
          <w:p>
            <w:pPr>
              <w:ind w:left="1760"/>
              <w:spacing w:after="0" w:line="149" w:lineRule="exact"/>
              <w:rPr>
                <w:sz w:val="20"/>
                <w:szCs w:val="20"/>
                <w:color w:val="auto"/>
              </w:rPr>
            </w:pPr>
            <w:r>
              <w:rPr>
                <w:rFonts w:ascii="Arial" w:cs="Arial" w:eastAsia="Arial" w:hAnsi="Arial"/>
                <w:sz w:val="14"/>
                <w:szCs w:val="14"/>
                <w:b w:val="1"/>
                <w:bCs w:val="1"/>
                <w:color w:val="auto"/>
                <w:w w:val="92"/>
              </w:rPr>
              <w:t>Significant Unobservable Inputs (Level</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99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ind w:right="938"/>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 contracts</w:t>
            </w: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Balance at January 1,</w:t>
            </w:r>
          </w:p>
        </w:tc>
        <w:tc>
          <w:tcPr>
            <w:tcW w:w="19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June 30,</w:t>
            </w: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440"/>
              <w:spacing w:after="0"/>
              <w:rPr>
                <w:sz w:val="20"/>
                <w:szCs w:val="20"/>
                <w:color w:val="auto"/>
              </w:rPr>
            </w:pPr>
            <w:r>
              <w:rPr>
                <w:rFonts w:ascii="Arial" w:cs="Arial" w:eastAsia="Arial" w:hAnsi="Arial"/>
                <w:sz w:val="18"/>
                <w:szCs w:val="18"/>
                <w:color w:val="auto"/>
              </w:rPr>
              <w:t>Balance at April 1,</w:t>
            </w: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19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June 30,</w:t>
            </w: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780" w:type="dxa"/>
            <w:vAlign w:val="bottom"/>
            <w:vMerge w:val="restart"/>
          </w:tcPr>
          <w:p>
            <w:pPr>
              <w:ind w:left="20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June 30, 2012 and December 31, 2011, the Company had one outstanding contract related to the Brazilian Real. This foreign exchange contract is not accounted for as a hedge.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June 30, 2012, the Company was party to various swap arrangements to hedge the price of a portion of its diesel fuel purchase requirements for work in its backlog to be performed through February 2013. As of June 30, 2012, there were 5.0 million gallons remaining on these contracts which represent approximately 80% of the Company’s forecasted fuel purchases through February 2013. Under these swap agreements, the Company will pay fixed prices ranging from $2.65 to $3.29 per gallon.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as a reduction of fuel expense, which is a component of costs of contract revenues in the condensed consolidated statements of operations.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June 30, 2012, the fair value liability of the fuel hedge contracts was estimated to be $1,695 and is recorded in accrued expenses. At December 31, 2011 the fair value asset of the fuel hedge contracts was estimated to be $449 and is recorded in other current assets. The loss reclassified to earnings from changes in fair value of derivatives, net of cash settlements and taxes, for the six months ended June 30, 2012 was $263. The remaining gains and losses included in accumulated other comprehensive income (loss) at June 30, 2012 will be reclassified into earnings over the next eight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foreign exchange contracts, interest rate and fuel hedge contracts outstanding as of June 30, 2012 and December 31, 2011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Fair Value at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30,</w:t>
            </w:r>
          </w:p>
        </w:tc>
        <w:tc>
          <w:tcPr>
            <w:tcW w:w="5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5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1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Derivatives designated as hedges</w:t>
            </w: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Fuel hedge contracts</w:t>
            </w:r>
          </w:p>
        </w:tc>
        <w:tc>
          <w:tcPr>
            <w:tcW w:w="33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Derivatives not designated as hedges</w:t>
            </w: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 swaps</w:t>
            </w:r>
          </w:p>
        </w:tc>
        <w:tc>
          <w:tcPr>
            <w:tcW w:w="33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880"/>
              <w:spacing w:after="0"/>
              <w:rPr>
                <w:sz w:val="20"/>
                <w:szCs w:val="20"/>
                <w:color w:val="auto"/>
              </w:rPr>
            </w:pPr>
            <w:r>
              <w:rPr>
                <w:rFonts w:ascii="Arial" w:cs="Arial" w:eastAsia="Arial" w:hAnsi="Arial"/>
                <w:sz w:val="18"/>
                <w:szCs w:val="18"/>
                <w:color w:val="auto"/>
              </w:rPr>
              <w:t>Foreign exchange contracts</w:t>
            </w:r>
          </w:p>
        </w:tc>
        <w:tc>
          <w:tcPr>
            <w:tcW w:w="3320" w:type="dxa"/>
            <w:vAlign w:val="bottom"/>
            <w:gridSpan w:val="3"/>
          </w:tcPr>
          <w:p>
            <w:pPr>
              <w:ind w:left="130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 derivatives</w:t>
            </w:r>
          </w:p>
        </w:tc>
        <w:tc>
          <w:tcPr>
            <w:tcW w:w="1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Liability derivatives:</w:t>
            </w: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designated as hedges</w:t>
            </w:r>
          </w:p>
        </w:tc>
        <w:tc>
          <w:tcPr>
            <w:tcW w:w="1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880"/>
              <w:spacing w:after="0"/>
              <w:rPr>
                <w:sz w:val="20"/>
                <w:szCs w:val="20"/>
                <w:color w:val="auto"/>
              </w:rPr>
            </w:pPr>
            <w:r>
              <w:rPr>
                <w:rFonts w:ascii="Arial" w:cs="Arial" w:eastAsia="Arial" w:hAnsi="Arial"/>
                <w:sz w:val="18"/>
                <w:szCs w:val="18"/>
                <w:color w:val="auto"/>
              </w:rPr>
              <w:t>Fuel hedge contracts</w:t>
            </w:r>
          </w:p>
        </w:tc>
        <w:tc>
          <w:tcPr>
            <w:tcW w:w="3320" w:type="dxa"/>
            <w:vAlign w:val="bottom"/>
            <w:gridSpan w:val="3"/>
          </w:tcPr>
          <w:p>
            <w:pPr>
              <w:ind w:left="13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1,695</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June 30, 2012. The senior notes are senior unsecured obligations of the Company and its subsidiaries that guarantee the senior notes. The fair value of the senior notes was $250,000 at June 30, 2012, which is a Level 1 fair value measurement as the senior notes value was obtained using quoted prices in active markets.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2012 and December 31,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7,717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10,763</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Fuel hedge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27,477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31,121</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party thereto as lenders, Wells Fargo Bank, National Association, as Administrative Agent, Swingline Lender and an Issuing Lender,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and PNC Bank, National Association, BMO Harris Bank N.A. and Fifth Third Bank, as Co-Documentation Agents.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replaced the Company’s former revolving credit agreement, provides for a senior revolving credit facility in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subfacilities for the issuance of standby letters of credit up to a $125,000 sublimit, multicurrency borrowings up to a $50,000 sublimit and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up to a $10,000 sublimit. The Credit Agreement also includes an incremental loans feature that will allow the Company to increase the senior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by an aggregate principal amount of up to $50,000. This is subject to lenders providing incremental commitments for such increase,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default or event of default exists, the Company will be in pro forma compliance with the existing financial covenants both before and after giving effect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and other standard conditions. The prior credit agreement with Bank of America, N.A. was terminated.</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At June 30, 2012 the Company was in compliance with its debt covenants.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Share-based compensation</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June 2012, the Company granted 497 thousand options to purchase shares of common stock and 273 thousand restricted stock units to certain employees pursuant to the plan. In addition, all non-employee directors on the Company’s board of directors are paid a portion of their board related compensation in stock grants. Compensation cost charged to expense related to these share-based compensation arrangements was $699 and $1,714, respectively, for the three and six months ended June 30, 2012 and $323 and $843, respectively, for the three and six months ended June 30,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Segment information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134,772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125,085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257,133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31,415</w:t>
            </w:r>
          </w:p>
        </w:tc>
        <w:tc>
          <w:tcPr>
            <w:tcW w:w="0" w:type="dxa"/>
            <w:vAlign w:val="bottom"/>
          </w:tcPr>
          <w:p>
            <w:pPr>
              <w:spacing w:after="0"/>
              <w:rPr>
                <w:sz w:val="1"/>
                <w:szCs w:val="1"/>
                <w:color w:val="auto"/>
              </w:rPr>
            </w:pPr>
          </w:p>
        </w:tc>
      </w:tr>
      <w:tr>
        <w:trPr>
          <w:trHeight w:val="32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Demolition</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(4,937)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166,532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154,959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321,439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Dredging contract revenues for the three and six months ended June 30, 2012 are net of $62 and $1,374 in intersegment revenues. Demolition contract revenues for both the three and six months ended June 30, 2012 are net of $75 in intersegment revenues. In addition, foreign dredging revenue of $20,848 and $38,873 for the three and six months ended June 30, 2012, respectively, and $16,065 and $37,936 for the three and six months ended June 30, 2011, respectively, was primarily attributable to work done in the Middle East.</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320" w:firstLine="224"/>
        <w:spacing w:after="0" w:line="417" w:lineRule="auto"/>
        <w:tabs>
          <w:tab w:leader="none" w:pos="64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As of June 30, 2012, the Company had no borrowings and $33,447 of letters of credit outstanding, resulting in $141,553 of availability under the Credit Agreement. At June 30, 2012, the Company was in compliance with its various covenants under its Credit Agreement.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In September 2011, the Company entered into a new bonding agreement with Zurich American Insurance Company (“Zurich”) under which the Company can obtain performance, bid and payment bonds. The new bonding agreement contains no restrictive covenants and lesser collateral requirements than the previous bonding agreement. The Company has used Zurich for all bonding requirements beginning in September 2011. Bid bonds are generally obtained for a percentage of bid value and amounts outstanding typically range from $1,000 to $10,000. At June 30, 2012, the Company had outstanding performance bonds valued at approximately $269,419; however, the revenue value remaining in backlog related to these projects totaled approximately $147,080.</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June 30, 2012, Great Lakes had $11,725 of letters of credit outstanding under this facility. At June 30, 2012, the Company also had $250,000 of 7.375% senior notes outstanding, which mature in February 2019.</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or its former subsidiary, NATCO Limited Partnership, was named as a defendant in approximately 251 asbestos-related personal injury lawsuits, the majority of which were filed between 1989 and 2000. The claims were filed on behalf of seamen or their personal representatives alleging injury or illness from exposure to asbestos while employed as seamen on Company-owned vessels. In these cases, the Company is typically one of many defendants, including manufacturers and suppliers of products containing asbestos, as well as other vessel owners. Following certain administrative proceedings, counsel for plaintiffs agreed to name a group of cases that they intended to pursue and to dismiss the remaining cases without prejudice. Plaintiffs previously named 40 cases against the Company that they intended to pursue, each of which involves one plaintiff. The remaining cases against the Company were dismissed without prejudice. Plaintiffs in the dismissed cases could file a new lawsuit if they develop a new disease allegedly caused by exposure to asbestos on board our vessels. Of the 40 named cases, three were subsequently dismissed, leaving 37 cases remaining. The Company is presently unable to quantify the amounts of damages being sought in the remaining lawsuits because none of the complaints specify a damage amount. Based on preliminary discovery and settlement demands received to date, the Company does not believe that it is probable that losses from these claims could be material, and an estimate of a range of losses relating to these claims cannot reasonably be made. Based on the foregoing, management does not believe that any of the remaining 37 lawsuits, individually or in the aggregate, will have a material impact on our business, financial position, results of operations or cash flows.</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not accrued any amounts with respect to these two NASDI matters as the Company does not believe, based on information currently known to it, that a loss relating to these matters is probable, and an estimate of a range of potential losses relating to these matters cannot reasonably be made.</w:t>
      </w:r>
    </w:p>
    <w:p>
      <w:pPr>
        <w:spacing w:after="0" w:line="8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 xml:space="preserve">During the prior quarter ended March 31, 2012, a favorable judgment was rendered in the Company’s loss of use claim related to the dredge </w:t>
      </w:r>
      <w:r>
        <w:rPr>
          <w:rFonts w:ascii="Arial" w:cs="Arial" w:eastAsia="Arial" w:hAnsi="Arial"/>
          <w:sz w:val="15"/>
          <w:szCs w:val="15"/>
          <w:i w:val="1"/>
          <w:iCs w:val="1"/>
          <w:color w:val="auto"/>
        </w:rPr>
        <w:t>New York</w:t>
      </w:r>
      <w:r>
        <w:rPr>
          <w:rFonts w:ascii="Arial" w:cs="Arial" w:eastAsia="Arial" w:hAnsi="Arial"/>
          <w:sz w:val="15"/>
          <w:szCs w:val="15"/>
          <w:color w:val="auto"/>
        </w:rPr>
        <w:t xml:space="preserve"> allision in the approach channel to Port Newark, New Jersey. In January 2008, the Company filed suit against the M/V </w:t>
      </w:r>
      <w:r>
        <w:rPr>
          <w:rFonts w:ascii="Arial" w:cs="Arial" w:eastAsia="Arial" w:hAnsi="Arial"/>
          <w:sz w:val="15"/>
          <w:szCs w:val="15"/>
          <w:i w:val="1"/>
          <w:iCs w:val="1"/>
          <w:color w:val="auto"/>
        </w:rPr>
        <w:t>Orange Sun</w:t>
      </w:r>
      <w:r>
        <w:rPr>
          <w:rFonts w:ascii="Arial" w:cs="Arial" w:eastAsia="Arial" w:hAnsi="Arial"/>
          <w:sz w:val="15"/>
          <w:szCs w:val="15"/>
          <w:color w:val="auto"/>
        </w:rPr>
        <w:t xml:space="preserve"> and her owners for damages incurred by the Company in connection with the allision. Following a bench trial in the United States District Court in the Southern District of New York, the Court issued an opinion and order in the Company’s favor, entitling Great Lakes to $11,736 in damages plus pre-judgment interest. Judgment was rendered in the aggregate amount of $13,272. Defendants timely appealed the judgment to the United States Court of Appeals for the Second Circuit, and briefing on the appeal is expected to be completed before the end of the year. The Company cannot be assured when the appeal will be heard or predict the outcome of the appellate process.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Acquisition of noncontrolling interest</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Company previously owned 65% of the profits interests of NASDI. Effective January 1, 2011 the Company reacquired Mr. Christopher Berardi’s 35% membership interest in NASDI for no cost per the terms of NASDI’s limited liability company agreement. This resulted in the elimination of noncontrolling interest of $1,973 during the first quarter ended March 31, 2011. The Company now owns 100% of NASDI.</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Subsidiary guarantors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Company’s long-term debt at June 30, 2012 includes $250,000 of 7.375% senior notes due February 1, 2019. The Company’s obligations under these senior unsecured notes are guaranteed by the Company’s wholly-owned domestic subsidiaries. Such guarantees are full, unconditional and joint and several.</w:t>
      </w:r>
    </w:p>
    <w:p>
      <w:pPr>
        <w:spacing w:after="0" w:line="8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 sheets as of June 30, 2012 and December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for the three and six months ended June 30, 2012 and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2012 and 2011.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JUNE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70,623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112,289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112,897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50,932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375,153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326,205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316,408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316,460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23,206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645,270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(648,667)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834,971</w:t>
            </w:r>
          </w:p>
        </w:tc>
        <w:tc>
          <w:tcPr>
            <w:tcW w:w="22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9,756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666,347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(721,114)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789,960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79,668</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60,546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(72,385)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19,939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181,101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16,983</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(72,447)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3/8% SENIOR NOTES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250,000</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102,994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190,911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370,746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494,359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644,060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295,373</w:t>
            </w: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(648,667)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295,373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644,060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295,601</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(648,667)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295,601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834,971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666,347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(721,114)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gridSpan w:val="4"/>
          </w:tcPr>
          <w:p>
            <w:pPr>
              <w:ind w:left="9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w w:val="81"/>
              </w:rPr>
              <w:t>Subsidiaries</w:t>
            </w:r>
          </w:p>
        </w:tc>
        <w:tc>
          <w:tcPr>
            <w:tcW w:w="3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118,530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382,876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310,459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310,520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INVENTORIES — Noncurrent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30,103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627,754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206,921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3/4% SENIOR SUBORDINATED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217,606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291,969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291,969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292,537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2012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166,467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(142,315)</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(142,643)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323"/>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12,526</w:t>
            </w:r>
          </w:p>
        </w:tc>
        <w:tc>
          <w:tcPr>
            <w:tcW w:w="0" w:type="dxa"/>
            <w:vAlign w:val="bottom"/>
          </w:tcPr>
          <w:p>
            <w:pPr>
              <w:spacing w:after="0"/>
              <w:rPr>
                <w:sz w:val="1"/>
                <w:szCs w:val="1"/>
                <w:color w:val="auto"/>
              </w:rPr>
            </w:pPr>
          </w:p>
        </w:tc>
      </w:tr>
      <w:tr>
        <w:trPr>
          <w:trHeight w:val="322"/>
        </w:trPr>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(5,103)</w:t>
            </w:r>
          </w:p>
        </w:tc>
        <w:tc>
          <w:tcPr>
            <w:tcW w:w="14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12,350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(12,127)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6,632</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(12,127)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12,575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4,346</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(12,127)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income (loss) attributable to Great Lakes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Dredge &amp; Dock 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(12,127)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2"/>
              </w:rPr>
              <w:t>Comprehensive income (loss) attributable to Great Lakes Dredge &amp; Dock</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10,813</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2,667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(10,357)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40" w:type="dxa"/>
            <w:vAlign w:val="bottom"/>
            <w:gridSpan w:val="3"/>
          </w:tcPr>
          <w:p>
            <w:pPr>
              <w:jc w:val="right"/>
              <w:ind w:right="432"/>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2011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151,223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(132,879)</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322"/>
        </w:trPr>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(4,808)</w:t>
            </w:r>
          </w:p>
        </w:tc>
        <w:tc>
          <w:tcPr>
            <w:tcW w:w="14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11,567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5,867</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2,168</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income (loss) attributable to Great Lakes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Dredge &amp; Dock 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5"/>
        </w:trPr>
        <w:tc>
          <w:tcPr>
            <w:tcW w:w="5380" w:type="dxa"/>
            <w:vAlign w:val="bottom"/>
            <w:gridSpan w:val="2"/>
          </w:tcPr>
          <w:p>
            <w:pPr>
              <w:spacing w:after="0"/>
              <w:rPr>
                <w:sz w:val="20"/>
                <w:szCs w:val="20"/>
                <w:color w:val="auto"/>
              </w:rPr>
            </w:pPr>
            <w:r>
              <w:rPr>
                <w:rFonts w:ascii="Arial" w:cs="Arial" w:eastAsia="Arial" w:hAnsi="Arial"/>
                <w:sz w:val="18"/>
                <w:szCs w:val="18"/>
                <w:color w:val="auto"/>
                <w:w w:val="92"/>
              </w:rPr>
              <w:t>Comprehensive income (loss) attributable to Great Lakes Dredge &amp; Dock</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10,753</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1,160</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(11,913)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40" w:type="dxa"/>
            <w:vAlign w:val="bottom"/>
            <w:gridSpan w:val="3"/>
          </w:tcPr>
          <w:p>
            <w:pPr>
              <w:jc w:val="right"/>
              <w:ind w:right="432"/>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321,911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321,439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(277,482)</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(277,528)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43,911</w:t>
            </w:r>
          </w:p>
        </w:tc>
        <w:tc>
          <w:tcPr>
            <w:tcW w:w="0" w:type="dxa"/>
            <w:vAlign w:val="bottom"/>
          </w:tcPr>
          <w:p>
            <w:pPr>
              <w:spacing w:after="0"/>
              <w:rPr>
                <w:sz w:val="1"/>
                <w:szCs w:val="1"/>
                <w:color w:val="auto"/>
              </w:rPr>
            </w:pPr>
          </w:p>
        </w:tc>
      </w:tr>
      <w:tr>
        <w:trPr>
          <w:trHeight w:val="323"/>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23,248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19,312</w:t>
            </w:r>
          </w:p>
        </w:tc>
        <w:tc>
          <w:tcPr>
            <w:tcW w:w="0" w:type="dxa"/>
            <w:vAlign w:val="bottom"/>
          </w:tcPr>
          <w:p>
            <w:pPr>
              <w:spacing w:after="0"/>
              <w:rPr>
                <w:sz w:val="1"/>
                <w:szCs w:val="1"/>
                <w:color w:val="auto"/>
              </w:rPr>
            </w:pPr>
          </w:p>
        </w:tc>
      </w:tr>
      <w:tr>
        <w:trPr>
          <w:trHeight w:val="322"/>
        </w:trPr>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(10,053)</w:t>
            </w:r>
          </w:p>
        </w:tc>
        <w:tc>
          <w:tcPr>
            <w:tcW w:w="14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18,697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(18,095)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20,137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7,506</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(18,095)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19,012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5,299</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(18,095)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income (loss) attributable to Great Lakes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Dredge &amp; Dock 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(18,095)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2"/>
              </w:rPr>
              <w:t>Comprehensive income (loss) attributable to Great Lakes Dredge &amp; Dock</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17,724</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(16,803)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40" w:type="dxa"/>
            <w:vAlign w:val="bottom"/>
            <w:gridSpan w:val="3"/>
          </w:tcPr>
          <w:p>
            <w:pPr>
              <w:jc w:val="right"/>
              <w:ind w:right="432"/>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305,262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(259,788)</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(10,633)</w:t>
            </w:r>
          </w:p>
        </w:tc>
        <w:tc>
          <w:tcPr>
            <w:tcW w:w="14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24,890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10,776</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28,118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4,566</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06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28,118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4,098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(29,084)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6"/>
              </w:rPr>
              <w:t>Subsidiary</w:t>
            </w:r>
          </w:p>
        </w:tc>
        <w:tc>
          <w:tcPr>
            <w:tcW w:w="2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w w:val="99"/>
              </w:rPr>
              <w:t>Net cash flows provided by (used in) operating activities</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9,512</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40"/>
              <w:spacing w:after="0"/>
              <w:rPr>
                <w:sz w:val="20"/>
                <w:szCs w:val="20"/>
                <w:color w:val="auto"/>
              </w:rPr>
            </w:pPr>
            <w:r>
              <w:rPr>
                <w:rFonts w:ascii="Arial" w:cs="Arial" w:eastAsia="Arial" w:hAnsi="Arial"/>
                <w:sz w:val="18"/>
                <w:szCs w:val="18"/>
                <w:color w:val="auto"/>
                <w:w w:val="86"/>
              </w:rPr>
              <w:t>331</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(25,028)</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(15,185)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(22,428)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226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(22,202)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(22,202)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Deferred financing fees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minority interests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(2,482)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Net cash flows provided by (used in)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(25,672)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25,028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w w:val="92"/>
              </w:rPr>
              <w:t>Effect of foreign currency exchange rates on cash and cash equivalents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(38,362)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(42,497)</w:t>
            </w:r>
          </w:p>
        </w:tc>
        <w:tc>
          <w:tcPr>
            <w:tcW w:w="0" w:type="dxa"/>
            <w:vAlign w:val="bottom"/>
          </w:tcPr>
          <w:p>
            <w:pPr>
              <w:spacing w:after="0"/>
              <w:rPr>
                <w:sz w:val="1"/>
                <w:szCs w:val="1"/>
                <w:color w:val="auto"/>
              </w:rPr>
            </w:pPr>
          </w:p>
        </w:tc>
      </w:tr>
      <w:tr>
        <w:trPr>
          <w:trHeight w:val="331"/>
        </w:trPr>
        <w:tc>
          <w:tcPr>
            <w:tcW w:w="53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108,985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113,288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70,623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168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60" w:type="dxa"/>
            <w:vAlign w:val="bottom"/>
            <w:gridSpan w:val="3"/>
          </w:tcPr>
          <w:p>
            <w:pPr>
              <w:jc w:val="right"/>
              <w:ind w:right="472"/>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6"/>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7"/>
              </w:rPr>
              <w:t>Net cash flows provided by (used in) operating activities</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3,230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(16,679)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(13,583)</w:t>
            </w: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250,000</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(175,000)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Senior subordinated notes redemption premium</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fees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(2,236)</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Taxes paid on vested share awards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50,703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(47,810)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financing activities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16,679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64,272</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47,182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337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48,416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95,598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399</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(the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associated with Great Lakes’ leverage, fixed price contracts, dependence on government contracts and funding, bonding requirement and obligations, international operations, backlog, uncertainty related to pending litigation, government regulation, restrictive debt covenants and fluctuations in quarterly operations, and those factors, risks and uncertainties that are described in Item 1A “Risk Factors” of the Company’s Annual Report on Form 10-K for the year ended December 31, 2011 and in other securities filings by Great Lakes with the SEC.</w:t>
      </w:r>
    </w:p>
    <w:p>
      <w:pPr>
        <w:spacing w:after="0" w:line="12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Great Lakes’ future financial condition, results of operations and cash flows,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15% of its dredging revenues for the first six months of 2012, compared with the Company’s prior three year average of 17%. The mobility of the Company’s fleet enables the Company to move equipment in response to changes in demand for dredging services.</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experienced an average combined bid market share in the U.S. of 39% over the prior three years, including 41%, 60% and 32% of the domestic capital, beach nourishment and maintenance sectors, respectively. The foregoing bid market data does not reflect rivers &amp; lakes activities which are separately categorized. The Company’s bid market share of rivers &amp; lakes in the prior year of activity is 39%.</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largest domestic dredging customer is the U.S. Army Corps of Engineers (the “Corps”), which is responsible for federally funded projects related to navigation and flood control of U.S. waterways. In the first six months of 2012, the Company’s dredging revenues earned from contracts with federal government agencies, including the Corps as well as other federal entities such as the U.S. Coast Guard and the U.S. Navy, and third parties operating under contracts with federal agencies were approximately 78% of dredging revenues, above the Company’s prior three year average of 59%.</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demolition subsidiaries are a major U.S. provider of commercial and industrial demolition services. Historically, the majority of the work was performed in the New England area. Through increased collaboration with Great Lakes’ other lines of business, the demolition operations continue to expand into the New York area and marine demolition markets, specifically bridge demolition. In the first six months of 2012, demolition revenues accounted for 20% of total revenues, above the prior three year average of 12%. The demolition segment’s principal services consist of exterior and interior demolition of commercial and industrial buildings, dismantling and disposal of aged or failing bridges, site development, salvage and recycling of related materials and removal of hazardous substances and materials. The Company’s demolition operations are one of a few providers in New England with the required licenses, operating expertise, equipment fleet and access to bonding to execute larger, complex industrial demolition projects.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 The Company operates in two reportable segments: dredging and demolition. These reportable segments are the Company’s operating segments and the reporting units at which the Company tests goodwill for impairment.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and six months ended June 30,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920" w:type="dxa"/>
            <w:vAlign w:val="bottom"/>
            <w:gridSpan w:val="4"/>
          </w:tcPr>
          <w:p>
            <w:pPr>
              <w:jc w:val="right"/>
              <w:ind w:right="492"/>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Borders>
              <w:bottom w:val="single" w:sz="8" w:color="auto"/>
            </w:tcBorders>
            <w:gridSpan w:val="2"/>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500" w:type="dxa"/>
            <w:vAlign w:val="bottom"/>
            <w:tcBorders>
              <w:right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4"/>
              </w:rPr>
              <w:t>%</w:t>
            </w:r>
          </w:p>
        </w:tc>
        <w:tc>
          <w:tcPr>
            <w:tcW w:w="960" w:type="dxa"/>
            <w:vAlign w:val="bottom"/>
            <w:tcBorders>
              <w:right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4"/>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(85.7)</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(87.2)</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(86.3)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1000" w:type="dxa"/>
            <w:vAlign w:val="bottom"/>
            <w:tcBorders>
              <w:right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00" w:type="dxa"/>
            <w:vAlign w:val="bottom"/>
            <w:tcBorders>
              <w:right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(3.2)</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(3.2)</w:t>
            </w:r>
          </w:p>
        </w:tc>
        <w:tc>
          <w:tcPr>
            <w:tcW w:w="960" w:type="dxa"/>
            <w:vAlign w:val="bottom"/>
            <w:tcBorders>
              <w:right w:val="single" w:sz="8" w:color="CCEEFF"/>
            </w:tcBorders>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0" w:type="dxa"/>
            <w:vAlign w:val="bottom"/>
            <w:gridSpan w:val="2"/>
          </w:tcPr>
          <w:p>
            <w:pPr>
              <w:jc w:val="right"/>
              <w:ind w:right="352"/>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(0.9)</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(0.3)</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0" w:type="dxa"/>
            <w:vAlign w:val="bottom"/>
            <w:tcBorders>
              <w:right w:val="single" w:sz="8" w:color="CCEEFF"/>
            </w:tcBorders>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2.7 %</w:t>
            </w:r>
          </w:p>
        </w:tc>
        <w:tc>
          <w:tcPr>
            <w:tcW w:w="9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1.1 %</w:t>
            </w:r>
          </w:p>
        </w:tc>
        <w:tc>
          <w:tcPr>
            <w:tcW w:w="960" w:type="dxa"/>
            <w:vAlign w:val="bottom"/>
            <w:tcBorders>
              <w:right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1.7 %</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1000" w:type="dxa"/>
            <w:vAlign w:val="bottom"/>
            <w:gridSpan w:val="2"/>
          </w:tcPr>
          <w:p>
            <w:pPr>
              <w:jc w:val="right"/>
              <w:ind w:right="272"/>
              <w:spacing w:after="0"/>
              <w:rPr>
                <w:sz w:val="20"/>
                <w:szCs w:val="20"/>
                <w:color w:val="auto"/>
              </w:rPr>
            </w:pPr>
            <w:r>
              <w:rPr>
                <w:rFonts w:ascii="Arial" w:cs="Arial" w:eastAsia="Arial" w:hAnsi="Arial"/>
                <w:sz w:val="18"/>
                <w:szCs w:val="18"/>
                <w:color w:val="auto"/>
              </w:rPr>
              <w:t>12.6 %</w:t>
            </w: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rPr>
              <w:t>11.2 %</w:t>
            </w:r>
          </w:p>
        </w:tc>
        <w:tc>
          <w:tcPr>
            <w:tcW w:w="960" w:type="dxa"/>
            <w:vAlign w:val="bottom"/>
            <w:gridSpan w:val="2"/>
          </w:tcPr>
          <w:p>
            <w:pPr>
              <w:jc w:val="right"/>
              <w:ind w:right="292"/>
              <w:spacing w:after="0"/>
              <w:rPr>
                <w:sz w:val="20"/>
                <w:szCs w:val="20"/>
                <w:color w:val="auto"/>
              </w:rPr>
            </w:pPr>
            <w:r>
              <w:rPr>
                <w:rFonts w:ascii="Arial" w:cs="Arial" w:eastAsia="Arial" w:hAnsi="Arial"/>
                <w:sz w:val="18"/>
                <w:szCs w:val="18"/>
                <w:color w:val="auto"/>
              </w:rPr>
              <w:t>11.1 %</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13.5 %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and debt extinguishment.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attributable to Great Lakes Dredge &amp; Dock Corporation: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Great Lakes Dredge &amp; Dock Corporation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Adjusted for: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10,642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9,238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18,804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35,602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41,890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44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Capital—U.S.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44,703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44,480</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71,610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90,509</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Capital—foreign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Beach nourishment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40,458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28,376</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71,641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46,233</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Rivers &amp; lakes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7,461</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11,062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dredging 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134,772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125,085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257,133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261,682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Demolition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29,874</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64,306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48,615</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166,532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154,959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321,439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310,297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Total revenue for the 2012 second quarter was $166.5 million, up $11.5 million or 8% from $155.0 million during the 2011 second quarter. Dredging contract revenues for the three and six months ended June 30, 2012 are net of $0.1 million and $1.4 million in intersegment revenues. Demolition contract revenues for both the three and six months ended June 30, 2012 are net of $0.1 million in intersegment revenues. The increases in beach nourishment, foreign capital and rivers &amp; lakes revenue were offset by a decline in maintenance revenue. Demolition revenue for the quarter was $31.8 million, a 6% increase from $29.9 million a year ago. Revenue for the six months ended June 30, 2012 was up $11.1 million compared to the prior year, primarily due to an increase in demolition revenue.</w:t>
      </w:r>
    </w:p>
    <w:p>
      <w:pPr>
        <w:spacing w:after="0" w:line="10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slightly to $44.7 million, an increase of 1%, in the 2012 second quarter compared to the 2011 second quarter. Domestic capital dredging revenue decreased $18.9 million, or 21%, in the first six months of 2012 compared to the same period in 2011. Domestic capital dredging revenues in the quarter and six months ended June 30, 2012 were primarily generated by work in the Ports of New York, as well as projects in Florida and Louisiana. Capital dredging for the first six months of 2011 included the completion of our work on the construction of sand berms off the coast of Louisiana, which accounted for approximately $19.7 million of revenue, that did not reoccur in 2012.</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Foreign dredging revenue increased $4.8 million, or 30%, for the second quarter of 2012 to $20.8 million, and increased $0.9 million to $38.9 million for the six months ended June 30, 2012. Over 75% of second quarter 2012 foreign revenue was driven by two projects in Bahrain that are new in 2012. The second quarter of 2011 included two projects in South America that did not reoccur in 2012.</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Beach nourishment projects involve moving sand from the ocean floor to shoreline locations where erosion threatens shoreline assets. Beach nourishment revenue in the 2012 second quarter increased $12.1 million, or 43%, from the 2011 second quarter. Year to date 2012 beach nourishment revenue increased $25.4 million, or 55%, compared to the first half of 2011. The significant increase in beach nourishment awards in the prior year created a larger supply of projects in backlog, of which the Company continued to convert into revenue. In the 2012 second quarter, the Company worked on several beach projects, including projects in Florida, New Jersey and Virginia.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in the 2012 second quarter decreased by $8.7 million, or 30%, compared to the 2011 second quarter. Maintenance revenue in the first six months of 2012 decreased by $16.7 million, or 22%, compared to the first six months of 2011. Maintenance revenue in the first six months of 2011 was atypically high as the Company was able to work on maintenance projects that had been delayed from 2010 in order to work on construction of sand berms off the coast of Louisiana. During the second quarter of 2012, the Company performed maintenance dredging in Louisiana, North Carolina and New York.</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second quarter of 2012 was $8.8 million, an increase of $1.3 million or 17% compared to the second quarter of 2011. Rivers &amp; lakes revenue in the first six months of 2012 was $15.8 million, an increase of $4.7 million or 43% compared to the first six months of 2011. The majority of the change relates to better weather conditions in the first quarter of 2012 allowing additional work to progress than otherwise would be possible. Rivers &amp; lakes continued work on its large municipal lake project in Texas as well as other projects along the Mississippi River during the second quarter of 2012.</w:t>
      </w:r>
    </w:p>
    <w:p>
      <w:pPr>
        <w:spacing w:after="0" w:line="120"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Consolidated gross profit for the 2012 second quarter increased by 21% to $23.9 million, from $19.8 million in the second quarter of 2011. Gross profit margin (gross profit divided by revenue) for the 2012 second quarter increased to 14.3% from 12.8% in the 2011 second quarter. Gross profit for the six months ended June 30, 2012 decreased by 7% to $43.9 million from $47.2 million in the same 2011 period, resulting in a decline in gross profit margin to 13.7% from 15.2%. The six month 2012 gross profit margin was lower due to weather impacts and lower dredge fixed cost coverage from the 2012 first quarter.</w:t>
      </w:r>
    </w:p>
    <w:p>
      <w:pPr>
        <w:spacing w:after="0" w:line="1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general and administrative expenses totaled $11.5 million and $24.7 for the three and six months ended June 30, 2012. General and administrative expenses totaled $13.6 million and $25.7 million for the three and six months ended June 30, 2011. The decrease in 2012 is due largely to legal costs of $1.3 million of investigation-related expenses resulting from two subpoenas received by the demolition segment in April 2011. These expenses did not reoccur in 2012. In addition, amortization costs related to intangible assets from the Matteson acquisition have become fully amortized representing a decrease in general and administrative expenses of $0.5 million and $1.1 million for the quarter and six months ended 2012 over the same periods in the prior year.</w:t>
      </w:r>
    </w:p>
    <w:p>
      <w:pPr>
        <w:spacing w:after="0" w:line="1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Operating income for the three months ended June 30, 2012 increased 45% to $12.5 million, while operating income for the six months ended June 30, 2012 decreased 20% to $19.3 million, respectively, compared to the same periods of 2011.</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Company’s net interest expense totaled $5.4 million and $10.6 million, for the three and six months ended June 30, 2012, respectively, compared to $4.9 million and $10.9 million from the same period of 2011. Higher interest expense in the second quarter of 2012 over the same period in 2011 primarily relates to adjustments recorded from changes in fair value on the Company’s interest rate swaps and interest expense from the foreign exchange forward contracts. In the first quarter of 2011, the Company had two debt issuances outstanding at the same time that added duplicative interest expense of $1.1 million.</w:t>
      </w:r>
    </w:p>
    <w:p>
      <w:pPr>
        <w:spacing w:after="0" w:line="11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Income tax expense for the three and six months ended June 30, 2012 was $2.8 million and $3.3 million, respectively, compared to $1.5 million and $3.0 million for the same 2011 periods. This increase was primarily attributable to higher earnings generated in 2012. The effective tax rate for the six months ended June 30, 2012 was 38.9%, which is substantially consistent with the effective tax rate of 39.5% for the same period of 2011. The Company expects the tax rate for the full year to remain near 39%.</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income attributable to Great Lakes Dredge &amp; Dock Corporation was $4.4 million and earnings per diluted share were $0.07 for the 2012 second quarter as compared to $1.7 million and $0.03 for the same 2011 period. Net income attributable to Great Lakes Dredge &amp; Dock Corporation and earnings per diluted share for the six months ended June 30, 2012 was $5.5 million and $0.09, respectively, compared to $4.1 million and $0.07 for the same 2011 period. The increase in the second quarter of 2012 is due to the higher operating income for the period. Net income in 2011 was reduced by a $5.1 million loss on extinguishment of debt. Adjusted EBITDA (as defined on page 26) was $20.9 million and $35.6 million for the three and six months ended June 30, 2012, respectively, compared with $17.3 million and $41.9 million in the same 2011 periods, for the reasons discussed above.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Dredging revenues for the three and six months ended June 30, 2012 were $134.8 million and $257.1 million, respectively, compared to $125.1 million and $261.7 million for the same periods of 2011. Dredging revenues for the six months ended June 30, 2012 were driven by domestic capital work and beach nourishment each generating $71.6 million for the period. The increase in dredging revenue for the three months was due to an increase in beach nourishment, which was partially offset by a decrease in maintenance revenue. Dredging revenue for the six months increased due to continued strong beach nourishment revenue, which was partially offset by decreases in domestic capital revenue during the first quarter of 2011 and lower maintenance revenue year to date in 2012.</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Gross profit margin in the dredging segment was 17.1% and 15.2% for the three and six months ended June 30, 2012 compared to gross profit margin in the dredging segment of 17.3% and 18.9% for the three and six months ended June 30, 2011, respectively, as gross profit was essentially the same for the second quarter of 2012 in comparison to the second quarter of 2011, while decreasing in the six months ended June 30, 2012 due largely to a slow first quarter of 2012 as the mix of project types and offshore weather conditions lowered dredge utilization that resulted in lower fixed cost coverage.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Dredging segment operating income was $13.0 million and $17.9 million for the three and six months ended June 30, 2012, compared to operating income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$13.6 million and $31.4 million for the three and six months ended June 30, 2011, respectively. The decrease in operating income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2012 is a result of the decrease in gross profit in the first quarter of 2012, as mentioned above, along with additional payroll and benefits of $1.9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six months ended June 30, 2012, and the $2.1 million gain on the sale of the dredge </w:t>
      </w:r>
      <w:r>
        <w:rPr>
          <w:rFonts w:ascii="Arial" w:cs="Arial" w:eastAsia="Arial" w:hAnsi="Arial"/>
          <w:sz w:val="16"/>
          <w:szCs w:val="16"/>
          <w:i w:val="1"/>
          <w:iCs w:val="1"/>
          <w:color w:val="auto"/>
        </w:rPr>
        <w:t>Victoria Island</w:t>
      </w:r>
      <w:r>
        <w:rPr>
          <w:rFonts w:ascii="Arial" w:cs="Arial" w:eastAsia="Arial" w:hAnsi="Arial"/>
          <w:sz w:val="16"/>
          <w:szCs w:val="16"/>
          <w:color w:val="auto"/>
        </w:rPr>
        <w:t xml:space="preserve"> in 2011. These items were partially offset as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2011 included $1.1 million of amortization costs related to intangible assets from the Matteson acquisition, which have become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amortized and are not included in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Demolition revenues for the three and six months ended June 30, 2012 totaled $31.8 million and $64.3 million, respectively, compared to $29.9 million and $48.6 million for the same 2011 periods. The demolition segment experienced higher revenue levels in 2012 driven by bridge demolition work and a large site development project in New York as new demolition management has focused on large projects with higher margins in the current year.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Gross profit margin in the demolition segment was 2.5% and 7.5% for the three and six months ended June 30, 2012 compared to a negative gross margin of</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6.2% and 4.5% for the three and six months ended June 30, 2011, respectively. The demolition segment generated an operating loss of $0.5 million and operating income of $1.4 million for the three and six months ended June 30, 2012, respectively, compared to an operating loss of $4.9 million and $7.1 million for the same periods of 2011. The increase in operating income during the first six months of 2012 is due to the increase in gross profit, and the $1.3 million of investigation-related expenses resulting from two subpoenas received in April 2011, which did not occur in the current year.</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r>
      <w:tr>
        <w:trPr>
          <w:trHeight w:val="161"/>
        </w:trPr>
        <w:tc>
          <w:tcPr>
            <w:tcW w:w="408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29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3220" w:type="dxa"/>
            <w:vAlign w:val="bottom"/>
            <w:gridSpan w:val="3"/>
          </w:tcPr>
          <w:p>
            <w:pPr>
              <w:jc w:val="right"/>
              <w:ind w:right="240"/>
              <w:spacing w:after="0"/>
              <w:rPr>
                <w:sz w:val="20"/>
                <w:szCs w:val="20"/>
                <w:color w:val="auto"/>
              </w:rPr>
            </w:pPr>
            <w:r>
              <w:rPr>
                <w:rFonts w:ascii="Arial" w:cs="Arial" w:eastAsia="Arial" w:hAnsi="Arial"/>
                <w:sz w:val="18"/>
                <w:szCs w:val="18"/>
                <w:color w:val="auto"/>
              </w:rPr>
              <w:t>$104,283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109,897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49,086</w:t>
            </w: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3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225,999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53,941</w:t>
            </w: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Beach nourishment</w:t>
            </w:r>
          </w:p>
        </w:tc>
        <w:tc>
          <w:tcPr>
            <w:tcW w:w="3220" w:type="dxa"/>
            <w:vAlign w:val="bottom"/>
            <w:gridSpan w:val="3"/>
          </w:tcPr>
          <w:p>
            <w:pPr>
              <w:jc w:val="right"/>
              <w:ind w:right="240"/>
              <w:spacing w:after="0"/>
              <w:rPr>
                <w:sz w:val="20"/>
                <w:szCs w:val="20"/>
                <w:color w:val="auto"/>
              </w:rPr>
            </w:pPr>
            <w:r>
              <w:rPr>
                <w:rFonts w:ascii="Arial" w:cs="Arial" w:eastAsia="Arial" w:hAnsi="Arial"/>
                <w:sz w:val="18"/>
                <w:szCs w:val="18"/>
                <w:color w:val="auto"/>
              </w:rPr>
              <w:t>34,111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84,607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62,228</w:t>
            </w: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3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12,935</w:t>
            </w: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2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15,256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18,355</w:t>
            </w: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Dredging Backlog</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319,432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196,545</w:t>
            </w: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2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74,087</w:t>
            </w: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455,253</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370,104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270,632</w:t>
            </w: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24%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domestic dredging bid market for the 2012 second quarter totaled $123.6 million, resulting in $353.2 million of work awarded during the first six months of 2012. This represents an increase of $19.8 million from the first half in the prior year. The second quarter of each year typically has fewer projects let to bid. The Company won 76%, or $20.0 million, of the beach nourishment projects awarded through June 30, 2012, as well as 16%, or $34.2 million, of the maintenance projects along with 96%, or $53.4 million, of capital projects and 42% or $24.1 million, of the rivers &amp; lakes projects awarded year to date through June 30, 2012. The Company won 37% of the overall domestic bid market through June 30, 2012, which is in line with the Company’s prior three year average of 39%. Variability in contract wins from quarter to quarter is not unusual and one quarter’s win rate is generally not indicative of the win rate the Company is likely to achieve for a full year.</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Several important developments occurred in the second quarter of 2012 that the Company expects to increase the domestic dredging bid market throughout the remainder of the current year and into future years. At the end of June, leaders in Congress agreed in principal to a $105 billion bill that provides highway funding for two years. Within this bill were provisions related to maritime issues, in particular spending provisions related to the Harbor Maintenance Trust Fund (“HMTF”) and the RESTORE Act. Each of these sections of the bill has significant impacts to dredging appropriations. The bill represented strong bicameral and bipartisan support for the infrastructure needs of our nation and easily passed Congress and was signed by the President.</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Included in the bill are provisions calling for appropriation of HMTF monies to the Corps so that total budget resources on harbor maintenance for a fiscal year will be equal to the level of receipts. The recognition of the need for additional investment in U.S. ports and waterways is expected to support an increase of appropriations to future Corps’ budgets for maintenance dredging. Also included in the bill was a complete version of the RESTORE Act which requires 80 percent of all administrative, civil, and criminal penalties paid by a responsible party in connection with the Deepwater Horizon oil spill, to be deposited into a fund, together with any additional appropriations provided by law. This allocation will be directed to the Gulf States affected by the incident, most of which is intended for coastal protection works that generally include significant dredging.</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July the Administration followed with an announcement in July that the Corps will accelerate the approval process by at least nine months for deepening projects in five key East Coast ports. The President has announced that there are 43 priority infrastructure projects in total that are expected to be expedited. The public investment in port infrastructure is necessary as the ongoing expansion of the Panama Canal and initiatives to increase exports heightens the need for the U.S. to deepen its East and Gulf Coast ports to facilitate larger draft vessels from international trade. The announced acceleration will likely streamline feasibility studies and permitting to allow the Corps to complete many of the projects on a schedule in anticipation of the increased traffic expected through the Panama Canal.</w:t>
      </w:r>
    </w:p>
    <w:p>
      <w:pPr>
        <w:spacing w:after="0" w:line="14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Company’s contracted dredging backlog was $398.5 million at June 30, 2012 compared to $319.4 million as of December 31, 2011. These amounts do not reflect approximately $28.5 million of domestic low bids pending formal award and additional phases (“options”) pending on projects currently in backlog at June 30, 2012. At December 31, 2011 the amount of domestic low bids and options pending award was $36.1 million.</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Domestic capital dredging backlog at June 30, 2012 was $5.6 million less than at December 31, 2011 as the Company continued to execute on its backlog previously awarded for capital projects in New York, Florida and Louisiana. Although few capital projects were let to bid in the second quarter, the Company still anticipates a strong capital dredging bid market in 2012 including the deepening project in Miami which is expected to be released in this year.</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Beach nourishment dredging backlog at June 30, 2012 was $50.5 million lower than at December 31, 2011 as the Company worked off its prior backlog related to several beach projects on the East Coast and in Florida. There were no new beach nourishment projects let to bid in the quarter, but the Corps has announced the intention to bring several new beach nourishment projects in the next year. The Company’s backlog includes the large beach project in San Diego won in the first quarter of 2012.</w:t>
      </w:r>
    </w:p>
    <w:p>
      <w:pPr>
        <w:spacing w:after="0" w:line="143"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Maintenance dredging backlog was $20.4 million lower at June 30, 2012 than at December 31, 2011. A significant contract for $10.8 million with pending options worth $6.0 million was added in the second quarter for channel maintenance in Louisiana. The additional contract was offset by continued work on existing projects in Louisiana, Georgia and Baltimore Harbor.</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Rivers &amp; lakes backlog is $7.9 million higher at June 30, 2012 than at December 31, 2011. Rivers &amp; lakes continued to earn on projects in its backlog, including work on the large municipal lake project of $12.5 million and levee repair projects won in the first quarter of 2012. Rivers &amp; lakes also has $7.3 million of pending options for rental work on the Mississippi River that are not included in backlog. The Corps is expected to let to bid several projects in the second half of 2012 related to flood repair on the Mississippi River and its tributaries that rivers &amp; lakes expects to pursue.</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Foreign capital dredging backlog increased $147.6 million at June 30, 2012 from December 31, 2011, due primarily to the award of the dredging contract for the Wheatstone LNG Project in Western Australia. The Company expects to realize at least $180 million in revenue on this project with the potential for greater income as the project details are finalized. The Company will deploy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on the Company’s portion of the project for about 27 months to complete this significant international dredging opportunity. The Company also sees additional opportunities in the Middle East, Southeast Asia and South America that it continues to pursue.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Demolition services backlog was $6.1 million higher at June 30, 2012 from December 31, 2011. New projects awarded in the six months ended June 30, 2012 include the $22.2 million brownfield remediation project in New Jersey that was pending award at year end and three large civil site development projects that are expected each to generate over $3 million of revenue. A large portion of the backlog earned in the first six months of 2012 relates to the new management’s focus on large complex projects such as municipal developments in New York and specialty work such as bridge demolition in Louisiana, New Hampshire and New York.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Dredge New York litigation development</w:t>
      </w:r>
    </w:p>
    <w:p>
      <w:pPr>
        <w:spacing w:after="0" w:line="90"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 xml:space="preserve">During the prior quarter ended March 31, 2012, a judgment in the aggregate amount of $13.3 was rendered in the Company’s favor in its litigation regarding the dredge </w:t>
      </w:r>
      <w:r>
        <w:rPr>
          <w:rFonts w:ascii="Arial" w:cs="Arial" w:eastAsia="Arial" w:hAnsi="Arial"/>
          <w:sz w:val="15"/>
          <w:szCs w:val="15"/>
          <w:i w:val="1"/>
          <w:iCs w:val="1"/>
          <w:color w:val="auto"/>
        </w:rPr>
        <w:t>New York</w:t>
      </w:r>
      <w:r>
        <w:rPr>
          <w:rFonts w:ascii="Arial" w:cs="Arial" w:eastAsia="Arial" w:hAnsi="Arial"/>
          <w:sz w:val="15"/>
          <w:szCs w:val="15"/>
          <w:color w:val="auto"/>
        </w:rPr>
        <w:t xml:space="preserve"> loss of use claim. The defendants are appealing the judgment and the Company cannot be assured when the appeal will be heard or predict the outcome of the appellate process. For additional information regarding this matter, see Note 9 to the Company’s condensed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net cash used in operating activities for the six months ended June 30, 2012 and 2011 totaled $15.2 million, and $10.4 million, respectively. Normal increases or decreases in the level of working capital relative to the level of operational activity impact cash flow from operating activities. In the first six months of 2012, the increase in net cash used in operating activities was primarily the result of lower adjusted EBITDA and an increased investment in working capital as compared to the same period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Company’s net cash flows used in investing activities for the first six months of 2012 and 2011 totaled $22.2 million and $6.3 million, respectively. Investing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in both periods primarily relate to normal course upgrades and capital maintenance of the Company’s dredging fleet.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June 30, 2012, the Company overhauled the engines on the dredge </w:t>
      </w:r>
      <w:r>
        <w:rPr>
          <w:rFonts w:ascii="Arial" w:cs="Arial" w:eastAsia="Arial" w:hAnsi="Arial"/>
          <w:sz w:val="15"/>
          <w:szCs w:val="15"/>
          <w:i w:val="1"/>
          <w:iCs w:val="1"/>
          <w:color w:val="auto"/>
        </w:rPr>
        <w:t>Alaska</w:t>
      </w:r>
      <w:r>
        <w:rPr>
          <w:rFonts w:ascii="Arial" w:cs="Arial" w:eastAsia="Arial" w:hAnsi="Arial"/>
          <w:sz w:val="15"/>
          <w:szCs w:val="15"/>
          <w:color w:val="auto"/>
        </w:rPr>
        <w:t xml:space="preserve"> to provide increased useful life and efficiency. This engine overhaul added $5.3 million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investing capital expenditures during the six months ended June 30, 2012. Additionally, the Company purchased a $6.4 million storage yard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months ended June 30, 2012. During the six months ended June 30, 2011, the Company sold the dredge </w:t>
      </w:r>
      <w:r>
        <w:rPr>
          <w:rFonts w:ascii="Arial" w:cs="Arial" w:eastAsia="Arial" w:hAnsi="Arial"/>
          <w:sz w:val="16"/>
          <w:szCs w:val="16"/>
          <w:i w:val="1"/>
          <w:iCs w:val="1"/>
          <w:color w:val="auto"/>
        </w:rPr>
        <w:t>Victoria Island</w:t>
      </w:r>
      <w:r>
        <w:rPr>
          <w:rFonts w:ascii="Arial" w:cs="Arial" w:eastAsia="Arial" w:hAnsi="Arial"/>
          <w:sz w:val="16"/>
          <w:szCs w:val="16"/>
          <w:color w:val="auto"/>
        </w:rPr>
        <w:t xml:space="preserve"> for $6.6 million of cash proceeds.</w:t>
      </w:r>
    </w:p>
    <w:p>
      <w:pPr>
        <w:spacing w:after="0" w:line="1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net cash flows provided by (used in) financing activities for the six months ended June 30, 2012 and 2011 totaled ($5.1) million and $64.3 million, respectively. The Company issued $250 million of 7.375% senior notes in the first six months of 2011, resulting in $244.2 million of net proceeds. The Company used a portion of these net proceeds to redeem its $175 million of 7.75% senior subordinated notes in the first three months of 2011 for $180.0 million, which included a redemption premium and unpaid interest.</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paid $2.5 million in dividends in the first six months of 2012. The future declaration and payment of dividends will be at the discretion of the Company’s board of directors and will depend on many factors, including general economic and business conditions, the Company’s strategic plans, financial results and condition and legal requirements, including restrictions and limitations contained in the revolving credit facility and the indenture relating to its senior notes. Accordingly, the Company cannot make any assurances as to the size of any such dividend or that it will pay any such dividend in future quarters.</w:t>
      </w:r>
    </w:p>
    <w:p>
      <w:pPr>
        <w:spacing w:after="0" w:line="11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obligations under its international letter of credit facility are secured by the Company’s foreign accounts receivable. The Company’s obligations under its senior notes are unsecured. The Company’s material agreements related to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June 30, 2012.</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Brazilian Real, is reflected in the cumulative translation adjustment, 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revolving credit facility and bonding agreement, depends on its future operating performance and cash flows, which in turn, are subject to prevailing economic conditions and to financial, business and other factors, some of which are beyond the Company’s control.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June 30, 2012 has not materially changed since December 31, 2011. The market risk profile of the Company on December 31, 2011 is disclosed in Item 7A. “Quantitative and Qualitative Disclosures about Market Risk” of the Company’s Annual Report on Form 10-K for the year ended December 31, 2011.</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Company’s disclosure controls and procedures, as required by Rule 13a-15(b) and 15d-15(b) under the Securities Exchange Act of 1934 (the “Exchange Act”) as of June 30, 2012.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fiscal quarter ended June 30, 2012 that have materially affected, or are reasonably likely to materially affect, our internal control over financial reporting.</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three months ended June 30, 2012 to the risk factors previously disclosed in Item 1A. Risk Factors in the Company’s Annual Report on Form 10-K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80"/>
          </w:cols>
          <w:pgMar w:left="240" w:top="459" w:right="8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10440" w:type="dxa"/>
            <w:vAlign w:val="bottom"/>
          </w:tcPr>
          <w:p>
            <w:pPr>
              <w:ind w:left="240"/>
              <w:spacing w:after="0"/>
              <w:rPr>
                <w:sz w:val="20"/>
                <w:szCs w:val="20"/>
                <w:color w:val="auto"/>
              </w:rPr>
            </w:pPr>
            <w:r>
              <w:rPr>
                <w:rFonts w:ascii="Arial" w:cs="Arial" w:eastAsia="Arial" w:hAnsi="Arial"/>
                <w:sz w:val="18"/>
                <w:szCs w:val="18"/>
                <w:color w:val="auto"/>
                <w:w w:val="97"/>
              </w:rPr>
              <w:t>Employment Agreement dated as of April 9, 2012 between Great Lakes Dredge &amp; Dock Company, LLC and David E. Simonelli. (1)</w:t>
            </w:r>
          </w:p>
        </w:tc>
      </w:tr>
      <w:tr>
        <w:trPr>
          <w:trHeight w:val="32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10.2</w:t>
            </w:r>
          </w:p>
        </w:tc>
        <w:tc>
          <w:tcPr>
            <w:tcW w:w="10440" w:type="dxa"/>
            <w:vAlign w:val="bottom"/>
          </w:tcPr>
          <w:p>
            <w:pPr>
              <w:ind w:left="240"/>
              <w:spacing w:after="0"/>
              <w:rPr>
                <w:sz w:val="20"/>
                <w:szCs w:val="20"/>
                <w:color w:val="auto"/>
              </w:rPr>
            </w:pPr>
            <w:r>
              <w:rPr>
                <w:rFonts w:ascii="Arial" w:cs="Arial" w:eastAsia="Arial" w:hAnsi="Arial"/>
                <w:sz w:val="18"/>
                <w:szCs w:val="18"/>
                <w:color w:val="auto"/>
                <w:w w:val="98"/>
              </w:rPr>
              <w:t>Employment Agreement dated as of April 26, 2012 between Great Lakes Dredge &amp; Dock Company, LLC and Kyle D. Johnson. (2)</w:t>
            </w:r>
          </w:p>
        </w:tc>
      </w:tr>
      <w:tr>
        <w:trPr>
          <w:trHeight w:val="32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10.3</w:t>
            </w:r>
          </w:p>
        </w:tc>
        <w:tc>
          <w:tcPr>
            <w:tcW w:w="10440" w:type="dxa"/>
            <w:vAlign w:val="bottom"/>
          </w:tcPr>
          <w:p>
            <w:pPr>
              <w:ind w:left="240"/>
              <w:spacing w:after="0"/>
              <w:rPr>
                <w:sz w:val="20"/>
                <w:szCs w:val="20"/>
                <w:color w:val="auto"/>
              </w:rPr>
            </w:pPr>
            <w:r>
              <w:rPr>
                <w:rFonts w:ascii="Arial" w:cs="Arial" w:eastAsia="Arial" w:hAnsi="Arial"/>
                <w:sz w:val="18"/>
                <w:szCs w:val="18"/>
                <w:color w:val="auto"/>
              </w:rPr>
              <w:t>Employment Agreement dated as of April 26, 2012 between Great Lakes Dredge &amp; Dock Company, LLC and John F. Karas. (3)</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10.4</w:t>
            </w: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Credit Agreement dated as of June 4, 2012 by and among Great Lakes Dredge &amp; Dock Corporation, as Borrower, the other Credit Parties party</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thereto, the financial institutions from time to time party thereto as lenders, Wells Fargo Bank, National Association, as Administrative Agent,</w:t>
            </w:r>
          </w:p>
        </w:tc>
      </w:tr>
      <w:tr>
        <w:trPr>
          <w:trHeight w:val="216"/>
        </w:trPr>
        <w:tc>
          <w:tcPr>
            <w:tcW w:w="92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Swingline Lender and an Issuing Lender, Bank of America, N.A., as Syndication Agent and PNC Bank, National Association, BMO Harris Bank</w:t>
            </w:r>
          </w:p>
        </w:tc>
      </w:tr>
      <w:tr>
        <w:trPr>
          <w:trHeight w:val="222"/>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N.A. and Fifth Third Bank, as Co-Documentation Agents. (4)</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9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2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right="12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April 13, 2012 (Commission file no. 001-33225).</w:t>
      </w:r>
    </w:p>
    <w:p>
      <w:pPr>
        <w:ind w:left="460" w:right="2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May 2, 2012 (Commission file no. 001-33225).</w:t>
      </w:r>
    </w:p>
    <w:p>
      <w:pPr>
        <w:ind w:left="460" w:right="2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with the SEC on May 2, 2012 (Commission file no. 001-33225).</w:t>
      </w:r>
    </w:p>
    <w:p>
      <w:pPr>
        <w:ind w:left="460" w:right="2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June 7, 2012 (Commission file no. 001-33225).</w:t>
      </w:r>
    </w:p>
    <w:p>
      <w:pPr>
        <w:spacing w:after="0" w:line="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552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J. B</w:t>
      </w:r>
      <w:r>
        <w:rPr>
          <w:rFonts w:ascii="Arial" w:cs="Arial" w:eastAsia="Arial" w:hAnsi="Arial"/>
          <w:sz w:val="14"/>
          <w:szCs w:val="14"/>
          <w:color w:val="auto"/>
        </w:rPr>
        <w:t>IEMECK</w:t>
      </w:r>
    </w:p>
    <w:p>
      <w:pPr>
        <w:spacing w:after="0" w:line="17"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6"/>
          <w:szCs w:val="16"/>
          <w:b w:val="1"/>
          <w:bCs w:val="1"/>
          <w:color w:val="auto"/>
        </w:rPr>
        <w:t>(Principal Financial and Accounting Officer and Duly Authorized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02"/>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Employment Agreement dated as of April 9, 2012 between Great Lakes Dredge &amp; Dock Company, LLC and David E. Simonelli. (1)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Employment Agreement dated as of April 26, 2012 between Great Lakes Dredge &amp; Dock Company, LLC and Kyle D. Johnson. (2)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April 26, 2012 between Great Lakes Dredge &amp; Dock Company, LLC and John F. Karas. (3)</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Credit Agreement dated as of June 4, 2012 by and among Great Lakes Dredge &amp; Dock Corporation, as Borrower, the other Credit Parties party</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thereto, the financial institutions from time to time party thereto as lenders, Wells Fargo Bank, National Association, as Administrative Agent,</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Swingline Lender and an Issuing Lender, Bank of America, N.A., as Syndication Agent and PNC Bank, National Association, BMO Harris Bank</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N.A. and Fifth Third Bank, as Co-Documentation Agents. (4)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right="1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April 13, 2012 (Commission file no. 001-33225).</w:t>
      </w:r>
    </w:p>
    <w:p>
      <w:pPr>
        <w:ind w:left="460" w:right="3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May 2, 2012 (Commission file no. 001-33225).</w:t>
      </w:r>
    </w:p>
    <w:p>
      <w:pPr>
        <w:ind w:left="460" w:right="3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with the SEC on May 2, 2012 (Commission file no. 001-33225).</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with the SEC on June 7, 2012 (Commission file no. 001-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33225).</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2012,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2012</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June 30, 2012, as filed with the Securities and Exchange Commission on the date hereof (the “Report”), I, Bruce J. Biemeck, President and Chief Financial Officer, certify pursuant to 18 U.S.C. Section 1350, as adopted pursuant to Section 906 of the Sarbanes-Oxley Act of 2002, that:</w:t>
      </w:r>
    </w:p>
    <w:p>
      <w:pPr>
        <w:spacing w:after="0" w:line="5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2012</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9"/>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2019-12-09T17:08:32Z</dcterms:created>
  <dcterms:modified xsi:type="dcterms:W3CDTF">2019-12-09T17:08:32Z</dcterms:modified>
</cp:coreProperties>
</file>