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1380" w:hanging="900"/>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w:t>
      </w:r>
    </w:p>
    <w:p>
      <w:pPr>
        <w:spacing w:after="0" w:line="25" w:lineRule="exact"/>
        <w:rPr>
          <w:rFonts w:ascii="MS PGothic" w:cs="MS PGothic" w:eastAsia="MS PGothic" w:hAnsi="MS PGothic"/>
          <w:sz w:val="21"/>
          <w:szCs w:val="21"/>
          <w:color w:val="auto"/>
        </w:rPr>
      </w:pPr>
    </w:p>
    <w:p>
      <w:pPr>
        <w:ind w:left="55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1360" w:hanging="880"/>
        <w:spacing w:after="0"/>
        <w:tabs>
          <w:tab w:leader="none" w:pos="13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w:t>
      </w:r>
    </w:p>
    <w:p>
      <w:pPr>
        <w:spacing w:after="0" w:line="14" w:lineRule="exact"/>
        <w:rPr>
          <w:rFonts w:ascii="MS PGothic" w:cs="MS PGothic" w:eastAsia="MS PGothic" w:hAnsi="MS PGothic"/>
          <w:sz w:val="22"/>
          <w:szCs w:val="22"/>
          <w:color w:val="auto"/>
        </w:rPr>
      </w:pPr>
    </w:p>
    <w:p>
      <w:pPr>
        <w:ind w:left="55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ACT OF 1934</w:t>
      </w:r>
    </w:p>
    <w:p>
      <w:pPr>
        <w:spacing w:after="0" w:line="56"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3020" w:type="dxa"/>
            <w:vAlign w:val="bottom"/>
            <w:gridSpan w:val="2"/>
          </w:tcPr>
          <w:p>
            <w:pPr>
              <w:jc w:val="center"/>
              <w:ind w:right="388"/>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jc w:val="right"/>
              <w:ind w:right="1698"/>
              <w:spacing w:after="0"/>
              <w:rPr>
                <w:sz w:val="20"/>
                <w:szCs w:val="20"/>
                <w:color w:val="auto"/>
              </w:rPr>
            </w:pPr>
            <w:r>
              <w:rPr>
                <w:rFonts w:ascii="Arial" w:cs="Arial" w:eastAsia="Arial" w:hAnsi="Arial"/>
                <w:sz w:val="18"/>
                <w:szCs w:val="18"/>
                <w:b w:val="1"/>
                <w:bCs w:val="1"/>
                <w:color w:val="auto"/>
              </w:rPr>
              <w:t>20-5336063</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02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jc w:val="center"/>
              <w:ind w:right="113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02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180" w:type="dxa"/>
            <w:vAlign w:val="bottom"/>
          </w:tcPr>
          <w:p>
            <w:pPr>
              <w:jc w:val="center"/>
              <w:ind w:right="115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13"/>
        </w:trPr>
        <w:tc>
          <w:tcPr>
            <w:tcW w:w="960" w:type="dxa"/>
            <w:vAlign w:val="bottom"/>
          </w:tcPr>
          <w:p>
            <w:pPr>
              <w:spacing w:after="0"/>
              <w:rPr>
                <w:sz w:val="24"/>
                <w:szCs w:val="24"/>
                <w:color w:val="auto"/>
              </w:rPr>
            </w:pPr>
          </w:p>
        </w:tc>
        <w:tc>
          <w:tcPr>
            <w:tcW w:w="302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3"/>
              </w:rPr>
              <w:t>2122 York Road, Oak Brook, IL</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80" w:type="dxa"/>
            <w:vAlign w:val="bottom"/>
          </w:tcPr>
          <w:p>
            <w:pPr>
              <w:jc w:val="right"/>
              <w:ind w:right="1898"/>
              <w:spacing w:after="0"/>
              <w:rPr>
                <w:sz w:val="20"/>
                <w:szCs w:val="20"/>
                <w:color w:val="auto"/>
              </w:rPr>
            </w:pPr>
            <w:r>
              <w:rPr>
                <w:rFonts w:ascii="Arial" w:cs="Arial" w:eastAsia="Arial" w:hAnsi="Arial"/>
                <w:sz w:val="18"/>
                <w:szCs w:val="18"/>
                <w:b w:val="1"/>
                <w:bCs w:val="1"/>
                <w:color w:val="auto"/>
              </w:rPr>
              <w:t>60523</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02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180" w:type="dxa"/>
            <w:vAlign w:val="bottom"/>
          </w:tcPr>
          <w:p>
            <w:pPr>
              <w:jc w:val="center"/>
              <w:ind w:right="115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0"/>
              </w:rPr>
              <w:t>(630) 574-3000</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760" w:type="dxa"/>
            <w:vAlign w:val="bottom"/>
            <w:gridSpan w:val="5"/>
          </w:tcPr>
          <w:p>
            <w:pPr>
              <w:jc w:val="center"/>
              <w:ind w:left="88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980" w:type="dxa"/>
            <w:vAlign w:val="bottom"/>
            <w:gridSpan w:val="3"/>
            <w:vMerge w:val="continue"/>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3020" w:type="dxa"/>
            <w:vAlign w:val="bottom"/>
            <w:gridSpan w:val="2"/>
          </w:tcPr>
          <w:p>
            <w:pPr>
              <w:jc w:val="center"/>
              <w:ind w:right="1668"/>
              <w:spacing w:after="0" w:line="201" w:lineRule="exact"/>
              <w:rPr>
                <w:sz w:val="20"/>
                <w:szCs w:val="20"/>
                <w:color w:val="auto"/>
              </w:rPr>
            </w:pPr>
            <w:r>
              <w:rPr>
                <w:rFonts w:ascii="Arial" w:cs="Arial" w:eastAsia="Arial" w:hAnsi="Arial"/>
                <w:sz w:val="18"/>
                <w:szCs w:val="18"/>
                <w:color w:val="auto"/>
                <w:w w:val="88"/>
              </w:rPr>
              <w:t>Title of each class</w:t>
            </w:r>
          </w:p>
        </w:tc>
        <w:tc>
          <w:tcPr>
            <w:tcW w:w="3020" w:type="dxa"/>
            <w:vAlign w:val="bottom"/>
            <w:gridSpan w:val="4"/>
          </w:tcPr>
          <w:p>
            <w:pPr>
              <w:jc w:val="center"/>
              <w:ind w:right="800"/>
              <w:spacing w:after="0" w:line="201" w:lineRule="exact"/>
              <w:rPr>
                <w:sz w:val="20"/>
                <w:szCs w:val="20"/>
                <w:color w:val="auto"/>
              </w:rPr>
            </w:pPr>
            <w:r>
              <w:rPr>
                <w:rFonts w:ascii="Arial" w:cs="Arial" w:eastAsia="Arial" w:hAnsi="Arial"/>
                <w:sz w:val="18"/>
                <w:szCs w:val="18"/>
                <w:color w:val="auto"/>
                <w:w w:val="91"/>
              </w:rPr>
              <w:t>Trading Symbol(s)</w:t>
            </w:r>
          </w:p>
        </w:tc>
        <w:tc>
          <w:tcPr>
            <w:tcW w:w="3180" w:type="dxa"/>
            <w:vAlign w:val="bottom"/>
          </w:tcPr>
          <w:p>
            <w:pPr>
              <w:jc w:val="center"/>
              <w:spacing w:after="0" w:line="201" w:lineRule="exact"/>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980" w:type="dxa"/>
            <w:vAlign w:val="bottom"/>
            <w:gridSpan w:val="3"/>
          </w:tcPr>
          <w:p>
            <w:pPr>
              <w:jc w:val="center"/>
              <w:ind w:right="708"/>
              <w:spacing w:after="0"/>
              <w:rPr>
                <w:sz w:val="20"/>
                <w:szCs w:val="20"/>
                <w:color w:val="auto"/>
              </w:rPr>
            </w:pPr>
            <w:r>
              <w:rPr>
                <w:rFonts w:ascii="Arial" w:cs="Arial" w:eastAsia="Arial" w:hAnsi="Arial"/>
                <w:sz w:val="18"/>
                <w:szCs w:val="18"/>
                <w:color w:val="auto"/>
                <w:w w:val="89"/>
              </w:rPr>
              <w:t>Common Stock (Par Value $0.0001)</w:t>
            </w:r>
          </w:p>
        </w:tc>
        <w:tc>
          <w:tcPr>
            <w:tcW w:w="440" w:type="dxa"/>
            <w:vAlign w:val="bottom"/>
          </w:tcPr>
          <w:p>
            <w:pPr>
              <w:spacing w:after="0"/>
              <w:rPr>
                <w:sz w:val="24"/>
                <w:szCs w:val="24"/>
                <w:color w:val="auto"/>
              </w:rPr>
            </w:pPr>
          </w:p>
        </w:tc>
        <w:tc>
          <w:tcPr>
            <w:tcW w:w="258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GLDD</w:t>
            </w: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3"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4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2020, 64,795,114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31"/>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31, 2020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Condensed Consolidated Statements of Comprehensive Income for the Three Months ended March 31,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Equity for the Three Months Ended March 31,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2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2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2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7"/>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5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5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tcPr>
          <w:p>
            <w:pPr>
              <w:ind w:left="2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8"/>
        </w:trPr>
        <w:tc>
          <w:tcPr>
            <w:tcW w:w="820" w:type="dxa"/>
            <w:vAlign w:val="bottom"/>
          </w:tcPr>
          <w:p>
            <w:pPr>
              <w:spacing w:after="0"/>
              <w:rPr>
                <w:sz w:val="24"/>
                <w:szCs w:val="24"/>
                <w:color w:val="auto"/>
              </w:rPr>
            </w:pPr>
          </w:p>
        </w:tc>
        <w:tc>
          <w:tcPr>
            <w:tcW w:w="9520" w:type="dxa"/>
            <w:vAlign w:val="bottom"/>
          </w:tcPr>
          <w:p>
            <w:pPr>
              <w:ind w:left="22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4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186,995</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revenues in excess of billings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30,189</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41,183</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350,308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300,712</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371,884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374,596</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72,612</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61,126</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ASSETS HELD FOR SALE— Noncurrent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w:t>
            </w:r>
          </w:p>
        </w:tc>
        <w:tc>
          <w:tcPr>
            <w:tcW w:w="100" w:type="dxa"/>
            <w:vAlign w:val="bottom"/>
            <w:shd w:val="clear" w:color="auto" w:fill="CFF0FC"/>
          </w:tcPr>
          <w:p>
            <w:pPr>
              <w:spacing w:after="0"/>
              <w:rPr>
                <w:sz w:val="19"/>
                <w:szCs w:val="19"/>
                <w:color w:val="auto"/>
              </w:rPr>
            </w:pPr>
          </w:p>
        </w:tc>
      </w:tr>
      <w:tr>
        <w:trPr>
          <w:trHeight w:val="263"/>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955,879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897,552</w:t>
            </w:r>
          </w:p>
        </w:tc>
        <w:tc>
          <w:tcPr>
            <w:tcW w:w="100" w:type="dxa"/>
            <w:vAlign w:val="bottom"/>
            <w:tcBorders>
              <w:bottom w:val="single" w:sz="8" w:color="CFF0FC"/>
            </w:tcBorders>
          </w:tcPr>
          <w:p>
            <w:pPr>
              <w:spacing w:after="0"/>
              <w:rPr>
                <w:sz w:val="22"/>
                <w:szCs w:val="22"/>
                <w:color w:val="auto"/>
              </w:rPr>
            </w:pPr>
          </w:p>
        </w:tc>
      </w:tr>
      <w:tr>
        <w:trPr>
          <w:trHeight w:val="210"/>
        </w:trPr>
        <w:tc>
          <w:tcPr>
            <w:tcW w:w="7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79,917</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76,091</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51,225</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21,351</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contract revenues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216,107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203,933</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323,066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322,843</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LIABILITIES—Noncurrent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51,131</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35,740</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649,250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618,153</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8"/>
                <w:szCs w:val="18"/>
                <w:color w:val="auto"/>
                <w:w w:val="95"/>
              </w:rPr>
              <w:t>Common stock—$.0001 par value; 90,000 authorized, 64,795 and 64,283 shares issued and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outstanding at March 31, 2020 and December 31, 2019, respectively.</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302,189</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Retained earnings (accumulated deficit)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(23,091)</w:t>
            </w: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(6,831)</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equity</w:t>
            </w:r>
          </w:p>
        </w:tc>
        <w:tc>
          <w:tcPr>
            <w:tcW w:w="4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306,629</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279,399</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955,879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897,552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-3175</wp:posOffset>
            </wp:positionV>
            <wp:extent cx="2459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28"/>
        </w:trPr>
        <w:tc>
          <w:tcPr>
            <w:tcW w:w="6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12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217,695</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192,637</w:t>
            </w:r>
          </w:p>
        </w:tc>
        <w:tc>
          <w:tcPr>
            <w:tcW w:w="14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0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149,221</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142,760</w:t>
            </w:r>
          </w:p>
        </w:tc>
        <w:tc>
          <w:tcPr>
            <w:tcW w:w="14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68,474</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49,877</w:t>
            </w:r>
          </w:p>
        </w:tc>
        <w:tc>
          <w:tcPr>
            <w:tcW w:w="14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15,571</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14,825</w:t>
            </w:r>
          </w:p>
        </w:tc>
        <w:tc>
          <w:tcPr>
            <w:tcW w:w="14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FF0FC"/>
          </w:tcPr>
          <w:p>
            <w:pPr>
              <w:spacing w:after="0"/>
              <w:rPr>
                <w:sz w:val="19"/>
                <w:szCs w:val="19"/>
                <w:color w:val="auto"/>
              </w:rPr>
            </w:pPr>
          </w:p>
        </w:tc>
      </w:tr>
      <w:tr>
        <w:trPr>
          <w:trHeight w:val="223"/>
        </w:trPr>
        <w:tc>
          <w:tcPr>
            <w:tcW w:w="62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53,048</w:t>
            </w: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34,773</w:t>
            </w:r>
          </w:p>
        </w:tc>
        <w:tc>
          <w:tcPr>
            <w:tcW w:w="14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(6,630)</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(7,551)</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(1,121)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r>
      <w:tr>
        <w:trPr>
          <w:trHeight w:val="223"/>
        </w:trPr>
        <w:tc>
          <w:tcPr>
            <w:tcW w:w="6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continuing operations before income taxes</w:t>
            </w:r>
          </w:p>
        </w:tc>
        <w:tc>
          <w:tcPr>
            <w:tcW w:w="10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45,297</w:t>
            </w: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27,394</w:t>
            </w: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(11,310)</w:t>
            </w:r>
          </w:p>
        </w:tc>
        <w:tc>
          <w:tcPr>
            <w:tcW w:w="4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(6,846)</w:t>
            </w:r>
          </w:p>
        </w:tc>
      </w:tr>
      <w:tr>
        <w:trPr>
          <w:trHeight w:val="223"/>
        </w:trPr>
        <w:tc>
          <w:tcPr>
            <w:tcW w:w="6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(3,380)</w:t>
            </w:r>
          </w:p>
        </w:tc>
      </w:tr>
      <w:tr>
        <w:trPr>
          <w:trHeight w:val="223"/>
        </w:trPr>
        <w:tc>
          <w:tcPr>
            <w:tcW w:w="6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attributable to continuing operations</w:t>
            </w:r>
          </w:p>
        </w:tc>
        <w:tc>
          <w:tcPr>
            <w:tcW w:w="212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0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64,455</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62,882</w:t>
            </w:r>
          </w:p>
        </w:tc>
        <w:tc>
          <w:tcPr>
            <w:tcW w:w="14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Diluted earnings per share attributable to continuing operations</w:t>
            </w:r>
          </w:p>
        </w:tc>
        <w:tc>
          <w:tcPr>
            <w:tcW w:w="21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0.52</w:t>
            </w:r>
          </w:p>
        </w:tc>
        <w:tc>
          <w:tcPr>
            <w:tcW w:w="3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40" w:type="dxa"/>
            <w:vAlign w:val="bottom"/>
          </w:tcPr>
          <w:p>
            <w:pPr>
              <w:spacing w:after="0"/>
              <w:rPr>
                <w:sz w:val="19"/>
                <w:szCs w:val="19"/>
                <w:color w:val="auto"/>
              </w:rPr>
            </w:pPr>
          </w:p>
        </w:tc>
        <w:tc>
          <w:tcPr>
            <w:tcW w:w="1080" w:type="dxa"/>
            <w:vAlign w:val="bottom"/>
            <w:tcBorders>
              <w:top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65,717</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64,569</w:t>
            </w:r>
          </w:p>
        </w:tc>
        <w:tc>
          <w:tcPr>
            <w:tcW w:w="14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8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r>
      <w:tr>
        <w:trPr>
          <w:trHeight w:val="128"/>
        </w:trPr>
        <w:tc>
          <w:tcPr>
            <w:tcW w:w="5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FF0FC"/>
          </w:tcPr>
          <w:p>
            <w:pPr>
              <w:jc w:val="right"/>
              <w:ind w:right="11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w:t>
            </w:r>
          </w:p>
        </w:tc>
        <w:tc>
          <w:tcPr>
            <w:tcW w:w="14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Net unrealized (gain) loss on derivatives—net of tax (1)</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(7,126)</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2,740</w:t>
            </w:r>
          </w:p>
        </w:tc>
        <w:tc>
          <w:tcPr>
            <w:tcW w:w="14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80" w:right="1660" w:hanging="3172"/>
        <w:spacing w:after="0" w:line="573" w:lineRule="auto"/>
        <w:tabs>
          <w:tab w:leader="none" w:pos="517"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(provision) benefit of $(2,417) and $971 for the three months ended March 31, 2020 and 2019 respectively. 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140"/>
          </w:cols>
          <w:pgMar w:left="340" w:top="33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2020</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40"/>
        <w:spacing w:after="0" w:line="231"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right="1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comprehensive loss—net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2019</w:t>
      </w:r>
    </w:p>
    <w:p>
      <w:pPr>
        <w:spacing w:after="0" w:line="163" w:lineRule="exact"/>
        <w:rPr>
          <w:sz w:val="20"/>
          <w:szCs w:val="20"/>
          <w:color w:val="auto"/>
        </w:rPr>
      </w:pPr>
    </w:p>
    <w:p>
      <w:pPr>
        <w:ind w:left="240" w:right="780"/>
        <w:spacing w:after="0"/>
        <w:rPr>
          <w:sz w:val="20"/>
          <w:szCs w:val="20"/>
          <w:color w:val="auto"/>
        </w:rPr>
      </w:pPr>
      <w:r>
        <w:rPr>
          <w:rFonts w:ascii="Arial" w:cs="Arial" w:eastAsia="Arial" w:hAnsi="Arial"/>
          <w:sz w:val="14"/>
          <w:szCs w:val="14"/>
          <w:color w:val="auto"/>
        </w:rPr>
        <w:t>Cumulative effect of recent accounting pronouncements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1" w:lineRule="exact"/>
        <w:rPr>
          <w:sz w:val="20"/>
          <w:szCs w:val="20"/>
          <w:color w:val="auto"/>
        </w:rPr>
      </w:pPr>
    </w:p>
    <w:p>
      <w:pPr>
        <w:ind w:left="240"/>
        <w:spacing w:after="0" w:line="231"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right="1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2019</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Common</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4"/>
                <w:szCs w:val="14"/>
                <w:color w:val="auto"/>
              </w:rPr>
            </w:pPr>
          </w:p>
        </w:tc>
        <w:tc>
          <w:tcPr>
            <w:tcW w:w="740" w:type="dxa"/>
            <w:vAlign w:val="bottom"/>
            <w:gridSpan w:val="3"/>
          </w:tcPr>
          <w:p>
            <w:pPr>
              <w:jc w:val="right"/>
              <w:ind w:right="159"/>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r>
      <w:tr>
        <w:trPr>
          <w:trHeight w:val="307"/>
        </w:trPr>
        <w:tc>
          <w:tcPr>
            <w:tcW w:w="580" w:type="dxa"/>
            <w:vAlign w:val="bottom"/>
          </w:tcPr>
          <w:p>
            <w:pPr>
              <w:jc w:val="right"/>
              <w:spacing w:after="0"/>
              <w:rPr>
                <w:sz w:val="20"/>
                <w:szCs w:val="20"/>
                <w:color w:val="auto"/>
              </w:rPr>
            </w:pPr>
            <w:r>
              <w:rPr>
                <w:rFonts w:ascii="Arial" w:cs="Arial" w:eastAsia="Arial" w:hAnsi="Arial"/>
                <w:sz w:val="14"/>
                <w:szCs w:val="14"/>
                <w:color w:val="auto"/>
              </w:rPr>
              <w:t>64,283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302,189</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(23,091)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295</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279,399</w:t>
            </w:r>
          </w:p>
        </w:tc>
        <w:tc>
          <w:tcPr>
            <w:tcW w:w="60" w:type="dxa"/>
            <w:vAlign w:val="bottom"/>
          </w:tcPr>
          <w:p>
            <w:pPr>
              <w:spacing w:after="0"/>
              <w:rPr>
                <w:sz w:val="24"/>
                <w:szCs w:val="24"/>
                <w:color w:val="auto"/>
              </w:rPr>
            </w:pPr>
          </w:p>
        </w:tc>
      </w:tr>
      <w:tr>
        <w:trPr>
          <w:trHeight w:val="324"/>
        </w:trPr>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1,675</w:t>
            </w:r>
          </w:p>
        </w:tc>
        <w:tc>
          <w:tcPr>
            <w:tcW w:w="60" w:type="dxa"/>
            <w:vAlign w:val="bottom"/>
          </w:tcPr>
          <w:p>
            <w:pPr>
              <w:spacing w:after="0"/>
              <w:rPr>
                <w:sz w:val="24"/>
                <w:szCs w:val="24"/>
                <w:color w:val="auto"/>
              </w:rPr>
            </w:pPr>
          </w:p>
        </w:tc>
      </w:tr>
      <w:tr>
        <w:trPr>
          <w:trHeight w:val="230"/>
        </w:trPr>
        <w:tc>
          <w:tcPr>
            <w:tcW w:w="580" w:type="dxa"/>
            <w:vAlign w:val="bottom"/>
          </w:tcPr>
          <w:p>
            <w:pPr>
              <w:jc w:val="right"/>
              <w:spacing w:after="0"/>
              <w:rPr>
                <w:sz w:val="20"/>
                <w:szCs w:val="20"/>
                <w:color w:val="auto"/>
              </w:rPr>
            </w:pPr>
            <w:r>
              <w:rPr>
                <w:rFonts w:ascii="Arial" w:cs="Arial" w:eastAsia="Arial" w:hAnsi="Arial"/>
                <w:sz w:val="14"/>
                <w:szCs w:val="14"/>
                <w:color w:val="auto"/>
              </w:rPr>
              <w:t>388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(1,928)</w:t>
            </w:r>
          </w:p>
        </w:tc>
      </w:tr>
      <w:tr>
        <w:trPr>
          <w:trHeight w:val="310"/>
        </w:trPr>
        <w:tc>
          <w:tcPr>
            <w:tcW w:w="580" w:type="dxa"/>
            <w:vAlign w:val="bottom"/>
          </w:tcPr>
          <w:p>
            <w:pPr>
              <w:jc w:val="right"/>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622</w:t>
            </w:r>
          </w:p>
        </w:tc>
        <w:tc>
          <w:tcPr>
            <w:tcW w:w="60" w:type="dxa"/>
            <w:vAlign w:val="bottom"/>
          </w:tcPr>
          <w:p>
            <w:pPr>
              <w:spacing w:after="0"/>
              <w:rPr>
                <w:sz w:val="24"/>
                <w:szCs w:val="24"/>
                <w:color w:val="auto"/>
              </w:rPr>
            </w:pP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33,987</w:t>
            </w:r>
          </w:p>
        </w:tc>
        <w:tc>
          <w:tcPr>
            <w:tcW w:w="60" w:type="dxa"/>
            <w:vAlign w:val="bottom"/>
          </w:tcPr>
          <w:p>
            <w:pPr>
              <w:spacing w:after="0"/>
              <w:rPr>
                <w:sz w:val="19"/>
                <w:szCs w:val="19"/>
                <w:color w:val="auto"/>
              </w:rPr>
            </w:pPr>
          </w:p>
        </w:tc>
      </w:tr>
      <w:tr>
        <w:trPr>
          <w:trHeight w:val="167"/>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(7,126)</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(7,126)</w:t>
            </w:r>
          </w:p>
        </w:tc>
      </w:tr>
      <w:tr>
        <w:trPr>
          <w:trHeight w:val="155"/>
        </w:trPr>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64,795</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302,558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(6,831)</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306,629</w:t>
            </w:r>
          </w:p>
        </w:tc>
        <w:tc>
          <w:tcPr>
            <w:tcW w:w="6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9"/>
        </w:trPr>
        <w:tc>
          <w:tcPr>
            <w:tcW w:w="580" w:type="dxa"/>
            <w:vAlign w:val="bottom"/>
          </w:tcPr>
          <w:p>
            <w:pPr>
              <w:jc w:val="right"/>
              <w:spacing w:after="0"/>
              <w:rPr>
                <w:sz w:val="20"/>
                <w:szCs w:val="20"/>
                <w:color w:val="auto"/>
              </w:rPr>
            </w:pPr>
            <w:r>
              <w:rPr>
                <w:rFonts w:ascii="Arial" w:cs="Arial" w:eastAsia="Arial" w:hAnsi="Arial"/>
                <w:sz w:val="14"/>
                <w:szCs w:val="14"/>
                <w:color w:val="auto"/>
              </w:rPr>
              <w:t>62,830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(278)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59"/>
              <w:spacing w:after="0"/>
              <w:rPr>
                <w:sz w:val="20"/>
                <w:szCs w:val="20"/>
                <w:color w:val="auto"/>
              </w:rPr>
            </w:pPr>
            <w:r>
              <w:rPr>
                <w:rFonts w:ascii="Arial" w:cs="Arial" w:eastAsia="Arial" w:hAnsi="Arial"/>
                <w:sz w:val="14"/>
                <w:szCs w:val="14"/>
                <w:color w:val="auto"/>
              </w:rPr>
              <w:t>(1,433)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295,135</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(74,971)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(3,809)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214,928</w:t>
            </w:r>
          </w:p>
        </w:tc>
        <w:tc>
          <w:tcPr>
            <w:tcW w:w="60" w:type="dxa"/>
            <w:vAlign w:val="bottom"/>
          </w:tcPr>
          <w:p>
            <w:pPr>
              <w:spacing w:after="0"/>
              <w:rPr>
                <w:sz w:val="24"/>
                <w:szCs w:val="24"/>
                <w:color w:val="auto"/>
              </w:rPr>
            </w:pPr>
          </w:p>
        </w:tc>
      </w:tr>
      <w:tr>
        <w:trPr>
          <w:trHeight w:val="392"/>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2,802</w:t>
            </w:r>
          </w:p>
        </w:tc>
        <w:tc>
          <w:tcPr>
            <w:tcW w:w="60" w:type="dxa"/>
            <w:vAlign w:val="bottom"/>
          </w:tcPr>
          <w:p>
            <w:pPr>
              <w:spacing w:after="0"/>
              <w:rPr>
                <w:sz w:val="24"/>
                <w:szCs w:val="24"/>
                <w:color w:val="auto"/>
              </w:rPr>
            </w:pPr>
          </w:p>
        </w:tc>
      </w:tr>
      <w:tr>
        <w:trPr>
          <w:trHeight w:val="243"/>
        </w:trPr>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2,201</w:t>
            </w:r>
          </w:p>
        </w:tc>
        <w:tc>
          <w:tcPr>
            <w:tcW w:w="60" w:type="dxa"/>
            <w:vAlign w:val="bottom"/>
          </w:tcPr>
          <w:p>
            <w:pPr>
              <w:spacing w:after="0"/>
              <w:rPr>
                <w:sz w:val="21"/>
                <w:szCs w:val="21"/>
                <w:color w:val="auto"/>
              </w:rPr>
            </w:pPr>
          </w:p>
        </w:tc>
      </w:tr>
      <w:tr>
        <w:trPr>
          <w:trHeight w:val="229"/>
        </w:trPr>
        <w:tc>
          <w:tcPr>
            <w:tcW w:w="580" w:type="dxa"/>
            <w:vAlign w:val="bottom"/>
          </w:tcPr>
          <w:p>
            <w:pPr>
              <w:jc w:val="right"/>
              <w:spacing w:after="0"/>
              <w:rPr>
                <w:sz w:val="20"/>
                <w:szCs w:val="20"/>
                <w:color w:val="auto"/>
              </w:rPr>
            </w:pPr>
            <w:r>
              <w:rPr>
                <w:rFonts w:ascii="Arial" w:cs="Arial" w:eastAsia="Arial" w:hAnsi="Arial"/>
                <w:sz w:val="14"/>
                <w:szCs w:val="14"/>
                <w:color w:val="auto"/>
              </w:rPr>
              <w:t>453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(2,188)</w:t>
            </w: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286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1,626</w:t>
            </w:r>
          </w:p>
        </w:tc>
        <w:tc>
          <w:tcPr>
            <w:tcW w:w="60" w:type="dxa"/>
            <w:vAlign w:val="bottom"/>
          </w:tcPr>
          <w:p>
            <w:pPr>
              <w:spacing w:after="0"/>
              <w:rPr>
                <w:sz w:val="24"/>
                <w:szCs w:val="24"/>
                <w:color w:val="auto"/>
              </w:rPr>
            </w:pPr>
          </w:p>
        </w:tc>
      </w:tr>
      <w:tr>
        <w:trPr>
          <w:trHeight w:val="223"/>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17,168</w:t>
            </w:r>
          </w:p>
        </w:tc>
        <w:tc>
          <w:tcPr>
            <w:tcW w:w="60" w:type="dxa"/>
            <w:vAlign w:val="bottom"/>
          </w:tcPr>
          <w:p>
            <w:pPr>
              <w:spacing w:after="0"/>
              <w:rPr>
                <w:sz w:val="19"/>
                <w:szCs w:val="19"/>
                <w:color w:val="auto"/>
              </w:rPr>
            </w:pPr>
          </w:p>
        </w:tc>
      </w:tr>
      <w:tr>
        <w:trPr>
          <w:trHeight w:val="167"/>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2,740</w:t>
            </w:r>
          </w:p>
        </w:tc>
        <w:tc>
          <w:tcPr>
            <w:tcW w:w="60" w:type="dxa"/>
            <w:vAlign w:val="bottom"/>
          </w:tcPr>
          <w:p>
            <w:pPr>
              <w:spacing w:after="0"/>
              <w:rPr>
                <w:sz w:val="14"/>
                <w:szCs w:val="14"/>
                <w:color w:val="auto"/>
              </w:rPr>
            </w:pPr>
          </w:p>
        </w:tc>
      </w:tr>
      <w:tr>
        <w:trPr>
          <w:trHeight w:val="156"/>
        </w:trPr>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63,600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296,774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(55,001)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239,277</w:t>
            </w:r>
          </w:p>
        </w:tc>
        <w:tc>
          <w:tcPr>
            <w:tcW w:w="6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-2390775</wp:posOffset>
            </wp:positionV>
            <wp:extent cx="711517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-2185670</wp:posOffset>
            </wp:positionV>
            <wp:extent cx="711517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-1885315</wp:posOffset>
            </wp:positionV>
            <wp:extent cx="711517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9748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-1585595</wp:posOffset>
            </wp:positionV>
            <wp:extent cx="711517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-1362710</wp:posOffset>
            </wp:positionV>
            <wp:extent cx="711517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-1139190</wp:posOffset>
            </wp:positionV>
            <wp:extent cx="711517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-839470</wp:posOffset>
            </wp:positionV>
            <wp:extent cx="711517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-539115</wp:posOffset>
            </wp:positionV>
            <wp:extent cx="711517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-239395</wp:posOffset>
            </wp:positionV>
            <wp:extent cx="711517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320"/>
            <w:col w:w="7540"/>
          </w:cols>
          <w:pgMar w:left="340" w:top="337" w:right="419" w:bottom="1440" w:gutter="0" w:footer="0" w:header="0"/>
          <w:type w:val="continuous"/>
        </w:sect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337" w:right="4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33,987</w:t>
            </w:r>
          </w:p>
        </w:tc>
        <w:tc>
          <w:tcPr>
            <w:tcW w:w="180" w:type="dxa"/>
            <w:vAlign w:val="bottom"/>
          </w:tcPr>
          <w:p>
            <w:pPr>
              <w:spacing w:after="0"/>
              <w:rPr>
                <w:sz w:val="19"/>
                <w:szCs w:val="19"/>
                <w:color w:val="auto"/>
              </w:rPr>
            </w:pP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17,168</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(3,380)</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tcPr>
          <w:p>
            <w:pPr>
              <w:spacing w:after="0"/>
              <w:rPr>
                <w:sz w:val="19"/>
                <w:szCs w:val="19"/>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20,548</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8,905</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7,074</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(Gain) loss on sale of assets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(24,229)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30,285</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(14,520)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(1,678)</w:t>
            </w: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36,062</w:t>
            </w:r>
          </w:p>
        </w:tc>
        <w:tc>
          <w:tcPr>
            <w:tcW w:w="120" w:type="dxa"/>
            <w:vAlign w:val="bottom"/>
            <w:shd w:val="clear" w:color="auto" w:fill="CFF0FC"/>
          </w:tcPr>
          <w:p>
            <w:pPr>
              <w:spacing w:after="0"/>
              <w:rPr>
                <w:sz w:val="19"/>
                <w:szCs w:val="19"/>
                <w:color w:val="auto"/>
              </w:rPr>
            </w:pPr>
          </w:p>
        </w:tc>
      </w:tr>
      <w:tr>
        <w:trPr>
          <w:trHeight w:val="229"/>
        </w:trPr>
        <w:tc>
          <w:tcPr>
            <w:tcW w:w="7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7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105,792</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Net cash flows provided by operating activities of discontinued operations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9"/>
                <w:szCs w:val="19"/>
                <w:color w:val="auto"/>
              </w:rPr>
            </w:pP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108,460</w:t>
            </w:r>
          </w:p>
        </w:tc>
        <w:tc>
          <w:tcPr>
            <w:tcW w:w="120" w:type="dxa"/>
            <w:vAlign w:val="bottom"/>
            <w:tcBorders>
              <w:top w:val="single" w:sz="8" w:color="CFF0FC"/>
            </w:tcBorders>
            <w:shd w:val="clear" w:color="auto" w:fill="CFF0FC"/>
          </w:tcPr>
          <w:p>
            <w:pPr>
              <w:spacing w:after="0"/>
              <w:rPr>
                <w:sz w:val="19"/>
                <w:szCs w:val="19"/>
                <w:color w:val="auto"/>
              </w:rPr>
            </w:pPr>
          </w:p>
        </w:tc>
      </w:tr>
      <w:tr>
        <w:trPr>
          <w:trHeight w:val="459"/>
        </w:trPr>
        <w:tc>
          <w:tcPr>
            <w:tcW w:w="7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(8,733)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(7,704)</w:t>
            </w: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7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Net cash flows used in investing activities of discontinued operations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(7,617)</w:t>
            </w:r>
          </w:p>
        </w:tc>
        <w:tc>
          <w:tcPr>
            <w:tcW w:w="120" w:type="dxa"/>
            <w:vAlign w:val="bottom"/>
            <w:tcBorders>
              <w:top w:val="single" w:sz="8" w:color="CFF0FC"/>
            </w:tcBorders>
            <w:shd w:val="clear" w:color="auto" w:fill="CFF0FC"/>
          </w:tcPr>
          <w:p>
            <w:pPr>
              <w:spacing w:after="0"/>
              <w:rPr>
                <w:sz w:val="19"/>
                <w:szCs w:val="19"/>
                <w:color w:val="auto"/>
              </w:rPr>
            </w:pPr>
          </w:p>
        </w:tc>
      </w:tr>
      <w:tr>
        <w:trPr>
          <w:trHeight w:val="432"/>
        </w:trPr>
        <w:tc>
          <w:tcPr>
            <w:tcW w:w="7000" w:type="dxa"/>
            <w:vAlign w:val="bottom"/>
          </w:tcPr>
          <w:p>
            <w:pPr>
              <w:ind w:left="5580"/>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(1,928)</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23"/>
        </w:trPr>
        <w:tc>
          <w:tcPr>
            <w:tcW w:w="6480" w:type="dxa"/>
            <w:vAlign w:val="bottom"/>
          </w:tcPr>
          <w:p>
            <w:pPr>
              <w:ind w:left="26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1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flows used in financing activities of discontinued operations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used in financing activities</w:t>
            </w:r>
          </w:p>
        </w:tc>
        <w:tc>
          <w:tcPr>
            <w:tcW w:w="12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186,995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207,474</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Cash paid (received) for interest</w:t>
            </w:r>
          </w:p>
        </w:tc>
        <w:tc>
          <w:tcPr>
            <w:tcW w:w="21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560" w:type="dxa"/>
            <w:vAlign w:val="bottom"/>
            <w:gridSpan w:val="2"/>
          </w:tcPr>
          <w:p>
            <w:pPr>
              <w:jc w:val="right"/>
              <w:ind w:right="4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(refunded) for income taxes</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21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4,801</w:t>
            </w:r>
          </w:p>
        </w:tc>
        <w:tc>
          <w:tcPr>
            <w:tcW w:w="300" w:type="dxa"/>
            <w:vAlign w:val="bottom"/>
          </w:tcPr>
          <w:p>
            <w:pPr>
              <w:spacing w:after="0"/>
              <w:rPr>
                <w:sz w:val="19"/>
                <w:szCs w:val="19"/>
                <w:color w:val="auto"/>
              </w:rPr>
            </w:pPr>
          </w:p>
        </w:tc>
        <w:tc>
          <w:tcPr>
            <w:tcW w:w="560" w:type="dxa"/>
            <w:vAlign w:val="bottom"/>
            <w:gridSpan w:val="2"/>
          </w:tcPr>
          <w:p>
            <w:pPr>
              <w:jc w:val="right"/>
              <w:ind w:right="4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2019.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2020 and December 31, 2019, and its results of operations for the three months ended March 31, 2020 and 2019 and cash flows for the three months ended March 31, 2020 and 2019 have been included.</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March 27, 2020, the U.S. government enacted the Coronavirus Aid, Relief and Economic Security Act (the “CARES Act”). The CARES Act is an emergency economic stimulus package in response to the coronavirus (COVID-19) pandemic which, among other things, includes various tax provisions relating to refundable payroll tax credits, deferment of the employer side of certain payroll taxes and social security payments, net operating loss carryback periods, alternative minimum tax credit refunds, modifications to the net interest deduction limitations and technical corrections to tax depreciation methods for qualified improvement property. The Company is still assessing the financial impact of these tax-related changes.</w:t>
      </w:r>
    </w:p>
    <w:p>
      <w:pPr>
        <w:spacing w:after="0" w:line="16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one operating segment which is also the Company’s reportable segment and reporting unit of which the Company tests goodwill for impairment. The Company performed its most recent annual test of impairment as of July 1, 2019 with no indication of impairment as of the test date. The Company will perform its next scheduled annual test of goodwill in the third quarter of 2020 should no prior triggering events occur.</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36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7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10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(3,380)</w:t>
            </w: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17,168</w:t>
            </w:r>
          </w:p>
        </w:tc>
        <w:tc>
          <w:tcPr>
            <w:tcW w:w="100" w:type="dxa"/>
            <w:vAlign w:val="bottom"/>
            <w:tcBorders>
              <w:top w:val="single" w:sz="8" w:color="CFF0FC"/>
            </w:tcBorders>
            <w:shd w:val="clear" w:color="auto" w:fill="CFF0FC"/>
          </w:tcPr>
          <w:p>
            <w:pPr>
              <w:spacing w:after="0"/>
              <w:rPr>
                <w:sz w:val="19"/>
                <w:szCs w:val="19"/>
                <w:color w:val="auto"/>
              </w:rPr>
            </w:pPr>
          </w:p>
        </w:tc>
      </w:tr>
      <w:tr>
        <w:trPr>
          <w:trHeight w:val="459"/>
        </w:trPr>
        <w:tc>
          <w:tcPr>
            <w:tcW w:w="736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64,455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62,882</w:t>
            </w:r>
          </w:p>
        </w:tc>
        <w:tc>
          <w:tcPr>
            <w:tcW w:w="100" w:type="dxa"/>
            <w:vAlign w:val="bottom"/>
          </w:tcPr>
          <w:p>
            <w:pPr>
              <w:spacing w:after="0"/>
              <w:rPr>
                <w:sz w:val="24"/>
                <w:szCs w:val="24"/>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FF0FC"/>
          </w:tcPr>
          <w:p>
            <w:pPr>
              <w:spacing w:after="0"/>
              <w:rPr>
                <w:sz w:val="19"/>
                <w:szCs w:val="19"/>
                <w:color w:val="auto"/>
              </w:rPr>
            </w:pPr>
          </w:p>
        </w:tc>
      </w:tr>
      <w:tr>
        <w:trPr>
          <w:trHeight w:val="453"/>
        </w:trPr>
        <w:tc>
          <w:tcPr>
            <w:tcW w:w="7360" w:type="dxa"/>
            <w:vAlign w:val="bottom"/>
          </w:tcPr>
          <w:p>
            <w:pPr>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65,717</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64,569</w:t>
            </w:r>
          </w:p>
        </w:tc>
        <w:tc>
          <w:tcPr>
            <w:tcW w:w="100" w:type="dxa"/>
            <w:vAlign w:val="bottom"/>
          </w:tcPr>
          <w:p>
            <w:pPr>
              <w:spacing w:after="0"/>
              <w:rPr>
                <w:sz w:val="24"/>
                <w:szCs w:val="24"/>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from continuing operations — 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Earnings per share from continuing operations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three months ended March 31, 2019, 66 stock options (“NQSOs”) and restricted stock units (“RSUs”) were excluded from the calculation of diluted earnings per share based on the application of the treasury stock method, as such NQSOs and RSUs were determined to be anti-dilutive.</w:t>
      </w:r>
    </w:p>
    <w:p>
      <w:pPr>
        <w:spacing w:after="0" w:line="18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2020 and December 31, 2019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Contract reserves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15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March 31, 2020 and December 31, 2019, the Company had no borrowings outstanding under our $200,000 amended and restated revolving credit and security agreement (as amended, the “Amended Credit Agreement”). There were $35,779 of letters of credit outstanding and $163,729 of availability under the Amended Credit Agreement. The availability under the Amended Credit Agreement is suppressed by $492 as of March 31, 2020 and December 31, 2019 as a result of certain limitations set forth in the Amended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issued $325,000 of 8.000% senior notes (“8% Senior Notes”) due May 15, 2022. The interest is paid semi-annually.</w:t>
      </w:r>
    </w:p>
    <w:p>
      <w:pPr>
        <w:spacing w:after="0" w:line="23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The Company does not hold or issue derivatives for speculative or trading purposes. The fair values of these financial instruments are summarized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At March 31, 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8,695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8,695</w:t>
            </w:r>
          </w:p>
        </w:tc>
        <w:tc>
          <w:tcPr>
            <w:tcW w:w="220" w:type="dxa"/>
            <w:vAlign w:val="bottom"/>
          </w:tcPr>
          <w:p>
            <w:pPr>
              <w:spacing w:after="0"/>
              <w:rPr>
                <w:sz w:val="24"/>
                <w:szCs w:val="24"/>
                <w:color w:val="auto"/>
              </w:rPr>
            </w:pPr>
          </w:p>
        </w:tc>
        <w:tc>
          <w:tcPr>
            <w:tcW w:w="1040" w:type="dxa"/>
            <w:vAlign w:val="bottom"/>
            <w:gridSpan w:val="2"/>
          </w:tcPr>
          <w:p>
            <w:pPr>
              <w:jc w:val="right"/>
              <w:ind w:right="868"/>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At December 31,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24"/>
                <w:szCs w:val="24"/>
                <w:color w:val="auto"/>
              </w:rPr>
            </w:pPr>
          </w:p>
        </w:tc>
        <w:tc>
          <w:tcPr>
            <w:tcW w:w="1040" w:type="dxa"/>
            <w:vAlign w:val="bottom"/>
            <w:gridSpan w:val="2"/>
          </w:tcPr>
          <w:p>
            <w:pPr>
              <w:jc w:val="right"/>
              <w:ind w:right="868"/>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 Due to the current economic environment, fuel prices are at record lows. As a result, the Company has temporarily adjusted hedging to 100% of the fuel requirements for work in the domestic backlog.</w:t>
      </w:r>
    </w:p>
    <w:p>
      <w:pPr>
        <w:spacing w:after="0" w:line="1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March 31, 2020, the Company was party to various swap arrangements to hedge the price of its diesel fuel purchase requirements for work in its backlog to be performed through March 2021. As of March 31, 2020, there were 11.4 million gallons remaining on these contracts which represent approximately 100% of the Company’s forecasted domestic fuel purchases through March 2021. Under these swap agreements, the Company will pay fixed prices ranging from $1.12 to $2.05 per gallon.</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March 31, 2020, the fair value liability of the fuel hedge contracts was estimated to be $8,695, and is recorded in accrued expenses. At December 31, 2019, the fair value asset of the fuel hedge contracts was estimated to be $849, and is recorded in prepaid expenses and other current assets. For fuel hedge contracts considered to be highly effective, the losses reclassified to earnings from changes in fair value of derivatives, net of cash settlements and taxes, for the three months ended March 31, 2020 were $1,338. The remaining gains and losses included in accumulated other comprehensive loss at March 31, 2020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1" w:name="page12"/>
    <w:bookmarkEnd w:id="11"/>
    <w:p>
      <w:pPr>
        <w:jc w:val="both"/>
        <w:ind w:right="12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2020 and December 31, 2019 is as follows: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Fair Value at</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81"/>
              <w:spacing w:after="0" w:line="147"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60" w:type="dxa"/>
            <w:vAlign w:val="bottom"/>
            <w:gridSpan w:val="2"/>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4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Derivatives designated as hedging instruments</w:t>
            </w:r>
          </w:p>
        </w:tc>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5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94"/>
              </w:rPr>
              <w:t>Prepaid expenses and other</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current assets</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Liability derivatives:</w:t>
            </w:r>
          </w:p>
        </w:tc>
        <w:tc>
          <w:tcPr>
            <w:tcW w:w="4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Derivatives designated as hedging instruments</w:t>
            </w:r>
          </w:p>
        </w:tc>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5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Accrued expenses</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8,695</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5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Reclassification of derivative losses to earnings—net of tax</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r>
      <w:tr>
        <w:trPr>
          <w:trHeight w:val="229"/>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(8,464)</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98"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20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6460" w:type="dxa"/>
            <w:vAlign w:val="bottom"/>
            <w:gridSpan w:val="3"/>
          </w:tcPr>
          <w:p>
            <w:pPr>
              <w:ind w:left="2000"/>
              <w:spacing w:after="0"/>
              <w:rPr>
                <w:sz w:val="20"/>
                <w:szCs w:val="20"/>
                <w:color w:val="auto"/>
              </w:rPr>
            </w:pPr>
            <w:r>
              <w:rPr>
                <w:rFonts w:ascii="Arial" w:cs="Arial" w:eastAsia="Arial" w:hAnsi="Arial"/>
                <w:sz w:val="14"/>
                <w:szCs w:val="14"/>
                <w:b w:val="1"/>
                <w:bCs w:val="1"/>
                <w:color w:val="auto"/>
              </w:rPr>
              <w:t>Statement of Operations Location</w:t>
            </w: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223"/>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4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460" w:type="dxa"/>
            <w:vAlign w:val="bottom"/>
            <w:gridSpan w:val="3"/>
          </w:tcPr>
          <w:p>
            <w:pPr>
              <w:ind w:left="260"/>
              <w:spacing w:after="0"/>
              <w:rPr>
                <w:sz w:val="20"/>
                <w:szCs w:val="20"/>
                <w:color w:val="auto"/>
              </w:rPr>
            </w:pPr>
            <w:r>
              <w:rPr>
                <w:rFonts w:ascii="Arial" w:cs="Arial" w:eastAsia="Arial" w:hAnsi="Arial"/>
                <w:sz w:val="18"/>
                <w:szCs w:val="18"/>
                <w:color w:val="auto"/>
              </w:rPr>
              <w:t>Fuel hedge contracts   Costs of contract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r>
      <w:tr>
        <w:trPr>
          <w:trHeight w:val="229"/>
        </w:trPr>
        <w:tc>
          <w:tcPr>
            <w:tcW w:w="6460" w:type="dxa"/>
            <w:vAlign w:val="bottom"/>
            <w:gridSpan w:val="3"/>
            <w:shd w:val="clear" w:color="auto" w:fill="CFF0FC"/>
          </w:tcPr>
          <w:p>
            <w:pPr>
              <w:ind w:left="200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9"/>
                <w:szCs w:val="19"/>
                <w:color w:val="auto"/>
              </w:rPr>
            </w:pPr>
          </w:p>
        </w:tc>
      </w:tr>
      <w:tr>
        <w:trPr>
          <w:trHeight w:val="223"/>
        </w:trPr>
        <w:tc>
          <w:tcPr>
            <w:tcW w:w="20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March 31, 2020 (see Note 4, Long-term debt). The 8% Senior Notes are senior unsecured obligations of the Company and its subsidiaries that guarantee the 8% Senior Notes. The fair value of the senior notes was $318,094 at March 31, 2020,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three months ended March 31, 2020, the Company granted 790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$1,675 and $2,000 for the three months ended March 31, 2020 and 2019, respectively.</w:t>
      </w:r>
    </w:p>
    <w:p>
      <w:pPr>
        <w:spacing w:after="0" w:line="18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2020, the Company had $474,895 of remaining performance obligations, which the Company refers to as total backlog. Approximately 90% of the Company’s backlog will be completed in 2020 with the remaining balance expected to be completed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Domestically, our work generally is performed in coastal waterways and deep water ports. The U.S. dredging market consists of four primary types of work: capital, coastal protection, maintenance and rivers &amp; lakes. Foreign projects typically involve capital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spacing w:after="0"/>
              <w:rPr>
                <w:sz w:val="20"/>
                <w:szCs w:val="20"/>
                <w:color w:val="auto"/>
              </w:rPr>
            </w:pPr>
            <w:r>
              <w:rPr>
                <w:rFonts w:ascii="Arial" w:cs="Arial" w:eastAsia="Arial" w:hAnsi="Arial"/>
                <w:sz w:val="18"/>
                <w:szCs w:val="18"/>
                <w:color w:val="auto"/>
              </w:rPr>
              <w:t>Dredging:</w:t>
            </w:r>
          </w:p>
        </w:tc>
        <w:tc>
          <w:tcPr>
            <w:tcW w:w="1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18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83,549</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79,850</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42,385</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4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5,049</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 revenues</w:t>
            </w:r>
          </w:p>
        </w:tc>
        <w:tc>
          <w:tcPr>
            <w:tcW w:w="14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217,695</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700"/>
              <w:spacing w:after="0"/>
              <w:rPr>
                <w:sz w:val="20"/>
                <w:szCs w:val="20"/>
                <w:color w:val="auto"/>
              </w:rPr>
            </w:pPr>
            <w:r>
              <w:rPr>
                <w:rFonts w:ascii="Arial" w:cs="Arial" w:eastAsia="Arial" w:hAnsi="Arial"/>
                <w:sz w:val="14"/>
                <w:szCs w:val="14"/>
                <w:b w:val="1"/>
                <w:bCs w:val="1"/>
                <w:color w:val="auto"/>
              </w:rPr>
              <w:t>Revenues</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4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17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165,767</w:t>
            </w:r>
          </w:p>
        </w:tc>
        <w:tc>
          <w:tcPr>
            <w:tcW w:w="2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170,155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42,332</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Private</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700"/>
              <w:spacing w:after="0"/>
              <w:rPr>
                <w:sz w:val="20"/>
                <w:szCs w:val="20"/>
                <w:color w:val="auto"/>
              </w:rPr>
            </w:pPr>
            <w:r>
              <w:rPr>
                <w:rFonts w:ascii="Arial" w:cs="Arial" w:eastAsia="Arial" w:hAnsi="Arial"/>
                <w:sz w:val="18"/>
                <w:szCs w:val="18"/>
                <w:color w:val="auto"/>
              </w:rPr>
              <w:t>Total revenues</w:t>
            </w:r>
          </w:p>
        </w:tc>
        <w:tc>
          <w:tcPr>
            <w:tcW w:w="14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217,695</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40" w:type="dxa"/>
            <w:vAlign w:val="bottom"/>
            <w:vMerge w:val="restart"/>
          </w:tcPr>
          <w:p>
            <w:pPr>
              <w:jc w:val="right"/>
              <w:ind w:right="35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March 31, 2020 and December 31, 2019 are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9,490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5360" w:type="dxa"/>
            <w:vAlign w:val="bottom"/>
          </w:tcPr>
          <w:p>
            <w:pPr>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44,014</w:t>
            </w:r>
          </w:p>
        </w:tc>
        <w:tc>
          <w:tcPr>
            <w:tcW w:w="200" w:type="dxa"/>
            <w:vAlign w:val="bottom"/>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80" w:type="dxa"/>
            <w:vAlign w:val="bottom"/>
          </w:tcPr>
          <w:p>
            <w:pPr>
              <w:spacing w:after="0"/>
              <w:rPr>
                <w:sz w:val="24"/>
                <w:szCs w:val="24"/>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2020 and December 31, 2019 are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327,616</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(300,389)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(86,074)</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37,080</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(455,842)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(628,491)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billings in excess of contract revenues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At March 31, 2020 and December 31, 2019, costs to fulfill a contract with a customer recognized as an asset were $8,570 and $10,300, respectively, and are recorded in other current assets and other noncurrent assets. These costs relate to pre-contract and pre-construction activities. During the three months ended March 31, 2020 and 2019, the Company amortized $5,191 and $2,751, respectively, of pre-construction costs.</w:t>
      </w:r>
    </w:p>
    <w:p>
      <w:pPr>
        <w:spacing w:after="0" w:line="14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March 31, 2020, the Company had outstanding performance bonds with a notional amount of approximately $1,241,762 of which $17,401 relates to projects from the Company’s historical environmental &amp; infrastructure businesses. The revenue value remaining in backlog related to these projects totaled approximately $450,312.</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82" w:right="45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8"/>
          <w:szCs w:val="18"/>
          <w:color w:val="auto"/>
        </w:rPr>
        <w:t>In connection with the sale of its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in May 2017, the Company had to increase the borrowings on its revolving credit facility. As the outstanding letters of credit previously reduced the Company’s availability under the revolving credit facility, this draw down on the Company’s letter of credit did not impact its liquidity or capital availability.</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terms of sale of its historical demolition business, the Company received an indemnification commitment from the buyer for losses resulting from the bonding arrangement. In April 2020, the Court granted the Company’s motion for entry of final judgment in the amount of $21,934 based upon the buyer’s default of its obligations to indemnify the Company for losses resulting from the bonding arrangement, and the Court is in the process of entering that final judgment. The Company cannot estimate the amount or range of collectible recoveries related to the indemnification. It does, however, intend to aggressively pursue collection from the buyer for such payment.</w:t>
      </w:r>
    </w:p>
    <w:p>
      <w:pPr>
        <w:spacing w:after="0" w:line="1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 comprised the Company’s historical demolition business, to a privately 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160 barrels of crude oil in Bay Long, Louisiana. The Company has cooperated with the U.S. Attorney’s Office in its investigation of the oil spill and believes that criminal charges are not warranted.</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September 27, 2019, the EPA Region 4 filed an administrative complaint against the Company relating to a project the Company performed at PortMiami from 2013-2015. The EPA is alleging violations of Section 103 of the Marine Protection, Research, and Sanctuaries Act (“MPRSA”) and failure to report violations of the MPRSA. The EPA seeks the statutory maximum penalty of $75 per violation of the MPRSA. The Company disagrees with the EPA on whether violations occurred and, if any violation did occur, the appropriate penalty calculation.</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2026.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second quarter of 2019, the Company entered into an agreement and completed the sale of the historical environmental &amp; infrastructure business. Under the terms of the agreement, the Company received cash of $18,357.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historical environmental &amp; infrastructure businesses have been reported in discontinued operations as follows:</w:t>
      </w:r>
    </w:p>
    <w:p>
      <w:pPr>
        <w:spacing w:after="0" w:line="298" w:lineRule="exact"/>
        <w:rPr>
          <w:sz w:val="20"/>
          <w:szCs w:val="20"/>
          <w:color w:val="auto"/>
        </w:rPr>
      </w:pPr>
    </w:p>
    <w:tbl>
      <w:tblPr>
        <w:tblLayout w:type="fixed"/>
        <w:tblInd w:w="18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Loss on disposal of assets held for sale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57" w:right="57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2019, in “Item 1A. Risk Factors” of this Quarterly Report on Form 10-Q, and in other securities filings by Great Lakes with the SEC.</w:t>
      </w:r>
    </w:p>
    <w:p>
      <w:pPr>
        <w:spacing w:after="0" w:line="19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1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39% over the prior three years, including 56%, 53%, 16% and 45% of the domestic capital, coastal protection, maintenance and rivers &amp; lakes sectors, respectively.</w:t>
      </w:r>
    </w:p>
    <w:p>
      <w:pPr>
        <w:spacing w:after="0" w:line="178"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Company’s largest domestic dredging customer is the U.S. Army Corps of Engineers (the “Corps”), which has responsibility for federally funded projects related to navigation and flood control of U.S. waterways. In the first three months of 2020, the Company’s dredging revenues earned from contracts with federal government agencies, including the Corps as well as other federal entities such as the U.S. Coast Guard and the U.S. Navy were approximately 76% of dredging revenues, above the Company’s prior three year average of 74%.</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COVID-19 has since spread to over 170 countries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spacing w:after="0" w:line="286" w:lineRule="auto"/>
        <w:rPr>
          <w:sz w:val="20"/>
          <w:szCs w:val="20"/>
          <w:color w:val="auto"/>
        </w:rPr>
      </w:pPr>
      <w:r>
        <w:rPr>
          <w:rFonts w:ascii="Arial" w:cs="Arial" w:eastAsia="Arial" w:hAnsi="Arial"/>
          <w:sz w:val="16"/>
          <w:szCs w:val="16"/>
          <w:color w:val="auto"/>
        </w:rPr>
        <w:t xml:space="preserve">On March 28, 2020, dredging was specifically listed in the U.S. Department of Homeland Security’s “Advisory Memorandum on Identification of Essential Critical Infrastructure Workers During COVID-19 Response” which federally designates the Company as an essential business that can maintain operations during the ongoing pandemic. As mentioned above, the Company’s largest domestic dredging customer is the Corps;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the upcoming hurricane season. Despite the current uncertainty surrounding COVID-19, to date, the Corps is continuing to advertise new projects and the Company’s project work is largely uninterrupted. Senior management regularly meets to update contingency plans and address the challenges related to maintaining operations in the evolving economic environment. The Company is also taking safety measures to mitigate the risk of infection to employees. On vessels and job sites, the Company has instituted fewer employee shift changes and increased sanitary and social distancing measures. Since March, the Company’s corporate employees have effectively transitioned to a remote working environment to follow recommended physical and social distancing guidelines, in order to reduce the risk of infection. The Company is following the protocols published by the U.S. Centers for Disease Control, the World Health Organization and state and local governments. To date, the Company is not aware of any employees with confirmed COVID-19 diagnoses. The Company is continually evaluating the impact COVID-19 has on its business and operations. For more information, see “Item 1A. Risk Factors – </w:t>
      </w:r>
      <w:r>
        <w:rPr>
          <w:rFonts w:ascii="Arial" w:cs="Arial" w:eastAsia="Arial" w:hAnsi="Arial"/>
          <w:sz w:val="16"/>
          <w:szCs w:val="16"/>
          <w:i w:val="1"/>
          <w:iCs w:val="1"/>
          <w:color w:val="auto"/>
        </w:rPr>
        <w:t>A pandemic, epidemic or outbreak</w:t>
      </w:r>
      <w:r>
        <w:rPr>
          <w:rFonts w:ascii="Arial" w:cs="Arial" w:eastAsia="Arial" w:hAnsi="Arial"/>
          <w:sz w:val="16"/>
          <w:szCs w:val="16"/>
          <w:color w:val="auto"/>
        </w:rPr>
        <w:t xml:space="preserve"> </w:t>
      </w:r>
      <w:r>
        <w:rPr>
          <w:rFonts w:ascii="Arial" w:cs="Arial" w:eastAsia="Arial" w:hAnsi="Arial"/>
          <w:sz w:val="16"/>
          <w:szCs w:val="16"/>
          <w:i w:val="1"/>
          <w:iCs w:val="1"/>
          <w:color w:val="auto"/>
        </w:rPr>
        <w:t>of an infectious disease in the markets in which we operate or that otherwise impacts our facilities or suppliers could adversely impact our business.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second quarter of 2019, the Company entered into an agreement and completed the sale of its historical environmental &amp; infrastructure business. The historical environmental &amp; infrastructure segment has been retrospectively presented as discontinued operations. Refer to Note 9, Business dispositions, to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 The Company anticipates significant dry dock inspections to take place in the second quarter of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tables set forth the components of net income and Adjusted EBITDA from continuing operations, as defined below, as a percentage of contract revenues for the three months ended March 31,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40" w:type="dxa"/>
            <w:vAlign w:val="bottom"/>
            <w:gridSpan w:val="2"/>
            <w:vMerge w:val="restart"/>
          </w:tcPr>
          <w:p>
            <w:pPr>
              <w:ind w:left="1700"/>
              <w:spacing w:after="0"/>
              <w:rPr>
                <w:sz w:val="20"/>
                <w:szCs w:val="20"/>
                <w:color w:val="auto"/>
              </w:rPr>
            </w:pPr>
            <w:r>
              <w:rPr>
                <w:rFonts w:ascii="Arial" w:cs="Arial" w:eastAsia="Arial" w:hAnsi="Arial"/>
                <w:sz w:val="18"/>
                <w:szCs w:val="18"/>
                <w:color w:val="auto"/>
              </w:rPr>
              <w:t>Contract revenues</w:t>
            </w:r>
          </w:p>
        </w:tc>
        <w:tc>
          <w:tcPr>
            <w:tcW w:w="10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gridSpan w:val="2"/>
            <w:vMerge w:val="continue"/>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(68.5)</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expense—net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Income from continuing operations before income taxes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164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00" w:type="dxa"/>
            <w:vAlign w:val="bottom"/>
            <w:vMerge w:val="restart"/>
          </w:tcPr>
          <w:p>
            <w:pPr>
              <w:spacing w:after="0"/>
              <w:rPr>
                <w:sz w:val="10"/>
                <w:szCs w:val="10"/>
                <w:color w:val="auto"/>
              </w:rPr>
            </w:pPr>
          </w:p>
        </w:tc>
        <w:tc>
          <w:tcPr>
            <w:tcW w:w="5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5240" w:type="dxa"/>
            <w:vAlign w:val="bottom"/>
            <w:tcBorders>
              <w:top w:val="single" w:sz="8" w:color="CFF0FC"/>
              <w:bottom w:val="single" w:sz="8" w:color="CFF0FC"/>
            </w:tcBorders>
            <w:vMerge w:val="restart"/>
          </w:tcPr>
          <w:p>
            <w:pPr>
              <w:ind w:left="3840"/>
              <w:spacing w:after="0"/>
              <w:rPr>
                <w:sz w:val="20"/>
                <w:szCs w:val="20"/>
                <w:color w:val="auto"/>
              </w:rPr>
            </w:pPr>
            <w:r>
              <w:rPr>
                <w:rFonts w:ascii="Arial" w:cs="Arial" w:eastAsia="Arial" w:hAnsi="Arial"/>
                <w:sz w:val="18"/>
                <w:szCs w:val="18"/>
                <w:color w:val="auto"/>
              </w:rPr>
              <w:t>18</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vMerge w:val="continue"/>
          </w:tcPr>
          <w:p>
            <w:pPr>
              <w:spacing w:after="0"/>
              <w:rPr>
                <w:sz w:val="24"/>
                <w:szCs w:val="24"/>
                <w:color w:val="auto"/>
              </w:rPr>
            </w:pPr>
          </w:p>
        </w:tc>
        <w:tc>
          <w:tcPr>
            <w:tcW w:w="52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20" w:type="dxa"/>
            <w:vAlign w:val="bottom"/>
            <w:tcBorders>
              <w:bottom w:val="single" w:sz="8" w:color="CFF0FC"/>
            </w:tcBorders>
            <w:gridSpan w:val="2"/>
            <w:vMerge w:val="continue"/>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Adjusted for:</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Income tax provision</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11,310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9,451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Adjusted EBITDA from continuing operations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61,378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6"/>
            <w:vMerge w:val="restart"/>
          </w:tcPr>
          <w:p>
            <w:pPr>
              <w:jc w:val="right"/>
              <w:ind w:right="513"/>
              <w:spacing w:after="0"/>
              <w:rPr>
                <w:sz w:val="20"/>
                <w:szCs w:val="20"/>
                <w:color w:val="auto"/>
              </w:rPr>
            </w:pPr>
            <w:r>
              <w:rPr>
                <w:rFonts w:ascii="Arial" w:cs="Arial" w:eastAsia="Arial" w:hAnsi="Arial"/>
                <w:sz w:val="18"/>
                <w:szCs w:val="18"/>
                <w:color w:val="auto"/>
                <w:w w:val="91"/>
              </w:rPr>
              <w:t>The Company’s contract revenues by type of work, for the periods indicated, were as follows:</w:t>
            </w: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Revenues (in thousands)</w:t>
            </w: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1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83,549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92,744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33,743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Rivers &amp; lakes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gridSpan w:val="2"/>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vMerge w:val="continue"/>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217,695</w:t>
            </w:r>
          </w:p>
        </w:tc>
        <w:tc>
          <w:tcPr>
            <w:tcW w:w="20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Total revenue was $217.7 million for the three months ended March 31, 2020, up $25.1 million, or 13%, from $192.6 million for the same period in the prior year. For the three months ended March 31, 2020, the Company experienced an increase in maintenance and coastal protection revenues. This increase was partially offset by a decrease in domestic capital, rivers &amp; lakes and foreign revenues as compared to the same period in the prior year.</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9" w:name="page20"/>
    <w:bookmarkEnd w:id="19"/>
    <w:p>
      <w:pPr>
        <w:ind w:right="80"/>
        <w:spacing w:after="0" w:line="271" w:lineRule="auto"/>
        <w:rPr>
          <w:sz w:val="20"/>
          <w:szCs w:val="20"/>
          <w:color w:val="auto"/>
        </w:rPr>
      </w:pPr>
      <w:r>
        <w:rPr>
          <w:rFonts w:ascii="Arial" w:cs="Arial" w:eastAsia="Arial" w:hAnsi="Arial"/>
          <w:sz w:val="17"/>
          <w:szCs w:val="17"/>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March 31, 2020, domestic capital dredging revenue was $83.5 million, down $9.2 million, or 10%, compared to $92.7 million for the same period in 2019. For the three months ended March 31, 2020, the decrease in domestic capital dredging revenue was primarily driven by a greater amount of revenue earned during the same period in the prior year on coastal restoration projects, the deepening projects in Tampa and Charleston and a deepening project on the Delaware River. This decrease was partially offset by a greater amount of revenue earned on deepening projects in Corpus Christi and Jacksonville during the current year period.</w:t>
      </w:r>
    </w:p>
    <w:p>
      <w:pPr>
        <w:spacing w:after="0" w:line="17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Foreign capital revenue for the three months ended March 31, 2020 ended was $6.9 million which is $1.4 million, or 17%, lower than revenue of $8.3 million for the same period of the prior year. The decrease in revenue for the three months ended March 31, 2020 was driven by a lower amount revenue earned in the current period on a project in Bahrain that commenced during the first quarter of 2019.</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Coastal protection projects involve moving sand from the ocean floor to shoreline locations where erosion threatens shoreline assets. Coastal protection revenue for the three months ended March 31, 2020 was $79.9 million, representing an increase of $46.2 million or 137%, from $33.7 million for the three months ended March 31, 2019. The increase in coastal protection revenue for the three months ended March 31, 2020 was mostly attributable to a greater amount of revenue earned on projects in South Carolina, North Carolina, Georgia and Florida in the current year as compared to the same periods in the prior year. This increase was partially offset by a greater amount of revenue earned on projects in New York and New Jersey during the same period in the prior year when compared to the current year.</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three months ended March 31, 2020 was $42.4 million, an increase of $12.8 million, or 43%, compared to $29.6 million for the comparable period in the prior year. The increase in maintenance dredging revenue for the three months ended March 31, 2020 was mostly attributable to revenue earned on projects in Maryland and Florida. This increase was partially offset by revenue earned on a project in Mississippi that did not repeat during the current year.</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Rivers &amp; lakes revenue for the three months ended March 31, 2020 was $5.0 million, down $23.2 million, or 82%, from $28.2 million for the same period in the prior year. The decrease in rivers &amp; lakes revenue for the three months ended March 31, 2020 was mostly attributable to a greater amount of revenue earned during the prior year on a large flood mitigation project in Texas as a result of Hurricane Harvey, as well as a project in Louisiana, when compared to the current year.</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Consolidated gross profit for the three months ended March 31, 2020 was $68.5 million, up $18.6 million, or 37%, compared to $49.9 million in the same period of the prior year. Gross profit margin for the three months ended March 31, 2020 was up to 31.5% from 25.9% in the three months ended March 31, 2019. The higher gross profit experienced for the three months ended March 31, 2020 was driven by strong performance on the Company’s maintenance dredging and coastal protection combined with lower plant expense when compared to the prior year period. In the first quarter of 2020, most of the Company’s dredges worked a busier than usual schedule, which contributed to the higher gross profit margin.</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three months ended March 31, 2020, general and administrative expenses were $15.6 million, up $0.8 million compared to $14.8 million in the same quarter of 2019. The increase in general and administrative expenses for the three months ended March 31, 2020 was driven by an increase in payroll, legal and office expenses, partially offset by a decrease in some employee benefits, in the current year when compared to the same period in the prior year.</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for the first quarter of 2020 was $53.0 million, up $18.2 million compared to operating income of $34.8 million for the same quarter in 2019. The increase in operating income for the first quarter of 2020 was a result of the higher gross profit in the current period as compared to the same period in the prior year, as described above. Additionally, the change in (gain) loss on sale of fixed assets of $0.4 was marginally offset by an increase in general and administrative expenses, as noted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ind w:right="40"/>
        <w:spacing w:after="0" w:line="257" w:lineRule="auto"/>
        <w:rPr>
          <w:sz w:val="20"/>
          <w:szCs w:val="20"/>
          <w:color w:val="auto"/>
        </w:rPr>
      </w:pPr>
      <w:r>
        <w:rPr>
          <w:rFonts w:ascii="Arial" w:cs="Arial" w:eastAsia="Arial" w:hAnsi="Arial"/>
          <w:sz w:val="18"/>
          <w:szCs w:val="18"/>
          <w:color w:val="auto"/>
        </w:rPr>
        <w:t>Net interest expense for the three months ended March 31, 2020 was $6.6 million, down $1.0 million, or 13%, from interest expense of $7.6 million for the same period in the prior year. The change in interest expense for the three months ended March 31, 2020 was attributable to a decrease of $0.5 million and $0.1 million, respectively, in interest expense associated with amortization of deferred financing fees and interest related to the Company’s senior secured revolving credit facility. Higher interest income during the current year period when compared to the same period in the prior year also contributed to the decrease in net interest expense.</w:t>
      </w:r>
    </w:p>
    <w:p>
      <w:pPr>
        <w:spacing w:after="0" w:line="18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the three months ended March 31, 2020 and 2019, the Company had an income tax provision of $11.3 million and an income tax provision of $6.8 million, respectively. The effective tax rate for the three months ended March 31, 2020 was 25.0%, unchanged from the same period in the prior year.</w:t>
      </w:r>
    </w:p>
    <w:p>
      <w:pPr>
        <w:spacing w:after="0" w:line="12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Net income from continuing operations for the three months ended March 31, 2020 was $34.0 million, up $13.5 million, or 66%, from $20.5 million for the same period in the prior year. Diluted earnings per share attributable to continuing operations were $0.52 and $0.32 for the three months ended March 31, 2020 and 2019, respectively. The increase in net income from continuing operations for the three months ended March 31, 2020 was driven by the increase to gross profit and decrease in interest expense, as described above. This increase was partially offset by a $1.3 million increase in operating expense and a $4.5 million increase in income tax provision during the current year when compared to the same period in the prior year.</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EBITDA from continuing operations (as defined on page 19) for the quarter ended March 31, 2020 was $61.4 million, up $17.6 million, or 40%, from $43.9 million in the same quarter in the prior year. The increase in Adjusted EBITDA from continuing operations during the three months ended March 31, 2020 was attributable to higher gross profit, excluding depreciation, when compared to the prior year, partially offset by an increase in other expense incurred during the three months ended March 31, 2020, as described above.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298"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06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Dredging:</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U.S.</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303,637</w:t>
            </w: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347,377</w:t>
            </w: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376,114</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Capital - foreign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64,827</w:t>
            </w: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75,034</w:t>
            </w:r>
          </w:p>
        </w:tc>
        <w:tc>
          <w:tcPr>
            <w:tcW w:w="80" w:type="dxa"/>
            <w:vAlign w:val="bottom"/>
            <w:shd w:val="clear" w:color="auto" w:fill="CFF0FC"/>
          </w:tcPr>
          <w:p>
            <w:pPr>
              <w:spacing w:after="0"/>
              <w:rPr>
                <w:sz w:val="19"/>
                <w:szCs w:val="19"/>
                <w:color w:val="auto"/>
              </w:rPr>
            </w:pPr>
          </w:p>
        </w:tc>
      </w:tr>
      <w:tr>
        <w:trPr>
          <w:trHeight w:val="229"/>
        </w:trPr>
        <w:tc>
          <w:tcPr>
            <w:tcW w:w="306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60,891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36,548</w:t>
            </w: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22,666</w:t>
            </w:r>
          </w:p>
        </w:tc>
        <w:tc>
          <w:tcPr>
            <w:tcW w:w="80" w:type="dxa"/>
            <w:vAlign w:val="bottom"/>
            <w:shd w:val="clear" w:color="auto" w:fill="CFF0FC"/>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Total Backlog</w:t>
            </w:r>
          </w:p>
        </w:tc>
        <w:tc>
          <w:tcPr>
            <w:tcW w:w="1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474,895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589,406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575,189</w:t>
            </w:r>
          </w:p>
        </w:tc>
        <w:tc>
          <w:tcPr>
            <w:tcW w:w="8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82% of the Company’s March 31, 2020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 The Company expects a significant number of dry docks to occur in the second quarter which would significantly impact the ability for vessels to earn revenue.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60"/>
        <w:spacing w:after="0" w:line="289" w:lineRule="auto"/>
        <w:rPr>
          <w:sz w:val="20"/>
          <w:szCs w:val="20"/>
          <w:color w:val="auto"/>
        </w:rPr>
      </w:pPr>
      <w:r>
        <w:rPr>
          <w:rFonts w:ascii="Arial" w:cs="Arial" w:eastAsia="Arial" w:hAnsi="Arial"/>
          <w:sz w:val="16"/>
          <w:szCs w:val="16"/>
          <w:color w:val="auto"/>
        </w:rPr>
        <w:t>The domestic dredging bid market for the quarter ended March 31, 2020 was $216.4 million, a $2.4 million decrease compared to the same period in the prior year. Total domestic dredging bid market for the current year period included awards for a coastal restoration project in Louisiana, maintenance work on the Ohio River and hopper maintenance work on the West Coast. The bid market for the three months ended March 31, 2020 decreased compared to the prior year due to a greater amount of maintenance and coastal protection projects let to bid in the prior year. This was partially offset by higher domestic capital and rivers and lakes projects awarded in the three months ended March 31, 2020. For the contracts awarded in the current year, the Company won 63%, or $30.1 million, of domestic capital projects, 26%, or $10.7 million, of the coastal protection projects, 16%, or $17.8 million, of maintenance projects and 100%, or $13.5 million, of rivers &amp; lakes projects through March 31, 2020. The Company won 33% of the overall domestic bid market for the three months ended March 31, 2020, which is below the Company’s prior three year average of 39%. Variability in contract wins from quarter to quarter is not unusual and one quarter’s win rate is generally not indicative of the win rate the Company is likely to achieve for a full year.</w:t>
      </w:r>
    </w:p>
    <w:p>
      <w:pPr>
        <w:spacing w:after="0" w:line="16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Company’s contracted dredging backlog was $474.9 million at March 31, 2020 compared to $589.4 million of backlog at December 31, 2019. These amounts do not reflect approximately $161.2 million of domestic low bids pending formal award and additional phases (“options”) pending on projects currently in backlog at March 31, 2020. At December 31, 2019 the amount of domestic low bids and options pending award was $201.3 million.</w:t>
      </w:r>
    </w:p>
    <w:p>
      <w:pPr>
        <w:spacing w:after="0" w:line="14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Domestic capital dredging backlog at March 31, 2020 was $43.7 million lower than at December 31, 2019. In the three months ended March 31, 2020, the Company was awarded a $30 million project in Louisiana. During the three months ended March 31, 2020, the Company continued to earn revenue on deepening projects in Charleston, Jacksonville and Corpus Christi as well as on a deepening project on the Delaware River. At the end of last year, several liquefied natural gas petro chemical and crude oil export projects were being developed in the Gulf of Mexico creating the need for port development and navigational channel deepening and widening to accommodate the larger vessels involved in this trade. With the current economic environment in the oil and gas markets, some of these privately funded projects are expected to be impacted and delayed. Government funded projects coming into the pipeline include additional phases of the Charleston, Jacksonville and Corpus Christi deepenings, as well as new deepenings for ports in Mobile, Alabama and the Everglades in Florida. These deepenings continue the trend of ensuring all East Coast and Gulf of Mexico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Foreign capital dredging backlog at March 31, 2020 was $6.7 million lower than at December 31, 2019. During the three months ended March 31, 2020, the Company continued to earn revenue on a project in the Middle East which was in backlog at December 31, 2019.</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Coastal protection dredging backlog decreased $64.3 million from December 31, 2019. In the three months ended March 31, 2020, the Company was awarded a coastal protection project in New York. During the three months ended March 31, 2020, the Company continued to earn revenue on coastal protection projects in New York, North Carolina, South Carolina and Florida which were in backlog at December 31, 2019. Coastal protection and storm impacts continue to provide the major impetus for coastal project investment at federal and state levels.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Maintenance dredging backlog decreased $1.9 million from December 31, 2019. The Company was awarded an $18 million maintenance project in Maryland and Virginia for the three months ended March 31, 2020. During the three months ended March 31, 2020, the Company continued to earn revenue on projects in Maryland, North Carolina and Florida which were in backlog at December 31, 2019. During the fourth quarter of 2018, the President signed America’s Water Infrastructure Act of 2018/Water Resources Development Act (“WRDA 2018”) into law. Similar to past versions of the bill, WRDA 2018 language calls for full use of the Harbor Maintenance Trust Fund (“HMTF”) for its intended purpose of maintaining future access to the waterways and ports that support our nation’s economy. Additionally, on March 27, 2020, the U.S. government enacted the Coronavirus Aid, Relief and Economic Security Act (the “CARES Act”) which includes a provision that lifts caps on the HMTF, thereby allowing full access to future annual revenues. Through the increased appropriation of HMTF monies, the Company anticipates increased funding for harbor maintenance projects to be let for bid throughout 2020 and beyond.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60"/>
        <w:spacing w:after="0" w:line="263" w:lineRule="auto"/>
        <w:rPr>
          <w:sz w:val="20"/>
          <w:szCs w:val="20"/>
          <w:color w:val="auto"/>
        </w:rPr>
      </w:pPr>
      <w:r>
        <w:rPr>
          <w:rFonts w:ascii="Arial" w:cs="Arial" w:eastAsia="Arial" w:hAnsi="Arial"/>
          <w:sz w:val="18"/>
          <w:szCs w:val="18"/>
          <w:color w:val="auto"/>
        </w:rPr>
        <w:t>Rivers &amp; lakes backlog at March 31, 2020 was up $2.1 million compared to backlog at December 31, 2019. During the three months ended March 31, 2020, the Company was awarded new work in Texas and Mississippi. For the three months ended March 31, 2020, the Company continued to earn revenue on a large project in Texas which was in backlog at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cash provided by operating activities of continuing operations for the three months ended March 31, 2020 and 2019 totaled $30.1 million and $105.8 million, respectively. Normal increases or decreases in the level of working capital relative to the level of operational activity impact cash flow from operating activities. The decrease in cash provided by operating activities of continuing operations during the three months ended March 31, 2020 compared to the same period in the prior year was driven by billings and collections on large projects during the prior period as well as an increase in working capital due to an increase in receivables during the current year when compared to the same period in the prior year. Further, this decrease was offset by an increase of $16.8 million in net income from continuing operations in the current period compared to the same period in the prior year.</w:t>
      </w:r>
    </w:p>
    <w:p>
      <w:pPr>
        <w:spacing w:after="0" w:line="164"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Company’s cash flows used in investing activities for the three months ended March 31, 2020 and 2019 totaled $8.3 million and $7.6 million, respectively. Investing activities primarily relate to normal course upgrades and capital maintenance of the Company’s dredging fleet.</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cash flows used in financing activities for the three months ended March 31, 2020 and 2019 totaled $1.3 million and $12.1 million, respectively. The decrease in cash used in financing activities primarily relates to changes in the net repayments on Company’s revolving credit facility in the prior period of $11.5 million compared to none in the current year.</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the Company maintains a favorable cash on hand position and revolver availability, the Company continues to assess the potential economic impact that the ongoing coronavirus (COVID-19) pandemic may have on the Company’s operations and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2017, the Company issued $325 million in aggregate principal amount of its 8% Senior Notes due May 15, 2022. Interest on the 8% Senior Notes is payable semi-annually in arrears on May 15 and November 15 of each year, beginning on November 15, 2017. The 8% Senior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Additionally, refer to Note 8, Commitments and contingencies, in the Notes to Condensed Consolidated Financial Statements for discussion of the Company’s surety agreements.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intends to upgrade its existing domestic fleet by acquiring new vessels, equipment and technology to increase productivity and efficiency. Existing cash on hand, future net cash flows, debt financing and new leases are all available funding resources from which the Company will evaluate its options when considering these upgrades.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Basis of presentation, to the Company’s December 31, 2019 Consolidated Financial Statements included on Form 10-K. The application of these principles requires significant judgments or an estimation process that can affect the results of operations, financial position and cash flows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00"/>
        <w:spacing w:after="0" w:line="263" w:lineRule="auto"/>
        <w:rPr>
          <w:sz w:val="20"/>
          <w:szCs w:val="20"/>
          <w:color w:val="auto"/>
        </w:rPr>
      </w:pPr>
      <w:r>
        <w:rPr>
          <w:rFonts w:ascii="Arial" w:cs="Arial" w:eastAsia="Arial" w:hAnsi="Arial"/>
          <w:sz w:val="18"/>
          <w:szCs w:val="18"/>
          <w:color w:val="auto"/>
        </w:rPr>
        <w:t>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2019.</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market risk of the Company’s financial instruments as of March 31, 2020 has not materially changed since December 31, 2019. The market risk profile of the Company on December 31, 2019 is disclosed in Item 7A. “Quantitative and Qualitative Disclosures about Market Risk” of the Company’s Annual Report on Form 10-K for the year ended December 31, 2019.</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2020.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March 31, 2020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2020 that have materially affected, or are reasonably likely to materially affect, our internal control over financial reporting.</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except for the following, during the three months ended March 31, 2020 to the risk factors previously disclosed in Item 1A. “Risk Factors” in the Company’s Annual Report on Form 10-K for the year ended December 31, 2019.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markets in which we operate or that otherwise impacts our facilities or suppliers could adversely impact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If a pandemic, epidemic, or outbreak of an infectious disease including the recent outbreak of respiratory illness caused by a novel coronavirus (COVID-</w:t>
      </w:r>
    </w:p>
    <w:p>
      <w:pPr>
        <w:spacing w:after="0" w:line="46" w:lineRule="exact"/>
        <w:rPr>
          <w:sz w:val="20"/>
          <w:szCs w:val="20"/>
          <w:color w:val="auto"/>
        </w:rPr>
      </w:pPr>
    </w:p>
    <w:p>
      <w:pPr>
        <w:ind w:right="60" w:firstLine="8"/>
        <w:spacing w:after="0" w:line="268" w:lineRule="auto"/>
        <w:tabs>
          <w:tab w:leader="none" w:pos="2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first identified in Wuhan, Hubei Province, China, or other public health crisis were to affect our markets or facilities or those of our suppliers, our business could be adversely affected. While to date the COVID-19 pandemic has not had a material impact on our operations, we cannot be certain that we will be able to continue normal operations in the short or long term. The COVID-19 pandemic has involved disruptions in and restrictions on our ability to travel, and in the future these disruptions and restrictions could restrict our ability to perform work for future projects in different locations. In addition, if an infectious disease broke out at one or more of our vessels or facilities, our operations may be affected significantly, our productivity may be affected, key personnel necessary to conduct our operations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clients, such as the Corps, private clients and other federal or state agencies, have been impacted by the COVID-19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 Even after the COVID-19 pandemic has subsided, we may experience materially adverse impacts to our business as a result of its effect on global economies and financial markets, including any recession or economic downturn that has occurred or may occur in the future.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40" w:type="dxa"/>
            <w:vAlign w:val="bottom"/>
          </w:tcPr>
          <w:p>
            <w:pPr>
              <w:spacing w:after="0"/>
              <w:rPr>
                <w:sz w:val="20"/>
                <w:szCs w:val="20"/>
                <w:color w:val="auto"/>
              </w:rPr>
            </w:pPr>
          </w:p>
        </w:tc>
        <w:tc>
          <w:tcPr>
            <w:tcW w:w="1016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ind w:left="1980"/>
              <w:spacing w:after="0"/>
              <w:rPr>
                <w:sz w:val="20"/>
                <w:szCs w:val="20"/>
                <w:color w:val="auto"/>
              </w:rPr>
            </w:pPr>
            <w:r>
              <w:rPr>
                <w:rFonts w:ascii="Arial" w:cs="Arial" w:eastAsia="Arial" w:hAnsi="Arial"/>
                <w:sz w:val="18"/>
                <w:szCs w:val="18"/>
                <w:b w:val="1"/>
                <w:bCs w:val="1"/>
                <w:color w:val="auto"/>
              </w:rPr>
              <w:t>Document Description</w:t>
            </w:r>
          </w:p>
        </w:tc>
      </w:tr>
      <w:tr>
        <w:trPr>
          <w:trHeight w:val="412"/>
        </w:trPr>
        <w:tc>
          <w:tcPr>
            <w:tcW w:w="74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31.1</w:t>
              </w:r>
            </w:hyperlink>
          </w:p>
        </w:tc>
        <w:tc>
          <w:tcPr>
            <w:tcW w:w="340" w:type="dxa"/>
            <w:vAlign w:val="bottom"/>
          </w:tcPr>
          <w:p>
            <w:pPr>
              <w:spacing w:after="0"/>
              <w:rPr>
                <w:sz w:val="24"/>
                <w:szCs w:val="24"/>
                <w:color w:val="auto"/>
              </w:rPr>
            </w:pPr>
          </w:p>
        </w:tc>
        <w:tc>
          <w:tcPr>
            <w:tcW w:w="98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2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Sarbanes-Oxley Act of 2002. *</w:t>
              </w:r>
            </w:hyperlink>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r>
      <w:tr>
        <w:trPr>
          <w:trHeight w:val="439"/>
        </w:trPr>
        <w:tc>
          <w:tcPr>
            <w:tcW w:w="7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31.2</w:t>
              </w:r>
            </w:hyperlink>
          </w:p>
        </w:tc>
        <w:tc>
          <w:tcPr>
            <w:tcW w:w="340" w:type="dxa"/>
            <w:vAlign w:val="bottom"/>
          </w:tcPr>
          <w:p>
            <w:pPr>
              <w:spacing w:after="0"/>
              <w:rPr>
                <w:sz w:val="24"/>
                <w:szCs w:val="24"/>
                <w:color w:val="auto"/>
              </w:rPr>
            </w:pPr>
          </w:p>
        </w:tc>
        <w:tc>
          <w:tcPr>
            <w:tcW w:w="98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2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Sarbanes-Oxley Act of 2002. *</w:t>
              </w:r>
            </w:hyperlink>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r>
      <w:tr>
        <w:trPr>
          <w:trHeight w:val="480"/>
        </w:trPr>
        <w:tc>
          <w:tcPr>
            <w:tcW w:w="74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32.1</w:t>
              </w:r>
            </w:hyperlink>
          </w:p>
        </w:tc>
        <w:tc>
          <w:tcPr>
            <w:tcW w:w="340" w:type="dxa"/>
            <w:vAlign w:val="bottom"/>
          </w:tcPr>
          <w:p>
            <w:pPr>
              <w:spacing w:after="0"/>
              <w:rPr>
                <w:sz w:val="24"/>
                <w:szCs w:val="24"/>
                <w:color w:val="auto"/>
              </w:rPr>
            </w:pPr>
          </w:p>
        </w:tc>
        <w:tc>
          <w:tcPr>
            <w:tcW w:w="1016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Pursuant to 18 U.S.C. Section 1350, as Adopted Pursuant to Section 906 of the Sarbanes-Oxley Act of 2002. **</w:t>
              </w:r>
            </w:hyperlink>
          </w:p>
        </w:tc>
      </w:tr>
      <w:tr>
        <w:trPr>
          <w:trHeight w:val="459"/>
        </w:trPr>
        <w:tc>
          <w:tcPr>
            <w:tcW w:w="7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32.2</w:t>
              </w:r>
            </w:hyperlink>
          </w:p>
        </w:tc>
        <w:tc>
          <w:tcPr>
            <w:tcW w:w="340" w:type="dxa"/>
            <w:vAlign w:val="bottom"/>
          </w:tcPr>
          <w:p>
            <w:pPr>
              <w:spacing w:after="0"/>
              <w:rPr>
                <w:sz w:val="24"/>
                <w:szCs w:val="24"/>
                <w:color w:val="auto"/>
              </w:rPr>
            </w:pPr>
          </w:p>
        </w:tc>
        <w:tc>
          <w:tcPr>
            <w:tcW w:w="1016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Pursuant to 18 U.S.C. Section 1350, as Adopted Pursuant to Section 906 of the Sarbanes-Oxley Act of 2002. **</w:t>
              </w:r>
            </w:hyperlink>
          </w:p>
        </w:tc>
      </w:tr>
    </w:tbl>
    <w:p>
      <w:pPr>
        <w:spacing w:after="0" w:line="229" w:lineRule="exact"/>
        <w:rPr>
          <w:sz w:val="20"/>
          <w:szCs w:val="20"/>
          <w:color w:val="auto"/>
        </w:rPr>
      </w:pPr>
    </w:p>
    <w:p>
      <w:pPr>
        <w:ind w:left="1080" w:right="720" w:hanging="107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Inline Extensible Business Reporting Language ("Inline XBRL")*</w:t>
      </w:r>
    </w:p>
    <w:p>
      <w:pPr>
        <w:spacing w:after="0" w:line="19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 *</w:t>
      </w:r>
    </w:p>
    <w:p>
      <w:pPr>
        <w:spacing w:after="0" w:line="23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6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Mark W. Marinko</w:t>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Senior Vice President and Chief Financial Officer</w:t>
      </w:r>
    </w:p>
    <w:p>
      <w:pPr>
        <w:jc w:val="center"/>
        <w:ind w:left="69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2020,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2020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9"/>
    </w:lvl>
  </w:abstractNum>
  <w:abstractNum w:abstractNumId="13">
    <w:nsid w:val="25E45D32"/>
    <w:multiLevelType w:val="hybridMultilevel"/>
    <w:lvl w:ilvl="0">
      <w:lvlJc w:val="left"/>
      <w:lvlText w:val="%1"/>
      <w:numFmt w:val="decimal"/>
      <w:start w:val="10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2020-05-05T15:03:50Z</dcterms:created>
  <dcterms:modified xsi:type="dcterms:W3CDTF">2020-05-05T15:03:50Z</dcterms:modified>
</cp:coreProperties>
</file>