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40" w:type="dxa"/>
            <w:vAlign w:val="bottom"/>
          </w:tcPr>
          <w:p>
            <w:pPr>
              <w:jc w:val="right"/>
              <w:ind w:right="24"/>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4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40" w:type="dxa"/>
            <w:vAlign w:val="bottom"/>
          </w:tcPr>
          <w:p>
            <w:pPr>
              <w:jc w:val="center"/>
              <w:ind w:left="39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2122 York Road, Oak Brook, IL</w:t>
            </w:r>
          </w:p>
        </w:tc>
        <w:tc>
          <w:tcPr>
            <w:tcW w:w="5040" w:type="dxa"/>
            <w:vAlign w:val="bottom"/>
          </w:tcPr>
          <w:p>
            <w:pPr>
              <w:jc w:val="right"/>
              <w:ind w:right="224"/>
              <w:spacing w:after="0"/>
              <w:rPr>
                <w:sz w:val="20"/>
                <w:szCs w:val="20"/>
                <w:color w:val="auto"/>
              </w:rPr>
            </w:pPr>
            <w:r>
              <w:rPr>
                <w:rFonts w:ascii="Arial" w:cs="Arial" w:eastAsia="Arial" w:hAnsi="Arial"/>
                <w:sz w:val="18"/>
                <w:szCs w:val="18"/>
                <w:b w:val="1"/>
                <w:bCs w:val="1"/>
                <w:color w:val="auto"/>
              </w:rPr>
              <w:t>60523</w:t>
            </w:r>
          </w:p>
        </w:tc>
      </w:tr>
      <w:tr>
        <w:trPr>
          <w:trHeight w:val="174"/>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40" w:type="dxa"/>
            <w:vAlign w:val="bottom"/>
          </w:tcPr>
          <w:p>
            <w:pPr>
              <w:jc w:val="center"/>
              <w:ind w:left="39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440" w:type="dxa"/>
            <w:vAlign w:val="bottom"/>
          </w:tcPr>
          <w:p>
            <w:pPr>
              <w:spacing w:after="0"/>
              <w:rPr>
                <w:sz w:val="24"/>
                <w:szCs w:val="24"/>
                <w:color w:val="auto"/>
              </w:rPr>
            </w:pPr>
          </w:p>
        </w:tc>
        <w:tc>
          <w:tcPr>
            <w:tcW w:w="5040" w:type="dxa"/>
            <w:vAlign w:val="bottom"/>
          </w:tcPr>
          <w:p>
            <w:pPr>
              <w:jc w:val="right"/>
              <w:ind w:right="284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440" w:type="dxa"/>
            <w:vAlign w:val="bottom"/>
          </w:tcPr>
          <w:p>
            <w:pPr>
              <w:spacing w:after="0"/>
              <w:rPr>
                <w:sz w:val="15"/>
                <w:szCs w:val="15"/>
                <w:color w:val="auto"/>
              </w:rPr>
            </w:pPr>
          </w:p>
        </w:tc>
        <w:tc>
          <w:tcPr>
            <w:tcW w:w="504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860" w:space="720"/>
            <w:col w:w="1920" w:space="480"/>
            <w:col w:w="160"/>
          </w:cols>
          <w:pgMar w:left="240" w:top="230" w:right="23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200"/>
            <w:col w:w="2120"/>
          </w:cols>
          <w:pgMar w:left="240" w:top="230" w:right="23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July 31, 2013, 59,472,566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2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318"/>
        </w:trPr>
        <w:tc>
          <w:tcPr>
            <w:tcW w:w="1340" w:type="dxa"/>
            <w:vAlign w:val="bottom"/>
            <w:tcBorders>
              <w:top w:val="single" w:sz="8" w:color="0000EE"/>
            </w:tcBorders>
            <w:gridSpan w:val="3"/>
          </w:tcPr>
          <w:p>
            <w:pPr>
              <w:ind w:left="440"/>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280" w:type="dxa"/>
            <w:vAlign w:val="bottom"/>
            <w:tcBorders>
              <w:top w:val="single" w:sz="8" w:color="0000EE"/>
            </w:tcBorders>
            <w:gridSpan w:val="2"/>
          </w:tcPr>
          <w:p>
            <w:pPr>
              <w:spacing w:after="0"/>
              <w:rPr>
                <w:sz w:val="24"/>
                <w:szCs w:val="24"/>
                <w:color w:val="auto"/>
              </w:rPr>
            </w:pPr>
          </w:p>
        </w:tc>
        <w:tc>
          <w:tcPr>
            <w:tcW w:w="79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2013 and December 31,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8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and Six Months ended June 30, 2013 and 2012</w:t>
              </w:r>
            </w:hyperlink>
          </w:p>
        </w:tc>
        <w:tc>
          <w:tcPr>
            <w:tcW w:w="18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(Loss) for the Three and Six Months ended June 30, 2013 and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Equity for the Six Months ended June 30, 2013 and 2012</w:t>
              </w:r>
            </w:hyperlink>
          </w:p>
        </w:tc>
        <w:tc>
          <w:tcPr>
            <w:tcW w:w="2440" w:type="dxa"/>
            <w:vAlign w:val="bottom"/>
            <w:tcBorders>
              <w:top w:val="single" w:sz="8" w:color="0000EE"/>
            </w:tcBorders>
            <w:gridSpan w:val="3"/>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Six Months ended June 30, 2013 and 2012</w:t>
              </w:r>
            </w:hyperlink>
          </w:p>
        </w:tc>
        <w:tc>
          <w:tcPr>
            <w:tcW w:w="25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2</w:t>
            </w:r>
          </w:p>
        </w:tc>
        <w:tc>
          <w:tcPr>
            <w:tcW w:w="97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4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Controls and Procedures</w:t>
              </w:r>
            </w:hyperlink>
          </w:p>
        </w:tc>
        <w:tc>
          <w:tcPr>
            <w:tcW w:w="79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98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36">
              <w:r>
                <w:rPr>
                  <w:rFonts w:ascii="Arial" w:cs="Arial" w:eastAsia="Arial" w:hAnsi="Arial"/>
                  <w:sz w:val="18"/>
                  <w:szCs w:val="18"/>
                  <w:b w:val="1"/>
                  <w:bCs w:val="1"/>
                  <w:color w:val="0000EE"/>
                  <w:w w:val="94"/>
                </w:rPr>
                <w:t>Part II Other Information</w:t>
              </w:r>
            </w:hyperlink>
          </w:p>
        </w:tc>
        <w:tc>
          <w:tcPr>
            <w:tcW w:w="906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97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840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2</w:t>
            </w:r>
          </w:p>
        </w:tc>
        <w:tc>
          <w:tcPr>
            <w:tcW w:w="97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4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Mine Safety Disclosures</w:t>
              </w:r>
            </w:hyperlink>
          </w:p>
        </w:tc>
        <w:tc>
          <w:tcPr>
            <w:tcW w:w="79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5</w:t>
            </w:r>
          </w:p>
        </w:tc>
        <w:tc>
          <w:tcPr>
            <w:tcW w:w="97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842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tcPr>
          <w:p>
            <w:pPr>
              <w:spacing w:after="0"/>
              <w:rPr>
                <w:rFonts w:ascii="Arial" w:cs="Arial" w:eastAsia="Arial" w:hAnsi="Arial"/>
                <w:sz w:val="18"/>
                <w:szCs w:val="18"/>
                <w:b w:val="1"/>
                <w:bCs w:val="1"/>
                <w:color w:val="0000EE"/>
                <w:w w:val="86"/>
              </w:rPr>
            </w:pPr>
            <w:hyperlink w:anchor="page38">
              <w:r>
                <w:rPr>
                  <w:rFonts w:ascii="Arial" w:cs="Arial" w:eastAsia="Arial" w:hAnsi="Arial"/>
                  <w:sz w:val="18"/>
                  <w:szCs w:val="18"/>
                  <w:b w:val="1"/>
                  <w:bCs w:val="1"/>
                  <w:color w:val="0000EE"/>
                  <w:w w:val="86"/>
                </w:rPr>
                <w:t>Signature</w:t>
              </w:r>
            </w:hyperlink>
          </w:p>
        </w:tc>
        <w:tc>
          <w:tcPr>
            <w:tcW w:w="600" w:type="dxa"/>
            <w:vAlign w:val="bottom"/>
            <w:gridSpan w:val="2"/>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Exhibit Index</w:t>
              </w:r>
            </w:hyperlink>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780" w:type="dxa"/>
            <w:vAlign w:val="bottom"/>
            <w:gridSpan w:val="13"/>
          </w:tcPr>
          <w:p>
            <w:pPr>
              <w:ind w:left="434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20" w:type="dxa"/>
            <w:vAlign w:val="bottom"/>
          </w:tcPr>
          <w:p>
            <w:pPr>
              <w:jc w:val="center"/>
              <w:ind w:left="1152"/>
              <w:spacing w:after="0"/>
              <w:rPr>
                <w:sz w:val="20"/>
                <w:szCs w:val="20"/>
                <w:color w:val="auto"/>
              </w:rPr>
            </w:pPr>
            <w:r>
              <w:rPr>
                <w:rFonts w:ascii="Arial" w:cs="Arial" w:eastAsia="Arial" w:hAnsi="Arial"/>
                <w:sz w:val="18"/>
                <w:szCs w:val="18"/>
                <w:b w:val="1"/>
                <w:bCs w:val="1"/>
                <w:color w:val="auto"/>
                <w:w w:val="92"/>
              </w:rPr>
              <w:t>PART I — Financial Information</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2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GREAT LAKES DREDGE &amp; DOCK CORPORATION AND SUBSIDIARIES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20" w:type="dxa"/>
            <w:vAlign w:val="bottom"/>
          </w:tcPr>
          <w:p>
            <w:pPr>
              <w:jc w:val="center"/>
              <w:ind w:left="115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20" w:type="dxa"/>
            <w:vAlign w:val="bottom"/>
          </w:tcPr>
          <w:p>
            <w:pPr>
              <w:jc w:val="center"/>
              <w:ind w:left="1152"/>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20" w:type="dxa"/>
            <w:vAlign w:val="bottom"/>
          </w:tcPr>
          <w:p>
            <w:pPr>
              <w:jc w:val="center"/>
              <w:ind w:left="1152"/>
              <w:spacing w:after="0"/>
              <w:rPr>
                <w:sz w:val="20"/>
                <w:szCs w:val="20"/>
                <w:color w:val="auto"/>
              </w:rPr>
            </w:pPr>
            <w:r>
              <w:rPr>
                <w:rFonts w:ascii="Arial" w:cs="Arial" w:eastAsia="Arial" w:hAnsi="Arial"/>
                <w:sz w:val="18"/>
                <w:szCs w:val="18"/>
                <w:b w:val="1"/>
                <w:bCs w:val="1"/>
                <w:color w:val="auto"/>
                <w:w w:val="85"/>
              </w:rPr>
              <w:t>(in thousands, except per share amounts)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24,440</w:t>
            </w: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Accounts receivable—net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149,940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149,142</w:t>
            </w: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69,574</w:t>
            </w: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30,578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28,726</w:t>
            </w: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41,808</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324,186</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313,690</w:t>
            </w:r>
          </w:p>
        </w:tc>
      </w:tr>
      <w:tr>
        <w:trPr>
          <w:trHeight w:val="218"/>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355,854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346,540</w:t>
            </w: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GOODWILL AND OTHER INTANGIBLE ASSETS—Net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81,975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104,031</w:t>
            </w: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37,392</w:t>
            </w: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INVESTMENTS IN JOINT VENTURES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6,072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7,047</w:t>
            </w: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17,695</w:t>
            </w:r>
          </w:p>
        </w:tc>
        <w:tc>
          <w:tcPr>
            <w:tcW w:w="100" w:type="dxa"/>
            <w:vAlign w:val="bottom"/>
            <w:shd w:val="clear" w:color="auto" w:fill="CCEEFF"/>
          </w:tcPr>
          <w:p>
            <w:pPr>
              <w:spacing w:after="0"/>
              <w:rPr>
                <w:sz w:val="18"/>
                <w:szCs w:val="18"/>
                <w:color w:val="auto"/>
              </w:rPr>
            </w:pPr>
          </w:p>
        </w:tc>
      </w:tr>
      <w:tr>
        <w:trPr>
          <w:trHeight w:val="222"/>
        </w:trPr>
        <w:tc>
          <w:tcPr>
            <w:tcW w:w="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817,354</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826,395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123,082</w:t>
            </w: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44,973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38,490</w:t>
            </w: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11,280</w:t>
            </w:r>
          </w:p>
        </w:tc>
      </w:tr>
      <w:tr>
        <w:trPr>
          <w:trHeight w:val="223"/>
        </w:trPr>
        <w:tc>
          <w:tcPr>
            <w:tcW w:w="20" w:type="dxa"/>
            <w:vAlign w:val="bottom"/>
          </w:tcPr>
          <w:p>
            <w:pPr>
              <w:spacing w:after="0"/>
              <w:rPr>
                <w:sz w:val="19"/>
                <w:szCs w:val="19"/>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 term debt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147,471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185,950</w:t>
            </w: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7 3/8% SENIOR NOTES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250,000</w:t>
            </w: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105,057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106,767</w:t>
            </w: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2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567,554</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552,970</w:t>
            </w: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EQUITY:</w:t>
            </w:r>
          </w:p>
        </w:tc>
        <w:tc>
          <w:tcPr>
            <w:tcW w:w="8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Common stock—$.0001 par value; 90,000 authorized, 59,471 and 59,359 shares issued and outstanding at June 30, 2013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and December 31, 2012, respectively</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272,688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271,418</w:t>
            </w: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 (accumulated deficit)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(22,217)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r>
      <w:tr>
        <w:trPr>
          <w:trHeight w:val="223"/>
        </w:trPr>
        <w:tc>
          <w:tcPr>
            <w:tcW w:w="20" w:type="dxa"/>
            <w:vAlign w:val="bottom"/>
          </w:tcPr>
          <w:p>
            <w:pPr>
              <w:spacing w:after="0"/>
              <w:rPr>
                <w:sz w:val="19"/>
                <w:szCs w:val="19"/>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249,982</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273,635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249,800</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273,425</w:t>
            </w:r>
          </w:p>
        </w:tc>
        <w:tc>
          <w:tcPr>
            <w:tcW w:w="100" w:type="dxa"/>
            <w:vAlign w:val="bottom"/>
            <w:shd w:val="clear" w:color="auto" w:fill="CCEEFF"/>
          </w:tcPr>
          <w:p>
            <w:pPr>
              <w:spacing w:after="0"/>
              <w:rPr>
                <w:sz w:val="18"/>
                <w:szCs w:val="18"/>
                <w:color w:val="auto"/>
              </w:rPr>
            </w:pPr>
          </w:p>
        </w:tc>
      </w:tr>
      <w:tr>
        <w:trPr>
          <w:trHeight w:val="222"/>
        </w:trPr>
        <w:tc>
          <w:tcPr>
            <w:tcW w:w="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817,354</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826,395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152,863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163,107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341,710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318,014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147,682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144,401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310,746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279,286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38,728</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11,456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37,498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24,723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loss of use claim</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Impairment of goodwill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21,474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21,474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440"/>
              <w:spacing w:after="0"/>
              <w:rPr>
                <w:sz w:val="20"/>
                <w:szCs w:val="20"/>
                <w:color w:val="auto"/>
              </w:rPr>
            </w:pPr>
            <w:r>
              <w:rPr>
                <w:rFonts w:ascii="Arial" w:cs="Arial" w:eastAsia="Arial" w:hAnsi="Arial"/>
                <w:sz w:val="18"/>
                <w:szCs w:val="18"/>
                <w:color w:val="auto"/>
              </w:rPr>
              <w:t>Operating income (loss)</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(21,390)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7,343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(14,796)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14,129</w:t>
            </w:r>
          </w:p>
        </w:tc>
        <w:tc>
          <w:tcPr>
            <w:tcW w:w="0" w:type="dxa"/>
            <w:vAlign w:val="bottom"/>
          </w:tcPr>
          <w:p>
            <w:pPr>
              <w:spacing w:after="0"/>
              <w:rPr>
                <w:sz w:val="1"/>
                <w:szCs w:val="1"/>
                <w:color w:val="auto"/>
              </w:rPr>
            </w:pPr>
          </w:p>
        </w:tc>
      </w:tr>
      <w:tr>
        <w:trPr>
          <w:trHeight w:val="218"/>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(11,129)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(10,642)</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440"/>
              <w:spacing w:after="0"/>
              <w:rPr>
                <w:sz w:val="20"/>
                <w:szCs w:val="20"/>
                <w:color w:val="auto"/>
              </w:rPr>
            </w:pPr>
            <w:r>
              <w:rPr>
                <w:rFonts w:ascii="Arial" w:cs="Arial" w:eastAsia="Arial" w:hAnsi="Arial"/>
                <w:sz w:val="18"/>
                <w:szCs w:val="18"/>
                <w:color w:val="auto"/>
              </w:rPr>
              <w:t>Income (loss) before income taxes</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(27,432)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(27,125)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8"/>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440"/>
              <w:spacing w:after="0"/>
              <w:rPr>
                <w:sz w:val="20"/>
                <w:szCs w:val="20"/>
                <w:color w:val="auto"/>
              </w:rPr>
            </w:pPr>
            <w:r>
              <w:rPr>
                <w:rFonts w:ascii="Arial" w:cs="Arial" w:eastAsia="Arial" w:hAnsi="Arial"/>
                <w:sz w:val="18"/>
                <w:szCs w:val="18"/>
                <w:color w:val="auto"/>
              </w:rPr>
              <w:t>Net income (loss)</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(25,188)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(24,777)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 attributable to noncontrolling interests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440"/>
              <w:spacing w:after="0"/>
              <w:rPr>
                <w:sz w:val="20"/>
                <w:szCs w:val="20"/>
                <w:color w:val="auto"/>
              </w:rPr>
            </w:pPr>
            <w:r>
              <w:rPr>
                <w:rFonts w:ascii="Arial" w:cs="Arial" w:eastAsia="Arial" w:hAnsi="Arial"/>
                <w:sz w:val="18"/>
                <w:szCs w:val="18"/>
                <w:color w:val="auto"/>
              </w:rPr>
              <w:t>Net income (loss) attributable to Great Lakes Dredge &amp; Dock Corporation</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(25,241)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(24,808)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 attributable to Great Lakes Dredge &amp; Dock Corporation</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59,436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59,171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59,105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8"/>
              </w:rPr>
              <w:t>Diluted earnings (loss) per share attributable to Great Lakes Dredge &amp; Dock Corporation</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59,436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59,534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59,493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8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6"/>
              </w:rPr>
              <w:t>Three Months Ended</w:t>
            </w:r>
          </w:p>
        </w:tc>
        <w:tc>
          <w:tcPr>
            <w:tcW w:w="16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Pr>
          <w:p>
            <w:pPr>
              <w:spacing w:after="0"/>
              <w:rPr>
                <w:sz w:val="12"/>
                <w:szCs w:val="12"/>
                <w:color w:val="auto"/>
              </w:rPr>
            </w:pPr>
          </w:p>
        </w:tc>
        <w:tc>
          <w:tcPr>
            <w:tcW w:w="6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(25,188)</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1,180</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(24,777)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derivatives—net of tax (2)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(1,762)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loss—net of tax</w:t>
            </w: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(1,770)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(25,314)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(24,892)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Great Lakes Dredge &amp; Dock Corporation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(25,367)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(24,923)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$48 and $5 for the three months ended June 30, 2013 and 2012, respectively, and $52 and $3 for six months ended June 30, 2013 and 2012, respectively.</w:t>
      </w:r>
    </w:p>
    <w:p>
      <w:pPr>
        <w:ind w:left="460" w:right="8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$34 and $1,171 for the three months ended June 30, 2013 and 2012, respectively, and $23 and $856 for the six months ended June 30, 2013 and 2012,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12"/>
          </w:tcPr>
          <w:p>
            <w:pPr>
              <w:ind w:left="320"/>
              <w:spacing w:after="0"/>
              <w:rPr>
                <w:sz w:val="20"/>
                <w:szCs w:val="20"/>
                <w:color w:val="auto"/>
              </w:rPr>
            </w:pPr>
            <w:r>
              <w:rPr>
                <w:rFonts w:ascii="Arial" w:cs="Arial" w:eastAsia="Arial" w:hAnsi="Arial"/>
                <w:sz w:val="14"/>
                <w:szCs w:val="14"/>
                <w:b w:val="1"/>
                <w:bCs w:val="1"/>
                <w:color w:val="auto"/>
                <w:w w:val="91"/>
              </w:rPr>
              <w:t>Great Lakes Dredge &amp; Dock Corporation shareholders</w:t>
            </w:r>
          </w:p>
        </w:tc>
        <w:tc>
          <w:tcPr>
            <w:tcW w:w="7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Retained</w:t>
            </w:r>
          </w:p>
        </w:tc>
        <w:tc>
          <w:tcPr>
            <w:tcW w:w="14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Earnings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34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2013</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59,359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$271,418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$273,425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1,452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Vesting of restricted stock units, including</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impact of shares withheld for taxes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Distributions paid to noncontrolling interests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Other comprehensive loss—net of tax</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59,471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272,688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(22,217)</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2"/>
          </w:tcPr>
          <w:p>
            <w:pPr>
              <w:ind w:left="320"/>
              <w:spacing w:after="0"/>
              <w:rPr>
                <w:sz w:val="20"/>
                <w:szCs w:val="20"/>
                <w:color w:val="auto"/>
              </w:rPr>
            </w:pPr>
            <w:r>
              <w:rPr>
                <w:rFonts w:ascii="Arial" w:cs="Arial" w:eastAsia="Arial" w:hAnsi="Arial"/>
                <w:sz w:val="14"/>
                <w:szCs w:val="14"/>
                <w:b w:val="1"/>
                <w:bCs w:val="1"/>
                <w:color w:val="auto"/>
                <w:w w:val="91"/>
              </w:rPr>
              <w:t>Great Lakes Dredge &amp; Dock Corporation shareholders</w:t>
            </w:r>
          </w:p>
        </w:tc>
        <w:tc>
          <w:tcPr>
            <w:tcW w:w="7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34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Retained</w:t>
            </w:r>
          </w:p>
        </w:tc>
        <w:tc>
          <w:tcPr>
            <w:tcW w:w="14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Earnings</w:t>
            </w:r>
          </w:p>
        </w:tc>
        <w:tc>
          <w:tcPr>
            <w:tcW w:w="140" w:type="dxa"/>
            <w:vAlign w:val="bottom"/>
          </w:tcPr>
          <w:p>
            <w:pPr>
              <w:spacing w:after="0"/>
              <w:rPr>
                <w:sz w:val="14"/>
                <w:szCs w:val="14"/>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2012</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58,999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$267,918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568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$292,537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1,714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Vesting of restricted stock units, including</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impact of shares withheld for taxes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units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Distributions paid to noncontrolling interests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Other comprehensive loss—net of tax</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59,220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269,613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228</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(24,777)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flows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23,735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(2,286)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dispositions of property and equipment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21,474</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adjustment of contingent earnout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foreign currency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1,452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3,555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(2,319)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(5,903)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(3,367)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420"/>
              <w:spacing w:after="0"/>
              <w:rPr>
                <w:sz w:val="20"/>
                <w:szCs w:val="20"/>
                <w:color w:val="auto"/>
              </w:rPr>
            </w:pPr>
            <w:r>
              <w:rPr>
                <w:rFonts w:ascii="Arial" w:cs="Arial" w:eastAsia="Arial" w:hAnsi="Arial"/>
                <w:sz w:val="18"/>
                <w:szCs w:val="18"/>
                <w:color w:val="auto"/>
              </w:rPr>
              <w:t>Net cash flows used in operating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(18,888)</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(14,830)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(27,954)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Proceeds from vendor performance obligations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(14,131)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Distributions paid to minority interests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 term note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Dividend equivalents paid on restricted stock units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Taxes paid on settlement of vested share awards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equipment debt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144,000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loans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(103,000)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420"/>
              <w:spacing w:after="0"/>
              <w:rPr>
                <w:sz w:val="20"/>
                <w:szCs w:val="20"/>
                <w:color w:val="auto"/>
              </w:rPr>
            </w:pPr>
            <w:r>
              <w:rPr>
                <w:rFonts w:ascii="Arial" w:cs="Arial" w:eastAsia="Arial" w:hAnsi="Arial"/>
                <w:sz w:val="18"/>
                <w:szCs w:val="18"/>
                <w:color w:val="auto"/>
              </w:rPr>
              <w:t>Net cash flows provided by (used in)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30,232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(2,817)</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(42,497)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113,288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21,623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9,768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but not yet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7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NOTES TO CONDENSED CONSOLIDATED FINANCIAL STATEMENTS (Unaudited)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9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2012.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2013, and its results of operations for the three and six months ended June 30, 2013 and 2012 and cash flows for the six months ended June 30, 2013 and 2012 have been included.</w:t>
      </w:r>
    </w:p>
    <w:p>
      <w:pPr>
        <w:spacing w:after="0" w:line="12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coastal protection projects have the most volatile margins because they are most often exposed to variability in weather conditions.</w:t>
      </w:r>
    </w:p>
    <w:p>
      <w:pPr>
        <w:spacing w:after="0" w:line="113"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20% to 23%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0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 operates in four operating segments that, through aggregation, comprise two reportable segments: dredging and demolition.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 Due to a decline in the overall financial performance and declining cash flows in the demolition reporting unit, the Company concluded there was a triggering event that required an interim impairment test for the reporting unit in the second quarter of 2013. The Company recorded an estimated preliminary goodwill impairment charge of $21,474 at the demolition reporting unit in the quarter ended June 30, 2013.This impairment of goodwill is discussed in Note 4.</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three and six months ended June 30, 2013, 522 and 554 thousand shares of potentially dilutive stock options and restricted stock units were excluded from the diluted weighted-average common shares outstanding as the Company incurred a loss during these periods. The impact of these shares would have been antidilutive. For the three and six months ended June 30, 2012, zero options to purchase shares of common stock were excluded from the calculation of diluted earnings per share based on the application of the treasury stock method. The computations for basic and diluted earnings per share from continuing operations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7000" w:type="dxa"/>
            <w:vAlign w:val="bottom"/>
            <w:gridSpan w:val="4"/>
          </w:tcPr>
          <w:p>
            <w:pPr>
              <w:ind w:left="460"/>
              <w:spacing w:after="0"/>
              <w:rPr>
                <w:sz w:val="20"/>
                <w:szCs w:val="20"/>
                <w:color w:val="auto"/>
              </w:rPr>
            </w:pPr>
            <w:r>
              <w:rPr>
                <w:rFonts w:ascii="Arial" w:cs="Arial" w:eastAsia="Arial" w:hAnsi="Arial"/>
                <w:sz w:val="14"/>
                <w:szCs w:val="14"/>
                <w:b w:val="1"/>
                <w:bCs w:val="1"/>
                <w:color w:val="auto"/>
              </w:rPr>
              <w:t>(shares in thousands)</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left="297"/>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397"/>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6540" w:type="dxa"/>
            <w:vAlign w:val="bottom"/>
            <w:gridSpan w:val="3"/>
            <w:shd w:val="clear" w:color="auto" w:fill="CCEEFF"/>
          </w:tcPr>
          <w:p>
            <w:pPr>
              <w:spacing w:after="0" w:line="188" w:lineRule="exact"/>
              <w:rPr>
                <w:sz w:val="20"/>
                <w:szCs w:val="20"/>
                <w:color w:val="auto"/>
              </w:rPr>
            </w:pPr>
            <w:r>
              <w:rPr>
                <w:rFonts w:ascii="Arial" w:cs="Arial" w:eastAsia="Arial" w:hAnsi="Arial"/>
                <w:sz w:val="18"/>
                <w:szCs w:val="18"/>
                <w:color w:val="auto"/>
                <w:w w:val="94"/>
              </w:rPr>
              <w:t>Net income (loss) attributable to common shareholders of Great Lakes Dredge &amp; Dock</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(25,241)</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(24,808)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Weighted-average common shares outstanding — basic</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59,436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59,171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59,403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59,105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7000" w:type="dxa"/>
            <w:vAlign w:val="bottom"/>
            <w:gridSpan w:val="4"/>
            <w:vMerge w:val="restart"/>
          </w:tcPr>
          <w:p>
            <w:pPr>
              <w:ind w:left="460"/>
              <w:spacing w:after="0"/>
              <w:rPr>
                <w:sz w:val="20"/>
                <w:szCs w:val="20"/>
                <w:color w:val="auto"/>
              </w:rPr>
            </w:pPr>
            <w:r>
              <w:rPr>
                <w:rFonts w:ascii="Arial" w:cs="Arial" w:eastAsia="Arial" w:hAnsi="Arial"/>
                <w:sz w:val="18"/>
                <w:szCs w:val="18"/>
                <w:color w:val="auto"/>
              </w:rPr>
              <w:t>Weighted-average common shares outstanding — diluted</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59,436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59,534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59,403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59,493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Earnings (loss) per share —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19"/>
                <w:szCs w:val="19"/>
                <w:color w:val="auto"/>
              </w:rPr>
            </w:pPr>
          </w:p>
        </w:tc>
        <w:tc>
          <w:tcPr>
            <w:tcW w:w="280" w:type="dxa"/>
            <w:vAlign w:val="bottom"/>
            <w:gridSpan w:val="2"/>
          </w:tcPr>
          <w:p>
            <w:pPr>
              <w:jc w:val="center"/>
              <w:ind w:left="1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491"/>
        </w:trPr>
        <w:tc>
          <w:tcPr>
            <w:tcW w:w="640" w:type="dxa"/>
            <w:vAlign w:val="bottom"/>
            <w:gridSpan w:val="2"/>
          </w:tcPr>
          <w:p>
            <w:pPr>
              <w:ind w:left="460"/>
              <w:spacing w:after="0"/>
              <w:rPr>
                <w:sz w:val="20"/>
                <w:szCs w:val="20"/>
                <w:color w:val="auto"/>
              </w:rPr>
            </w:pPr>
            <w:r>
              <w:rPr>
                <w:rFonts w:ascii="Arial" w:cs="Arial" w:eastAsia="Arial" w:hAnsi="Arial"/>
                <w:sz w:val="18"/>
                <w:szCs w:val="18"/>
                <w:b w:val="1"/>
                <w:bCs w:val="1"/>
                <w:color w:val="auto"/>
              </w:rPr>
              <w:t>3.</w:t>
            </w:r>
          </w:p>
        </w:tc>
        <w:tc>
          <w:tcPr>
            <w:tcW w:w="6360" w:type="dxa"/>
            <w:vAlign w:val="bottom"/>
            <w:gridSpan w:val="2"/>
          </w:tcPr>
          <w:p>
            <w:pPr>
              <w:ind w:left="260"/>
              <w:spacing w:after="0"/>
              <w:rPr>
                <w:sz w:val="20"/>
                <w:szCs w:val="20"/>
                <w:color w:val="auto"/>
              </w:rPr>
            </w:pPr>
            <w:r>
              <w:rPr>
                <w:rFonts w:ascii="Arial" w:cs="Arial" w:eastAsia="Arial" w:hAnsi="Arial"/>
                <w:sz w:val="18"/>
                <w:szCs w:val="18"/>
                <w:b w:val="1"/>
                <w:bCs w:val="1"/>
                <w:color w:val="auto"/>
              </w:rPr>
              <w:t>Accounts receivable and contracts in progress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0" w:type="dxa"/>
            <w:vAlign w:val="bottom"/>
            <w:gridSpan w:val="4"/>
          </w:tcPr>
          <w:p>
            <w:pPr>
              <w:spacing w:after="0"/>
              <w:rPr>
                <w:sz w:val="20"/>
                <w:szCs w:val="20"/>
                <w:color w:val="auto"/>
              </w:rPr>
            </w:pPr>
            <w:r>
              <w:rPr>
                <w:rFonts w:ascii="Arial" w:cs="Arial" w:eastAsia="Arial" w:hAnsi="Arial"/>
                <w:sz w:val="18"/>
                <w:szCs w:val="18"/>
                <w:color w:val="auto"/>
              </w:rPr>
              <w:t>Accounts receivable at June 30, 2013 and December 31, 2012 are as follows: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156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center"/>
              <w:ind w:right="15"/>
              <w:spacing w:after="0"/>
              <w:rPr>
                <w:sz w:val="20"/>
                <w:szCs w:val="20"/>
                <w:color w:val="auto"/>
              </w:rPr>
            </w:pPr>
            <w:r>
              <w:rPr>
                <w:rFonts w:ascii="Arial" w:cs="Arial" w:eastAsia="Arial" w:hAnsi="Arial"/>
                <w:sz w:val="14"/>
                <w:szCs w:val="14"/>
                <w:b w:val="1"/>
                <w:bCs w:val="1"/>
                <w:color w:val="auto"/>
                <w:w w:val="83"/>
              </w:rPr>
              <w:t>2013</w:t>
            </w: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Completed contracts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48,756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43,898</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Contracts in progress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85,346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91,459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23,458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157,560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159,776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(3,469)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60" w:type="dxa"/>
            <w:vAlign w:val="bottom"/>
            <w:gridSpan w:val="2"/>
            <w:vMerge w:val="restart"/>
          </w:tcPr>
          <w:p>
            <w:pPr>
              <w:ind w:left="740"/>
              <w:spacing w:after="0"/>
              <w:rPr>
                <w:sz w:val="20"/>
                <w:szCs w:val="20"/>
                <w:color w:val="auto"/>
              </w:rPr>
            </w:pPr>
            <w:r>
              <w:rPr>
                <w:rFonts w:ascii="Arial" w:cs="Arial" w:eastAsia="Arial" w:hAnsi="Arial"/>
                <w:sz w:val="18"/>
                <w:szCs w:val="18"/>
                <w:color w:val="auto"/>
              </w:rPr>
              <w:t>Total accounts receivable—net</w:t>
            </w: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154,091</w:t>
            </w:r>
          </w:p>
        </w:tc>
        <w:tc>
          <w:tcPr>
            <w:tcW w:w="180" w:type="dxa"/>
            <w:vAlign w:val="bottom"/>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157,726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receivable—net</w:t>
            </w:r>
          </w:p>
        </w:tc>
        <w:tc>
          <w:tcPr>
            <w:tcW w:w="100" w:type="dxa"/>
            <w:vAlign w:val="bottom"/>
            <w:shd w:val="clear" w:color="auto" w:fill="CCEEFF"/>
          </w:tcPr>
          <w:p>
            <w:pPr>
              <w:spacing w:after="0"/>
              <w:rPr>
                <w:sz w:val="18"/>
                <w:szCs w:val="18"/>
                <w:color w:val="auto"/>
              </w:rPr>
            </w:pPr>
          </w:p>
        </w:tc>
        <w:tc>
          <w:tcPr>
            <w:tcW w:w="14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$149,940</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149,142</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4,151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receivable—net</w:t>
            </w:r>
          </w:p>
        </w:tc>
        <w:tc>
          <w:tcPr>
            <w:tcW w:w="100" w:type="dxa"/>
            <w:vAlign w:val="bottom"/>
            <w:shd w:val="clear" w:color="auto" w:fill="CCEEFF"/>
          </w:tcPr>
          <w:p>
            <w:pPr>
              <w:spacing w:after="0"/>
              <w:rPr>
                <w:sz w:val="18"/>
                <w:szCs w:val="18"/>
                <w:color w:val="auto"/>
              </w:rPr>
            </w:pPr>
          </w:p>
        </w:tc>
        <w:tc>
          <w:tcPr>
            <w:tcW w:w="146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154,091</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157,726</w:t>
            </w: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60" w:type="dxa"/>
            <w:vAlign w:val="bottom"/>
            <w:gridSpan w:val="2"/>
            <w:vMerge w:val="restart"/>
          </w:tcPr>
          <w:p>
            <w:pPr>
              <w:jc w:val="right"/>
              <w:ind w:right="115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June 30, 2013 and December 31, 2012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June 30,</w:t>
            </w:r>
          </w:p>
        </w:tc>
        <w:tc>
          <w:tcPr>
            <w:tcW w:w="118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324,934</w:t>
            </w:r>
          </w:p>
        </w:tc>
        <w:tc>
          <w:tcPr>
            <w:tcW w:w="32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458,750</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(264,340)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(392,860)</w:t>
            </w:r>
          </w:p>
        </w:tc>
      </w:tr>
      <w:tr>
        <w:trPr>
          <w:trHeight w:val="221"/>
        </w:trPr>
        <w:tc>
          <w:tcPr>
            <w:tcW w:w="6440" w:type="dxa"/>
            <w:vAlign w:val="bottom"/>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60,594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65,890</w:t>
            </w:r>
          </w:p>
        </w:tc>
        <w:tc>
          <w:tcPr>
            <w:tcW w:w="120" w:type="dxa"/>
            <w:vAlign w:val="bottom"/>
          </w:tcPr>
          <w:p>
            <w:pPr>
              <w:spacing w:after="0"/>
              <w:rPr>
                <w:sz w:val="19"/>
                <w:szCs w:val="19"/>
                <w:color w:val="auto"/>
              </w:rPr>
            </w:pPr>
          </w:p>
        </w:tc>
      </w:tr>
      <w:tr>
        <w:trPr>
          <w:trHeight w:val="218"/>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2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Total contract revenues in excess of billings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71,842</w:t>
            </w:r>
          </w:p>
        </w:tc>
        <w:tc>
          <w:tcPr>
            <w:tcW w:w="32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69,574</w:t>
            </w:r>
          </w:p>
        </w:tc>
        <w:tc>
          <w:tcPr>
            <w:tcW w:w="1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Amounts billed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(371,799)</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(338,741)</w:t>
            </w: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363,886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327,461</w:t>
            </w:r>
          </w:p>
        </w:tc>
        <w:tc>
          <w:tcPr>
            <w:tcW w:w="12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Total billings in excess of contract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(7,913)</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(11,280)</w:t>
            </w: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annual goodwill impairment test is conducted in the third quarter of each year and interim evaluations are performed when the Company determines that a triggering event has occurred that would more likely than not reduce the fair value of goodwill below its carrying value. Due to a decline in the overall financial performance and declining cash flows in the demolition reporting unit, the Company concluded there was a triggering event that required an interim impairment test for the reporting unit in the second quarter of 2013.</w:t>
      </w:r>
    </w:p>
    <w:p>
      <w:pPr>
        <w:spacing w:after="0" w:line="14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connection with the Company’s preparation of this Quarterly Report on Form 10-Q, the Company performed step one of the goodwill impairment test as of June 30, 2013, which compared the fair value of the demolition reporting unit against its carrying amount, including goodwill. In deriving the fair value of the demolition reporting unit, the Company used both a market-based approach and an income-based approach. Under the income approach, the fair value of the reporting unit is based on the present value of estimated future cash flows. Under the market approach, the Company uses the guideline public company method by applying estimated market-based enterprise value multiples to the reporting unit’s estimated revenue and Adjusted EBITDA. Based on the first step analysis, management concluded that the fair value of the demolition reporting unit was less than its carrying value; therefore, the Company performed step two of the goodwill impairment analysis.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Step two of the goodwill impairment analysis measures the impairment charge by allocating the reporting unit’s fair value to all of the assets and liabilities of the reporting unit in a hypothetical analysis that calculates implied fair value of goodwill in the same manner as if the reporting unit was being acquired in a business combination. Any excess of the carrying value of the reporting unit’s goodwill over the implied fair value of the reporting unit’s goodwill is recorded as a loss on impairment of goodwill.</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Management determined that the demolition reporting unit’s implied fair value of goodwill was below the carrying value as of June 30, 2013. As a result, the Company has estimated the range of impairment of goodwill between $19.0 million and $21.5 million and has recorded a preliminary estimated impairment charge of $21,474 in the second quarter of 2013. Due to the timing and complexity of the second step of the impairment test, which is required to determine the actual impairment of goodwill, the Company was unable to finalize the amount of impairment prior to filing this form 10-Q for the three and six months ended June 30, 2013. Any subsequent adjustment to the estimated impairment charge will be recorded in the 2013 third quarter.</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value of goodwill for the period ended June 30, 2013 is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w w:val="85"/>
              </w:rPr>
              <w:t>Dredging Segment</w:t>
            </w:r>
          </w:p>
        </w:tc>
        <w:tc>
          <w:tcPr>
            <w:tcW w:w="7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Demolition Segment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 December 31, 2012</w:t>
            </w:r>
          </w:p>
        </w:tc>
        <w:tc>
          <w:tcPr>
            <w:tcW w:w="1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7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24,224</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100,799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(21,474)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(21,474)</w:t>
            </w:r>
          </w:p>
        </w:tc>
      </w:tr>
      <w:tr>
        <w:trPr>
          <w:trHeight w:val="27"/>
        </w:trPr>
        <w:tc>
          <w:tcPr>
            <w:tcW w:w="3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2013</w:t>
            </w:r>
          </w:p>
        </w:tc>
        <w:tc>
          <w:tcPr>
            <w:tcW w:w="17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79,325</w:t>
            </w:r>
          </w:p>
        </w:tc>
      </w:tr>
      <w:tr>
        <w:trPr>
          <w:trHeight w:val="20"/>
        </w:trPr>
        <w:tc>
          <w:tcPr>
            <w:tcW w:w="3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June 30, 2013 and December 31, 2012, the Company held certain derivative contracts that it uses to manage commodity price risk. The Company does not hold or issue derivatives for speculative or trading purposes. In addition, other nonfinancial assets and liabilities are measured at fair value in the financial statements on a nonrecurring basis. The fair values of these financial instruments and nonfinancial assets and liabilities measured at the reporting date are summarized as follows: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840" w:type="dxa"/>
            <w:vAlign w:val="bottom"/>
          </w:tcPr>
          <w:p>
            <w:pPr>
              <w:spacing w:after="0"/>
              <w:rPr>
                <w:sz w:val="12"/>
                <w:szCs w:val="12"/>
                <w:color w:val="auto"/>
              </w:rPr>
            </w:pPr>
          </w:p>
        </w:tc>
        <w:tc>
          <w:tcPr>
            <w:tcW w:w="19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8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40" w:type="dxa"/>
            <w:vAlign w:val="bottom"/>
          </w:tcPr>
          <w:p>
            <w:pPr>
              <w:spacing w:after="0"/>
              <w:rPr>
                <w:sz w:val="12"/>
                <w:szCs w:val="12"/>
                <w:color w:val="auto"/>
              </w:rPr>
            </w:pPr>
          </w:p>
        </w:tc>
        <w:tc>
          <w:tcPr>
            <w:tcW w:w="19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 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13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At June 30, 2013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7"/>
              <w:spacing w:after="0" w:line="148" w:lineRule="exact"/>
              <w:rPr>
                <w:sz w:val="20"/>
                <w:szCs w:val="20"/>
                <w:color w:val="auto"/>
              </w:rPr>
            </w:pPr>
            <w:r>
              <w:rPr>
                <w:rFonts w:ascii="Arial" w:cs="Arial" w:eastAsia="Arial" w:hAnsi="Arial"/>
                <w:sz w:val="14"/>
                <w:szCs w:val="14"/>
                <w:b w:val="1"/>
                <w:bCs w:val="1"/>
                <w:color w:val="auto"/>
                <w:w w:val="91"/>
              </w:rPr>
              <w:t>(Level 1)</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1020"/>
              <w:spacing w:after="0" w:line="148" w:lineRule="exact"/>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Fuel hedge contracts</w:t>
            </w:r>
          </w:p>
        </w:tc>
        <w:tc>
          <w:tcPr>
            <w:tcW w:w="2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235</w:t>
            </w: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6"/>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235</w:t>
            </w:r>
          </w:p>
        </w:tc>
        <w:tc>
          <w:tcPr>
            <w:tcW w:w="8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7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840" w:type="dxa"/>
            <w:vAlign w:val="bottom"/>
          </w:tcPr>
          <w:p>
            <w:pPr>
              <w:spacing w:after="0"/>
              <w:rPr>
                <w:sz w:val="12"/>
                <w:szCs w:val="12"/>
                <w:color w:val="auto"/>
              </w:rPr>
            </w:pPr>
          </w:p>
        </w:tc>
        <w:tc>
          <w:tcPr>
            <w:tcW w:w="19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840" w:type="dxa"/>
            <w:vAlign w:val="bottom"/>
            <w:vMerge w:val="restart"/>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 December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40" w:type="dxa"/>
            <w:vAlign w:val="bottom"/>
          </w:tcPr>
          <w:p>
            <w:pPr>
              <w:spacing w:after="0"/>
              <w:rPr>
                <w:sz w:val="12"/>
                <w:szCs w:val="12"/>
                <w:color w:val="auto"/>
              </w:rPr>
            </w:pPr>
          </w:p>
        </w:tc>
        <w:tc>
          <w:tcPr>
            <w:tcW w:w="19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 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9"/>
              <w:spacing w:after="0" w:line="148"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7"/>
              <w:spacing w:after="0" w:line="148" w:lineRule="exact"/>
              <w:rPr>
                <w:sz w:val="20"/>
                <w:szCs w:val="20"/>
                <w:color w:val="auto"/>
              </w:rPr>
            </w:pPr>
            <w:r>
              <w:rPr>
                <w:rFonts w:ascii="Arial" w:cs="Arial" w:eastAsia="Arial" w:hAnsi="Arial"/>
                <w:sz w:val="14"/>
                <w:szCs w:val="14"/>
                <w:b w:val="1"/>
                <w:bCs w:val="1"/>
                <w:color w:val="auto"/>
                <w:w w:val="91"/>
              </w:rPr>
              <w:t>(Level 1)</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1020"/>
              <w:spacing w:after="0" w:line="148" w:lineRule="exact"/>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Fuel hedge contracts</w:t>
            </w:r>
          </w:p>
        </w:tc>
        <w:tc>
          <w:tcPr>
            <w:tcW w:w="2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w:t>
            </w: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6"/>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w:t>
            </w:r>
          </w:p>
        </w:tc>
        <w:tc>
          <w:tcPr>
            <w:tcW w:w="8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7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2"/>
          </w:tcPr>
          <w:p>
            <w:pPr>
              <w:jc w:val="right"/>
              <w:ind w:right="6"/>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June 30, 2013, the Company was party to various swap arrangements to hedge the price of a portion of its diesel fuel purchase requirements for work in its backlog to be performed through May 2014. As of June 30, 2013, there were 2.8 million gallons remaining on these contracts which represent approximately 80% of the Company’s forecasted fuel purchases through May 2014. Under these swap agreements, the Company will pay fixed prices ranging from $2.88 to $3.26 per gallon.</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each balance sheet date, unrealized gains and losses on fuel hedge contracts are recorded as a component of accumulated other comprehensive income (loss) in the condensed consolidated balance sheets. Gains and losses realized upon settlement of fuel hedge contracts are reclassified from accumulated other comprehensive income (loss) as the fuel is utilized and included in fuel expense, which is a component of costs of contract revenues in the condensed consolidated statements of operations.</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At June 30, 2013, the fair value liability of the fuel hedge contracts was estimated to be $235 and is recorded in accrued expenses. At December 31, 2012 the fair value liability of the fuel hedge contracts was estimated to be $178 and is recorded in accrued expenses. The loss reclassified to earnings from changes in fair value of derivatives, net of cash settlements and taxes, for the six months ended June 30, 2013 was $291. The remaining gains and losses included in accumulated other comprehensive loss at June 30, 2013 will be reclassified into earnings over the next eleven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June 30, 2013 and December 31, 2012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Fair Value at</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4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1"/>
                <w:szCs w:val="11"/>
                <w:color w:val="auto"/>
              </w:rPr>
            </w:pPr>
          </w:p>
        </w:tc>
      </w:tr>
      <w:tr>
        <w:trPr>
          <w:trHeight w:val="161"/>
        </w:trPr>
        <w:tc>
          <w:tcPr>
            <w:tcW w:w="4280" w:type="dxa"/>
            <w:vAlign w:val="bottom"/>
          </w:tcPr>
          <w:p>
            <w:pPr>
              <w:spacing w:after="0"/>
              <w:rPr>
                <w:sz w:val="14"/>
                <w:szCs w:val="14"/>
                <w:color w:val="auto"/>
              </w:rPr>
            </w:pPr>
          </w:p>
        </w:tc>
        <w:tc>
          <w:tcPr>
            <w:tcW w:w="3400" w:type="dxa"/>
            <w:vAlign w:val="bottom"/>
            <w:gridSpan w:val="3"/>
          </w:tcPr>
          <w:p>
            <w:pPr>
              <w:ind w:left="1540"/>
              <w:spacing w:after="0"/>
              <w:rPr>
                <w:sz w:val="20"/>
                <w:szCs w:val="20"/>
                <w:color w:val="auto"/>
              </w:rPr>
            </w:pPr>
            <w:r>
              <w:rPr>
                <w:rFonts w:ascii="Arial" w:cs="Arial" w:eastAsia="Arial" w:hAnsi="Arial"/>
                <w:sz w:val="14"/>
                <w:szCs w:val="14"/>
                <w:b w:val="1"/>
                <w:bCs w:val="1"/>
                <w:color w:val="auto"/>
              </w:rPr>
              <w:t>Balance Sheet Location</w:t>
            </w:r>
          </w:p>
        </w:tc>
        <w:tc>
          <w:tcPr>
            <w:tcW w:w="480" w:type="dxa"/>
            <w:vAlign w:val="bottom"/>
          </w:tcPr>
          <w:p>
            <w:pPr>
              <w:jc w:val="right"/>
              <w:ind w:right="26"/>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182"/>
              <w:spacing w:after="0"/>
              <w:rPr>
                <w:sz w:val="20"/>
                <w:szCs w:val="20"/>
                <w:color w:val="auto"/>
              </w:rPr>
            </w:pPr>
            <w:r>
              <w:rPr>
                <w:rFonts w:ascii="Arial" w:cs="Arial" w:eastAsia="Arial" w:hAnsi="Arial"/>
                <w:sz w:val="14"/>
                <w:szCs w:val="14"/>
                <w:b w:val="1"/>
                <w:bCs w:val="1"/>
                <w:color w:val="auto"/>
                <w:w w:val="83"/>
              </w:rPr>
              <w:t>2012</w:t>
            </w:r>
          </w:p>
        </w:tc>
        <w:tc>
          <w:tcPr>
            <w:tcW w:w="60" w:type="dxa"/>
            <w:vAlign w:val="bottom"/>
          </w:tcPr>
          <w:p>
            <w:pPr>
              <w:spacing w:after="0"/>
              <w:rPr>
                <w:sz w:val="14"/>
                <w:szCs w:val="14"/>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Liability derivatives:</w:t>
            </w:r>
          </w:p>
        </w:tc>
        <w:tc>
          <w:tcPr>
            <w:tcW w:w="15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jc w:val="center"/>
              <w:ind w:right="992"/>
              <w:spacing w:after="0"/>
              <w:rPr>
                <w:sz w:val="20"/>
                <w:szCs w:val="20"/>
                <w:color w:val="auto"/>
              </w:rPr>
            </w:pPr>
            <w:r>
              <w:rPr>
                <w:rFonts w:ascii="Arial" w:cs="Arial" w:eastAsia="Arial" w:hAnsi="Arial"/>
                <w:sz w:val="18"/>
                <w:szCs w:val="18"/>
                <w:color w:val="auto"/>
                <w:w w:val="85"/>
              </w:rPr>
              <w:t>Derivatives designated as hedges</w:t>
            </w: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jc w:val="center"/>
              <w:ind w:right="992"/>
              <w:spacing w:after="0"/>
              <w:rPr>
                <w:sz w:val="20"/>
                <w:szCs w:val="20"/>
                <w:color w:val="auto"/>
              </w:rPr>
            </w:pPr>
            <w:r>
              <w:rPr>
                <w:rFonts w:ascii="Arial" w:cs="Arial" w:eastAsia="Arial" w:hAnsi="Arial"/>
                <w:sz w:val="18"/>
                <w:szCs w:val="18"/>
                <w:color w:val="auto"/>
                <w:w w:val="85"/>
              </w:rPr>
              <w:t>Fuel hedge contracts</w:t>
            </w:r>
          </w:p>
        </w:tc>
        <w:tc>
          <w:tcPr>
            <w:tcW w:w="3400" w:type="dxa"/>
            <w:vAlign w:val="bottom"/>
            <w:gridSpan w:val="3"/>
            <w:shd w:val="clear" w:color="auto" w:fill="CCEEFF"/>
          </w:tcPr>
          <w:p>
            <w:pPr>
              <w:ind w:left="1540"/>
              <w:spacing w:after="0"/>
              <w:rPr>
                <w:sz w:val="20"/>
                <w:szCs w:val="20"/>
                <w:color w:val="auto"/>
              </w:rPr>
            </w:pPr>
            <w:r>
              <w:rPr>
                <w:rFonts w:ascii="Arial" w:cs="Arial" w:eastAsia="Arial" w:hAnsi="Arial"/>
                <w:sz w:val="18"/>
                <w:szCs w:val="18"/>
                <w:color w:val="auto"/>
              </w:rPr>
              <w:t>Accrued expenses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235</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0"/>
        </w:trPr>
        <w:tc>
          <w:tcPr>
            <w:tcW w:w="4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other nonfinancial assets and liabilities measured at fair value in the financial statements on a nonrecurring basis are subject to fair value measurements and disclosures. Nonfinancial assets and liabilities included in our condensed consolidated balance sheets and measured on a nonrecurring basis consist of goodwill and long-lived assets, including other acquired intangibles. Goodwill and long-lived assets are measured at fair value to test for and measure impairment, if any, at least annually for goodwill or when necessary for both goodwill and long-lived assets.</w:t>
      </w:r>
    </w:p>
    <w:p>
      <w:pPr>
        <w:spacing w:after="0" w:line="1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estimated the fair value of our demolition reporting unit for our goodwill impairment test by using both a market-based approach and an income-based approach. The income approach is dependent on a number of factors, including estimates of future market growth trends, forecasted revenues and expenses based upon historical operating data,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analyzed companies that performed similar services or are considered peers.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An impairment of goodwill was recorded in the amount of $21,474 in the second quarter of 2013. The fair value of goodwill was determined using quantitative models that contained significant unobservable inputs. See Note 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80" w:type="dxa"/>
            <w:vAlign w:val="bottom"/>
            <w:gridSpan w:val="12"/>
          </w:tcPr>
          <w:p>
            <w:pPr>
              <w:jc w:val="center"/>
              <w:ind w:left="56"/>
              <w:spacing w:after="0"/>
              <w:rPr>
                <w:sz w:val="20"/>
                <w:szCs w:val="20"/>
                <w:color w:val="auto"/>
              </w:rPr>
            </w:pPr>
            <w:r>
              <w:rPr>
                <w:rFonts w:ascii="Arial" w:cs="Arial" w:eastAsia="Arial" w:hAnsi="Arial"/>
                <w:sz w:val="14"/>
                <w:szCs w:val="14"/>
                <w:b w:val="1"/>
                <w:bCs w:val="1"/>
                <w:color w:val="auto"/>
                <w:w w:val="86"/>
              </w:rPr>
              <w:t>Fair Value Measurements Using</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11"/>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Significant Unobservable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1"/>
              </w:rPr>
              <w:t>(Level 3)</w:t>
            </w: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5"/>
          </w:tcPr>
          <w:p>
            <w:pPr>
              <w:jc w:val="center"/>
              <w:ind w:left="82"/>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w:t>
            </w:r>
          </w:p>
        </w:tc>
        <w:tc>
          <w:tcPr>
            <w:tcW w:w="2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ind w:left="440"/>
              <w:spacing w:after="0"/>
              <w:rPr>
                <w:sz w:val="20"/>
                <w:szCs w:val="20"/>
                <w:color w:val="auto"/>
              </w:rPr>
            </w:pPr>
            <w:r>
              <w:rPr>
                <w:rFonts w:ascii="Arial" w:cs="Arial" w:eastAsia="Arial" w:hAnsi="Arial"/>
                <w:sz w:val="18"/>
                <w:szCs w:val="18"/>
                <w:color w:val="auto"/>
              </w:rPr>
              <w:t>Balance at January 1,</w:t>
            </w:r>
          </w:p>
        </w:tc>
        <w:tc>
          <w:tcPr>
            <w:tcW w:w="2140" w:type="dxa"/>
            <w:vAlign w:val="bottom"/>
          </w:tcPr>
          <w:p>
            <w:pPr>
              <w:spacing w:after="0"/>
              <w:rPr>
                <w:sz w:val="18"/>
                <w:szCs w:val="18"/>
                <w:color w:val="auto"/>
              </w:rPr>
            </w:pPr>
          </w:p>
        </w:tc>
        <w:tc>
          <w:tcPr>
            <w:tcW w:w="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100,799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of goodwill</w:t>
            </w:r>
          </w:p>
        </w:tc>
        <w:tc>
          <w:tcPr>
            <w:tcW w:w="2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(21,474)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20" w:type="dxa"/>
            <w:vAlign w:val="bottom"/>
            <w:vMerge w:val="restart"/>
          </w:tcPr>
          <w:p>
            <w:pPr>
              <w:ind w:left="440"/>
              <w:spacing w:after="0"/>
              <w:rPr>
                <w:sz w:val="20"/>
                <w:szCs w:val="20"/>
                <w:color w:val="auto"/>
              </w:rPr>
            </w:pPr>
            <w:r>
              <w:rPr>
                <w:rFonts w:ascii="Arial" w:cs="Arial" w:eastAsia="Arial" w:hAnsi="Arial"/>
                <w:sz w:val="18"/>
                <w:szCs w:val="18"/>
                <w:color w:val="auto"/>
              </w:rPr>
              <w:t>Balance at June 30,</w:t>
            </w:r>
          </w:p>
        </w:tc>
        <w:tc>
          <w:tcPr>
            <w:tcW w:w="2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52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79,325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Accumulated other comprehensive loss</w:t>
            </w: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60" w:type="dxa"/>
            <w:vAlign w:val="bottom"/>
            <w:gridSpan w:val="3"/>
            <w:vMerge w:val="continue"/>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500" w:type="dxa"/>
            <w:vAlign w:val="bottom"/>
            <w:gridSpan w:val="4"/>
          </w:tcPr>
          <w:p>
            <w:pPr>
              <w:spacing w:after="0"/>
              <w:rPr>
                <w:sz w:val="20"/>
                <w:szCs w:val="20"/>
                <w:color w:val="auto"/>
              </w:rPr>
            </w:pPr>
            <w:r>
              <w:rPr>
                <w:rFonts w:ascii="Arial" w:cs="Arial" w:eastAsia="Arial" w:hAnsi="Arial"/>
                <w:sz w:val="18"/>
                <w:szCs w:val="18"/>
                <w:color w:val="auto"/>
                <w:w w:val="89"/>
              </w:rPr>
              <w:t>Changes in the components of the accumulated balances of other comprehensive income are as follows: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9"/>
          </w:tcPr>
          <w:p>
            <w:pPr>
              <w:jc w:val="right"/>
              <w:ind w:right="180"/>
              <w:spacing w:after="0"/>
              <w:rPr>
                <w:sz w:val="20"/>
                <w:szCs w:val="20"/>
                <w:color w:val="auto"/>
              </w:rPr>
            </w:pPr>
            <w:r>
              <w:rPr>
                <w:rFonts w:ascii="Arial" w:cs="Arial" w:eastAsia="Arial" w:hAnsi="Arial"/>
                <w:sz w:val="14"/>
                <w:szCs w:val="14"/>
                <w:b w:val="1"/>
                <w:bCs w:val="1"/>
                <w:color w:val="auto"/>
                <w:w w:val="94"/>
              </w:rPr>
              <w:t>Three months ended</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4"/>
              </w:rPr>
              <w:t>Six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7"/>
          </w:tcPr>
          <w:p>
            <w:pPr>
              <w:ind w:left="40"/>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Cumulative translation adjustments—net of tax</w:t>
            </w:r>
          </w:p>
        </w:tc>
        <w:tc>
          <w:tcPr>
            <w:tcW w:w="2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(75)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(81)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Reclassification of derivative losses (gains) to earnings—net of tax</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2"/>
          </w:tcPr>
          <w:p>
            <w:pPr>
              <w:ind w:left="440"/>
              <w:spacing w:after="0"/>
              <w:rPr>
                <w:sz w:val="20"/>
                <w:szCs w:val="20"/>
                <w:color w:val="auto"/>
              </w:rPr>
            </w:pPr>
            <w:r>
              <w:rPr>
                <w:rFonts w:ascii="Arial" w:cs="Arial" w:eastAsia="Arial" w:hAnsi="Arial"/>
                <w:sz w:val="18"/>
                <w:szCs w:val="18"/>
                <w:color w:val="auto"/>
              </w:rPr>
              <w:t>Change in fair value of derivatives—net of tax</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172"/>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(1,905)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gain on derivatives—net of tax</w:t>
            </w:r>
          </w:p>
        </w:tc>
        <w:tc>
          <w:tcPr>
            <w:tcW w:w="2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(1,762)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(1,288)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other comprehensive loss</w:t>
            </w: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3"/>
            <w:vMerge w:val="continue"/>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4"/>
          </w:tcPr>
          <w:p>
            <w:pPr>
              <w:jc w:val="right"/>
              <w:ind w:right="172"/>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(126)</w:t>
            </w:r>
          </w:p>
        </w:tc>
        <w:tc>
          <w:tcPr>
            <w:tcW w:w="8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91"/>
              </w:rPr>
              <w:t>$ (1,770)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(115)</w:t>
            </w:r>
          </w:p>
        </w:tc>
        <w:tc>
          <w:tcPr>
            <w:tcW w:w="4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gridSpan w:val="5"/>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20" w:type="dxa"/>
            <w:vAlign w:val="bottom"/>
            <w:gridSpan w:val="7"/>
          </w:tcPr>
          <w:p>
            <w:pPr>
              <w:spacing w:after="0"/>
              <w:rPr>
                <w:sz w:val="20"/>
                <w:szCs w:val="20"/>
                <w:color w:val="auto"/>
              </w:rPr>
            </w:pPr>
            <w:r>
              <w:rPr>
                <w:rFonts w:ascii="Arial" w:cs="Arial" w:eastAsia="Arial" w:hAnsi="Arial"/>
                <w:sz w:val="18"/>
                <w:szCs w:val="18"/>
                <w:color w:val="auto"/>
                <w:w w:val="89"/>
              </w:rPr>
              <w:t>Adjustments reclassified from accumulated balances of other comprehensive income to earnings are as follows: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9"/>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89"/>
              </w:rPr>
              <w:t>Statement of Operations Location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9"/>
              </w:rPr>
              <w:t>June 30,</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76"/>
              </w:rPr>
              <w:t>2013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4"/>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w w:val="7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Derivatives:</w:t>
            </w:r>
          </w:p>
        </w:tc>
        <w:tc>
          <w:tcPr>
            <w:tcW w:w="2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3"/>
          </w:tcPr>
          <w:p>
            <w:pPr>
              <w:ind w:left="440"/>
              <w:spacing w:after="0"/>
              <w:rPr>
                <w:sz w:val="20"/>
                <w:szCs w:val="20"/>
                <w:color w:val="auto"/>
              </w:rPr>
            </w:pPr>
            <w:r>
              <w:rPr>
                <w:rFonts w:ascii="Arial" w:cs="Arial" w:eastAsia="Arial" w:hAnsi="Arial"/>
                <w:sz w:val="18"/>
                <w:szCs w:val="18"/>
                <w:color w:val="auto"/>
              </w:rPr>
              <w:t>Fuel hedge contracts</w:t>
            </w:r>
          </w:p>
        </w:tc>
        <w:tc>
          <w:tcPr>
            <w:tcW w:w="2140" w:type="dxa"/>
            <w:vAlign w:val="bottom"/>
          </w:tcPr>
          <w:p>
            <w:pPr>
              <w:spacing w:after="0"/>
              <w:rPr>
                <w:sz w:val="20"/>
                <w:szCs w:val="20"/>
                <w:color w:val="auto"/>
              </w:rPr>
            </w:pPr>
            <w:r>
              <w:rPr>
                <w:rFonts w:ascii="Arial" w:cs="Arial" w:eastAsia="Arial" w:hAnsi="Arial"/>
                <w:sz w:val="18"/>
                <w:szCs w:val="18"/>
                <w:color w:val="auto"/>
                <w:w w:val="98"/>
              </w:rPr>
              <w:t>Costs of contract revenues</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9"/>
              </w:rPr>
              <w:t>256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237</w:t>
            </w:r>
          </w:p>
        </w:tc>
        <w:tc>
          <w:tcPr>
            <w:tcW w:w="40" w:type="dxa"/>
            <w:vAlign w:val="bottom"/>
          </w:tcPr>
          <w:p>
            <w:pPr>
              <w:spacing w:after="0"/>
              <w:rPr>
                <w:sz w:val="18"/>
                <w:szCs w:val="18"/>
                <w:color w:val="auto"/>
              </w:rPr>
            </w:pPr>
          </w:p>
        </w:tc>
        <w:tc>
          <w:tcPr>
            <w:tcW w:w="560" w:type="dxa"/>
            <w:vAlign w:val="bottom"/>
            <w:gridSpan w:val="5"/>
          </w:tcPr>
          <w:p>
            <w:pPr>
              <w:ind w:left="46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9"/>
              </w:rPr>
              <w:t>484</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 (438)</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89"/>
              </w:rPr>
              <w:t>Income tax (provision) benefit</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0"/>
              </w:rPr>
              <w:t>(102)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w w:val="99"/>
              </w:rPr>
              <w:t>(94)</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55"/>
              <w:spacing w:after="0"/>
              <w:rPr>
                <w:sz w:val="20"/>
                <w:szCs w:val="20"/>
                <w:color w:val="auto"/>
              </w:rPr>
            </w:pPr>
            <w:r>
              <w:rPr>
                <w:rFonts w:ascii="Arial" w:cs="Arial" w:eastAsia="Arial" w:hAnsi="Arial"/>
                <w:sz w:val="18"/>
                <w:szCs w:val="18"/>
                <w:color w:val="auto"/>
                <w:w w:val="85"/>
              </w:rPr>
              <w:t>(193)</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79"/>
              </w:rPr>
              <w:t>154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143</w:t>
            </w:r>
          </w:p>
        </w:tc>
        <w:tc>
          <w:tcPr>
            <w:tcW w:w="40" w:type="dxa"/>
            <w:vAlign w:val="bottom"/>
          </w:tcPr>
          <w:p>
            <w:pPr>
              <w:spacing w:after="0"/>
              <w:rPr>
                <w:sz w:val="19"/>
                <w:szCs w:val="19"/>
                <w:color w:val="auto"/>
              </w:rPr>
            </w:pPr>
          </w:p>
        </w:tc>
        <w:tc>
          <w:tcPr>
            <w:tcW w:w="560" w:type="dxa"/>
            <w:vAlign w:val="bottom"/>
            <w:gridSpan w:val="5"/>
          </w:tcPr>
          <w:p>
            <w:pPr>
              <w:ind w:left="46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9"/>
              </w:rPr>
              <w:t>291</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 (263)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In January 2011, the Company issued $250,000 of 7.375% senior notes due February 1, 2019, which were outstanding at June 30, 2013. The senior notes are senior unsecured obligations of the Company and its subsidiaries that guarantee the senior notes. The fair value of the senior notes was $259,063 at June 30, 2013, which is a Level 1 fair value measurement as the senior notes value was obtained using quoted prices in active markets.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June 30, 2013 and December 31, 2012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440" w:type="dxa"/>
            <w:vAlign w:val="bottom"/>
            <w:gridSpan w:val="4"/>
          </w:tcPr>
          <w:p>
            <w:pPr>
              <w:ind w:left="58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666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210"/>
        </w:trPr>
        <w:tc>
          <w:tcPr>
            <w:tcW w:w="6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Construction liabilities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$13,218</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Insurance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8,482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9,070</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7,405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9,906</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Income and other taxes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1,911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1,699</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r>
      <w:tr>
        <w:trPr>
          <w:trHeight w:val="222"/>
        </w:trPr>
        <w:tc>
          <w:tcPr>
            <w:tcW w:w="6660" w:type="dxa"/>
            <w:vAlign w:val="bottom"/>
          </w:tcPr>
          <w:p>
            <w:pPr>
              <w:spacing w:after="0"/>
              <w:rPr>
                <w:sz w:val="20"/>
                <w:szCs w:val="20"/>
                <w:color w:val="auto"/>
              </w:rPr>
            </w:pPr>
            <w:r>
              <w:rPr>
                <w:rFonts w:ascii="Arial" w:cs="Arial" w:eastAsia="Arial" w:hAnsi="Arial"/>
                <w:sz w:val="18"/>
                <w:szCs w:val="18"/>
                <w:color w:val="auto"/>
              </w:rPr>
              <w:t>Total accrued expenses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44,973</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38,490</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party thereto as lenders, Wells Fargo Bank, National Association, as Administrative Agent, Swingline Lender and an Issuing Lender, Bank of America, N.A.,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Syndication Agent and PNC Bank, National Association, BMO Harris Bank N.A. and Fifth Third Bank, as Co-Documentation Agents. The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replaced the Company’s former revolving credit agreement, provides for a senior revolving credit facility in an aggregate principal amount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$175,000, subfacilities for the issuance of standby letters of credit up to a $125,000 sublimit, multicurrency borrowings up to a $50,000 sublimit and swingline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up to a $10,000 sublimit. The Credit Agreement also includes an incremental loans feature that will allow the Company to increase the senior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by an aggregate principal amount of up to $50,000. This is subject to lenders providing incremental commitments for such increase, provided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default or event of default exists, and the Company will be in pro forma compliance with the existing financial covenants both before and after giving effect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and subject to other standard conditions. The prior credit agreement with Bank of America N.A. was terminated.</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 At December 31, 2012, the Company’s fixed charge coverage ratio was 1.12x, resulting in an event of default under the Credit Agreement.</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15, 2013, the Company executed a Waiver and Amendment No. 2 to the Credit Agreement (the “Credit Agreement Waiver and Amendment”) pursuant to which the counterparties thereto agreed, among other things, to waive any default, event of default, or possible event of default, as applicable, related to the Company’s failure to meet the above-described financial covenant in the Credit Agreement.</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Separately, the Company determined that a perfection trigger event had occurred under the Credit Agreement as of December 31, 2012. As a result, the outstanding obligations under the Credit Agreement, which were previously unsecured, are now secured by liens on certain of the Company’s vessels and all of its domestic accounts receivable, subject to the liens and interests of certain other parties holding first priority perfected liens. Under the original terms of the Credit Agreement, the obligations thereunder that became secured under these circumstances could again become unsecured provided that (i) no event of default has occurred and is continuing and (ii) the Company has maintained for two consecutive quarters, and is projected to maintain for the next two consecutive quarters, a total leverage ratio less than or equal to 3.75 to 1.0. Pursuant to the Credit Agreement Waiver and Amendment, this provision has been amended to add the additional condition that no release of the liens securing the obligations under the Credit Agreement can occur until the Company has delivered to the lenders its audited financial statements with respect to its fiscal year ending December 31,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June 30, 2013, the Company had $41,000 of borrowings on the revolver and $74,228 of letters of credit outstanding, resulting in $59,772 of availability under the Credit Agreement. At June 30, 2013, the Company was in compliance with its various covenants under its Credit Agreement.</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June 30, 2013, Great Lakes had no letters of credit outstanding under this facility. At June 30, 2013, the Company also had $250,000 of 7.375% senior notes outstanding, which mature in February 2019.</w:t>
      </w:r>
    </w:p>
    <w:p>
      <w:pPr>
        <w:spacing w:after="0" w:line="25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May 2013, the Company granted 369 thousand options to purchase shares of common stock and 217 thousand restricted stock units to certain employees pursuant to the plan. In addition, all non-employee directors on the Company’s board of directors are paid a portion of their board-related compensation in stock grants. Compensation cost charged to expense related to share-based compensation arrangements was $730 and $1,452, respectively, for the three and six months ended June 30, 2013 and $699 and $1,714, respectively, for the three and six months ended June 30, 2012.</w:t>
      </w:r>
    </w:p>
    <w:p>
      <w:pPr>
        <w:spacing w:after="0" w:line="22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Contract revenues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136,487</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135,315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310,446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258,988</w:t>
            </w: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16,596</w:t>
            </w: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Demolition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revenues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27,929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31,533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60,475</w:t>
            </w: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Operating loss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(35,959)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(4,354)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(48,365)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(2,467)</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w:t>
            </w: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revenues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152,863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163,107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341,710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318,014</w:t>
            </w:r>
          </w:p>
        </w:tc>
      </w:tr>
      <w:tr>
        <w:trPr>
          <w:trHeight w:val="222"/>
        </w:trPr>
        <w:tc>
          <w:tcPr>
            <w:tcW w:w="4300" w:type="dxa"/>
            <w:vAlign w:val="bottom"/>
          </w:tcPr>
          <w:p>
            <w:pPr>
              <w:ind w:left="440"/>
              <w:spacing w:after="0"/>
              <w:rPr>
                <w:sz w:val="20"/>
                <w:szCs w:val="20"/>
                <w:color w:val="auto"/>
              </w:rPr>
            </w:pPr>
            <w:r>
              <w:rPr>
                <w:rFonts w:ascii="Arial" w:cs="Arial" w:eastAsia="Arial" w:hAnsi="Arial"/>
                <w:sz w:val="18"/>
                <w:szCs w:val="18"/>
                <w:color w:val="auto"/>
              </w:rPr>
              <w:t>Operating income (loss)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(21,390)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7,343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(14,796)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14,129</w:t>
            </w:r>
          </w:p>
        </w:tc>
      </w:tr>
    </w:tbl>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Foreign dredging revenue of $33,348 and $71,733 for the three and six months ended June 30, 2013 and $20,848 and $38,873 for the three and six months ended June 30, 2012, respectively, was primarily attributable to work done in the Middle East and Brazil as well as for the Wheatstone LNG project in Western Australia.</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132"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Additionally, the Company has identified certain pending change orders for one demolition project for which previously recognized revenue no longer meets the Company’s policy for revenue recognition. The Company has reversed the recognition of revenue for these pending change orders because of new developments in the second quarter. These developments include the Company filing a lawsuit and lien against the general contractor and recent communications with the general contractor and the site owner. As a result of these reversals, contract revenues were reduced by $5,568 for the three and six months ended June 30, 2013.</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8080" w:firstLine="214"/>
        <w:spacing w:after="0" w:line="417" w:lineRule="auto"/>
        <w:tabs>
          <w:tab w:leader="none" w:pos="903"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Commercial commitments</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Performance and bid bonds are customarily required for dredging and marine construction projects, as well as some demolition projects. In September 2011, the Company entered into a bonding agreement with Zurich American Insurance Company (“Zurich”) under which the Company can obtain performance, bid and payment bonds. Bid bonds are generally obtained for a percentage of bid value and amounts outstanding typically range from $1,000 to $10,000. At June 30, 2013, the Company had outstanding performance bonds valued at approximately $647,263; however, the revenue value remaining in backlog related to these projects totaled approximately $289,761.</w:t>
      </w:r>
    </w:p>
    <w:p>
      <w:pPr>
        <w:spacing w:after="0" w:line="14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4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the Company’s results of operations, cash flows or financial condition.</w:t>
      </w:r>
    </w:p>
    <w:p>
      <w:pPr>
        <w:spacing w:after="0" w:line="120"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27, 2011, NASDI received a subpoena from a federal grand jury in the District of Massachusetts directing NASDI to furnish certain documents relating to certain projects performed by NASDI since January 2005. The Company conducted an internal investigation into this matter and continues to fully cooperate with the federal grand jury subpoena. Based on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March 19, 2013, the Company and three of its current and former executives were sued in a securities class action in the Northern District of Illinois captioned United Union of Roofers, Waterproofers &amp; Allied Workers Local Union No. 8 v. Great Lakes Dredge &amp; Dock Corporation et al.,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Two additional, similar lawsuits captioned Boozer v. Great Lakes Dredge &amp; Dock Corporation et al., Case No. 1:13-cv-02339, and Connors v. Great Lakes Dredge &amp; Dock Corporation et al., Case No. 1:13-cv-02450, were filed in the Northern District of Illinois on March 28, 2013, and April 2, 2013, respectively. These three actions were consolidated and recaptioned In re Great Lakes Dredge &amp; Dock Corporation, Case No. 1:13-cv-02115, on June 10, 2013. The Company denies liability and intends to vigorously defend this action.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March 28, 2013, the Company was named as a nominal defendant, and its directors were named as defendants, in a shareholder derivative action in DuPage County Circuit Court in Illinois captioned Hammoud v. Berger et al.,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The City of Haverhill Retirement System v. Leight et al., Case No. 1:13-cv-02470, was filed in the Northern District of Illinois on April 2, 2013 and was voluntarily dismissed on June 10, 2013. A third, similar lawsuit captioned St. Lucie County Fire District Firefighters Pension Trust Fund v. Leight et al., Case No. 13 CH 15483, was filed in Cook County Circuit Court in Illinois on July 8, 2013, and a fourth, similar lawsuit (that additionally named one current and one former executive as defendants) captioned Griffin v. Berger et al., Case No. 1:13-cv-04907, was filed in the Northern District of Illinois on July 9, 2013.</w:t>
      </w:r>
    </w:p>
    <w:p>
      <w:pPr>
        <w:spacing w:after="0" w:line="11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2012, the Company contracted with a shipyard to perform the functional design drawings, detailed design drawings and follow on construction of a new Articulated Tug &amp; Barge (“ATB”) Trailing Suction Hopper Dredge. In April 2013, the Company terminated the contract with the shipyard for default and the counterparty sent the Company a notice requesting arbitration under the contract on the Company’s termination for default, including but not limited to the Company’s right to draw on letters of credit that had been issued by the shipyard as financial security required in the contract. In May 2013, the Company drew upon the shipyard’s letters of credit related to the contract and received $13,600. As the matter is currently in arbitration, the Company has recorded the receipts from the letters of credit as a long-term liability and intends to use the proceeds to offset current and future costs of the ATB that are a result of the contract default, among other things. The Company cannot be assured of the outcome of the arbitration. The Company intends to pursue its claim for damages resulting from the termination in arbitration.</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In May 2013, the Company concluded its litigation regarding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loss of use claim. In January 2008, the Company filed suit against the M/V </w:t>
      </w:r>
      <w:r>
        <w:rPr>
          <w:rFonts w:ascii="Arial" w:cs="Arial" w:eastAsia="Arial" w:hAnsi="Arial"/>
          <w:sz w:val="18"/>
          <w:szCs w:val="18"/>
          <w:i w:val="1"/>
          <w:iCs w:val="1"/>
          <w:color w:val="auto"/>
        </w:rPr>
        <w:t xml:space="preserve">Orange Sun </w:t>
      </w:r>
      <w:r>
        <w:rPr>
          <w:rFonts w:ascii="Arial" w:cs="Arial" w:eastAsia="Arial" w:hAnsi="Arial"/>
          <w:sz w:val="18"/>
          <w:szCs w:val="18"/>
          <w:color w:val="auto"/>
        </w:rPr>
        <w:t>and her owners for damages incurred by the Company in connection with the allision in the approach channel to Port Newark, New Jersey.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received $13,272 which is included in proceeds from loss of use claim.</w:t>
      </w:r>
    </w:p>
    <w:p>
      <w:pPr>
        <w:spacing w:after="0" w:line="25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Company’s long-term debt at June 30, 2013 includes $250,000 of 7.375% senior notes due February 1, 2019. The Company’s obligations under these senior unsecured notes are guaranteed by the Company’s 100% owned domestic subsidiaries. Such guarantees are full, unconditional and joint and several.</w:t>
      </w:r>
    </w:p>
    <w:p>
      <w:pPr>
        <w:spacing w:after="0" w:line="85"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 sheets as of June 30, 2013 and December 31, 2012;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(loss) for the three and six months ended June 30, 2013 and 2012;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statements of cash flows for the six months ended June 30, 2013 and 2012.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JUNE 30, 2013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GLDD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19,325</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144,876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6,339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(116,182)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(570)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395,375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16,416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(116,752)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355,826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634,141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(636,794)</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ind w:left="114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885,318</w:t>
            </w:r>
          </w:p>
        </w:tc>
        <w:tc>
          <w:tcPr>
            <w:tcW w:w="22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16,520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669,062</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(753,546)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817,354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89,762</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92,263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11,148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13,328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(116,739)</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227,970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13,611</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22,642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(116,752)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147,471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105,073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105,057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251,433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13,611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419,262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(116,752)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567,554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633,885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2,909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249,982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(636,794)</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633,885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249,800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(636,794)</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249,800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ind w:left="114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885,318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16,520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669,062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(753,546)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817,354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Non-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Subsidiary</w:t>
            </w:r>
          </w:p>
        </w:tc>
        <w:tc>
          <w:tcPr>
            <w:tcW w:w="4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GLDD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7"/>
              </w:rPr>
              <w:t>Guarantors</w:t>
            </w:r>
          </w:p>
        </w:tc>
        <w:tc>
          <w:tcPr>
            <w:tcW w:w="4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1"/>
              </w:rPr>
              <w:t>Subsidiaries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147,610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102,968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(148,763)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69,649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27,147</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400,372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(148,843)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346,503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103,687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37,392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618,070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(620,197)</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ind w:left="11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908,478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9,796</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677,161</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(769,040)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826,395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122,191</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105,303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4,843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(148,793)</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281,216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6,534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47,043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(148,843)</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185,950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106,144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291,543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6,534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403,736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(148,843)</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552,970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616,935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273,635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(620,197)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616,935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273,425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(620,197)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273,425</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908,478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9,796</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677,161</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(769,040)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826,395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vMerge w:val="restart"/>
          </w:tcPr>
          <w:p>
            <w:pPr>
              <w:jc w:val="right"/>
              <w:ind w:right="19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ind w:right="3340"/>
        <w:spacing w:after="0" w:line="261"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JUNE 30, 2013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2"/>
              </w:rPr>
              <w:t>Subsidiary</w:t>
            </w: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Guarantor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GLDD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Guarantors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147,148</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(4,452)</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(141,559)</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(10,575)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4,452</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(147,682)</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5,589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18,124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18,311</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Proceeds from loss of use claim</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(13,272)</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(13,272)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of goodwill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21,224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21,474</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Loss on sale of assets—net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(20,545)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Interest expense—net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(5,219)</w:t>
            </w: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subsidiaries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(15,798)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15,816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transactions,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(20,982)</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(21,017)</w:t>
            </w:r>
          </w:p>
        </w:tc>
        <w:tc>
          <w:tcPr>
            <w:tcW w:w="16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15,816</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(27,432)</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6,413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(14,569)</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(25,188)</w:t>
            </w:r>
          </w:p>
        </w:tc>
        <w:tc>
          <w:tcPr>
            <w:tcW w:w="16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15,816</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(25,188)</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5"/>
        </w:trPr>
        <w:tc>
          <w:tcPr>
            <w:tcW w:w="5420" w:type="dxa"/>
            <w:vAlign w:val="bottom"/>
          </w:tcPr>
          <w:p>
            <w:pPr>
              <w:ind w:left="880"/>
              <w:spacing w:after="0"/>
              <w:rPr>
                <w:sz w:val="20"/>
                <w:szCs w:val="20"/>
                <w:color w:val="auto"/>
              </w:rPr>
            </w:pPr>
            <w:r>
              <w:rPr>
                <w:rFonts w:ascii="Arial" w:cs="Arial" w:eastAsia="Arial" w:hAnsi="Arial"/>
                <w:sz w:val="18"/>
                <w:szCs w:val="18"/>
                <w:color w:val="auto"/>
                <w:w w:val="93"/>
              </w:rPr>
              <w:t>Net income (loss) attributable to Great Lakes Dredge &amp; Dock</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360" w:type="dxa"/>
            <w:vAlign w:val="bottom"/>
            <w:gridSpan w:val="2"/>
          </w:tcPr>
          <w:p>
            <w:pPr>
              <w:jc w:val="center"/>
              <w:ind w:left="15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(14,569)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(1,247)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(25,241)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15,816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(25,241)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(14,620)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(25,367)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(25,367)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20" w:type="dxa"/>
            <w:vAlign w:val="bottom"/>
          </w:tcPr>
          <w:p>
            <w:pPr>
              <w:spacing w:after="0"/>
              <w:rPr>
                <w:sz w:val="24"/>
                <w:szCs w:val="24"/>
                <w:color w:val="auto"/>
              </w:rPr>
            </w:pPr>
          </w:p>
        </w:tc>
        <w:tc>
          <w:tcPr>
            <w:tcW w:w="980" w:type="dxa"/>
            <w:vAlign w:val="bottom"/>
            <w:gridSpan w:val="3"/>
          </w:tcPr>
          <w:p>
            <w:pPr>
              <w:jc w:val="center"/>
              <w:ind w:right="312"/>
              <w:spacing w:after="0"/>
              <w:rPr>
                <w:sz w:val="20"/>
                <w:szCs w:val="20"/>
                <w:color w:val="auto"/>
              </w:rPr>
            </w:pPr>
            <w:r>
              <w:rPr>
                <w:rFonts w:ascii="Arial" w:cs="Arial" w:eastAsia="Arial" w:hAnsi="Arial"/>
                <w:sz w:val="18"/>
                <w:szCs w:val="18"/>
                <w:color w:val="auto"/>
                <w:w w:val="89"/>
              </w:rPr>
              <w:t>20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ind w:right="3340"/>
        <w:spacing w:after="0" w:line="261"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JUNE 30, 2012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Subsidiary</w:t>
            </w:r>
          </w:p>
        </w:tc>
        <w:tc>
          <w:tcPr>
            <w:tcW w:w="20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Guarantors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163,042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(2,186)</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(144,073)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2,186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(144,401)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Gain on sale of assets—net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Interest expense—net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(5,103)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(8,464)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2,969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5"/>
        </w:trPr>
        <w:tc>
          <w:tcPr>
            <w:tcW w:w="5420" w:type="dxa"/>
            <w:vAlign w:val="bottom"/>
          </w:tcPr>
          <w:p>
            <w:pPr>
              <w:ind w:left="880"/>
              <w:spacing w:after="0"/>
              <w:rPr>
                <w:sz w:val="20"/>
                <w:szCs w:val="20"/>
                <w:color w:val="auto"/>
              </w:rPr>
            </w:pPr>
            <w:r>
              <w:rPr>
                <w:rFonts w:ascii="Arial" w:cs="Arial" w:eastAsia="Arial" w:hAnsi="Arial"/>
                <w:sz w:val="18"/>
                <w:szCs w:val="18"/>
                <w:color w:val="auto"/>
                <w:w w:val="93"/>
              </w:rPr>
              <w:t>Net income (loss) attributable to Great Lakes Dredge &amp; Dock</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8,912</w:t>
            </w:r>
          </w:p>
        </w:tc>
        <w:tc>
          <w:tcPr>
            <w:tcW w:w="26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(448)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1,271</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2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20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GLDD</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332,567</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(4,783)</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341,710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(301,491)</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(14,038)</w:t>
            </w:r>
          </w:p>
        </w:tc>
        <w:tc>
          <w:tcPr>
            <w:tcW w:w="12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(310,746)</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37,498</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Proceeds from loss of use claim</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(13,272)</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(13,272)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of goodwill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21,474</w:t>
            </w:r>
          </w:p>
        </w:tc>
        <w:tc>
          <w:tcPr>
            <w:tcW w:w="0" w:type="dxa"/>
            <w:vAlign w:val="bottom"/>
          </w:tcPr>
          <w:p>
            <w:pPr>
              <w:spacing w:after="0"/>
              <w:rPr>
                <w:sz w:val="1"/>
                <w:szCs w:val="1"/>
                <w:color w:val="auto"/>
              </w:rPr>
            </w:pPr>
          </w:p>
        </w:tc>
      </w:tr>
      <w:tr>
        <w:trPr>
          <w:trHeight w:val="223"/>
        </w:trPr>
        <w:tc>
          <w:tcPr>
            <w:tcW w:w="5420" w:type="dxa"/>
            <w:vAlign w:val="bottom"/>
          </w:tcPr>
          <w:p>
            <w:pPr>
              <w:ind w:left="440"/>
              <w:spacing w:after="0"/>
              <w:rPr>
                <w:sz w:val="20"/>
                <w:szCs w:val="20"/>
                <w:color w:val="auto"/>
              </w:rPr>
            </w:pPr>
            <w:r>
              <w:rPr>
                <w:rFonts w:ascii="Arial" w:cs="Arial" w:eastAsia="Arial" w:hAnsi="Arial"/>
                <w:sz w:val="18"/>
                <w:szCs w:val="18"/>
                <w:color w:val="auto"/>
              </w:rPr>
              <w:t>Loss on sale of assets—net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(14,056)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(14,796)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Interest expense—net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(10,891)</w:t>
            </w:r>
          </w:p>
        </w:tc>
        <w:tc>
          <w:tcPr>
            <w:tcW w:w="18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(11,129)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subsidiaries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6,307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transactions—net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(15,113)</w:t>
            </w:r>
          </w:p>
        </w:tc>
        <w:tc>
          <w:tcPr>
            <w:tcW w:w="1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(17,133)</w:t>
            </w:r>
          </w:p>
        </w:tc>
        <w:tc>
          <w:tcPr>
            <w:tcW w:w="1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(27,125)</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(7,644)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(5,123)</w:t>
            </w:r>
          </w:p>
        </w:tc>
        <w:tc>
          <w:tcPr>
            <w:tcW w:w="1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(24,777)</w:t>
            </w:r>
          </w:p>
        </w:tc>
        <w:tc>
          <w:tcPr>
            <w:tcW w:w="1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(24,777)</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5"/>
        </w:trPr>
        <w:tc>
          <w:tcPr>
            <w:tcW w:w="5420" w:type="dxa"/>
            <w:vAlign w:val="bottom"/>
          </w:tcPr>
          <w:p>
            <w:pPr>
              <w:ind w:left="880"/>
              <w:spacing w:after="0"/>
              <w:rPr>
                <w:sz w:val="20"/>
                <w:szCs w:val="20"/>
                <w:color w:val="auto"/>
              </w:rPr>
            </w:pPr>
            <w:r>
              <w:rPr>
                <w:rFonts w:ascii="Arial" w:cs="Arial" w:eastAsia="Arial" w:hAnsi="Arial"/>
                <w:sz w:val="18"/>
                <w:szCs w:val="18"/>
                <w:color w:val="auto"/>
                <w:w w:val="93"/>
              </w:rPr>
              <w:t>Net income (loss) attributable to Great Lakes Dredge &amp; Dock</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(5,123)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(24,808)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(24,808)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(24,923)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(24,923)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22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Guarantors</w:t>
            </w:r>
          </w:p>
        </w:tc>
        <w:tc>
          <w:tcPr>
            <w:tcW w:w="2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318,486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(4,522)</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318,014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(279,240)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(4,568)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(279,286)</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24,723</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(Gain) loss on sale of assets—net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Interest expense—net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(10,053)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(14,432)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14,954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3,843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(14,432)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15,349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(14,432)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5"/>
        </w:trPr>
        <w:tc>
          <w:tcPr>
            <w:tcW w:w="5420" w:type="dxa"/>
            <w:vAlign w:val="bottom"/>
          </w:tcPr>
          <w:p>
            <w:pPr>
              <w:ind w:left="880"/>
              <w:spacing w:after="0"/>
              <w:rPr>
                <w:sz w:val="20"/>
                <w:szCs w:val="20"/>
                <w:color w:val="auto"/>
              </w:rPr>
            </w:pPr>
            <w:r>
              <w:rPr>
                <w:rFonts w:ascii="Arial" w:cs="Arial" w:eastAsia="Arial" w:hAnsi="Arial"/>
                <w:sz w:val="18"/>
                <w:szCs w:val="18"/>
                <w:color w:val="auto"/>
                <w:w w:val="93"/>
              </w:rPr>
              <w:t>Net income (loss) attributable to Great Lakes Dredge &amp; Dock</w:t>
            </w: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15,349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(917)</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2,339</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(14,432)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14,061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(13,140)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SIX MONTHS ENDED JUNE 30, 2013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Subsidiary</w:t>
            </w:r>
          </w:p>
        </w:tc>
        <w:tc>
          <w:tcPr>
            <w:tcW w:w="240" w:type="dxa"/>
            <w:vAlign w:val="bottom"/>
          </w:tcPr>
          <w:p>
            <w:pPr>
              <w:spacing w:after="0"/>
              <w:rPr>
                <w:sz w:val="12"/>
                <w:szCs w:val="12"/>
                <w:color w:val="auto"/>
              </w:rPr>
            </w:pPr>
          </w:p>
        </w:tc>
        <w:tc>
          <w:tcPr>
            <w:tcW w:w="12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11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2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7"/>
              </w:rPr>
              <w:t>Net cash flows provided by (used in) operating activities</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5,349</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(6,349)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(17,888)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(27,954)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Proceeds from vendor performance obligations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(14,131)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long term note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(10,547)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Distributions paid to minority interests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paid on settlement of vested share awards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3,871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8,509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(12,380)</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equipment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Borrowings under revolving loans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144,000</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revolving loans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(103,000)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8"/>
              </w:rPr>
              <w:t>Net cash flows provided by (used in) financing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8,509</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17,888</w:t>
            </w:r>
          </w:p>
        </w:tc>
        <w:tc>
          <w:tcPr>
            <w:tcW w:w="5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foreign currency exchange rates on 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(4,947)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168</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19,325</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2,298</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72"/>
              <w:spacing w:after="0"/>
              <w:rPr>
                <w:sz w:val="20"/>
                <w:szCs w:val="20"/>
                <w:color w:val="auto"/>
              </w:rPr>
            </w:pPr>
            <w:r>
              <w:rPr>
                <w:rFonts w:ascii="Arial" w:cs="Arial" w:eastAsia="Arial" w:hAnsi="Arial"/>
                <w:sz w:val="18"/>
                <w:szCs w:val="18"/>
                <w:color w:val="auto"/>
                <w:w w:val="99"/>
              </w:rPr>
              <w:t>24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25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SIX MONTHS ENDED JUNE 30,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Subsidiary</w:t>
            </w:r>
          </w:p>
        </w:tc>
        <w:tc>
          <w:tcPr>
            <w:tcW w:w="12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80" w:type="dxa"/>
            <w:vAlign w:val="bottom"/>
            <w:gridSpan w:val="4"/>
          </w:tcPr>
          <w:p>
            <w:pPr>
              <w:ind w:left="28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w w:val="98"/>
              </w:rPr>
              <w:t>Net cash flows provided by (used in) operating activities</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9,867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(25,028)</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(22,783)</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(22,557)</w:t>
            </w:r>
          </w:p>
        </w:tc>
        <w:tc>
          <w:tcPr>
            <w:tcW w:w="16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(22,557)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Deferred financing fees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(2,039)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paid to minority interests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(2,482)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Taxes paid on settlement of vested share awards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(25,246)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Repayments of equipment debt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Net cash flows provided by (used in) financing activities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(25,672)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w w:val="91"/>
              </w:rPr>
              <w:t>Effect of foreign currency exchange rates on cash and cash equivalents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(38,362)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(4,135)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(42,497)</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108,985</w:t>
            </w:r>
          </w:p>
        </w:tc>
        <w:tc>
          <w:tcPr>
            <w:tcW w:w="16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4,303</w:t>
            </w:r>
          </w:p>
        </w:tc>
        <w:tc>
          <w:tcPr>
            <w:tcW w:w="1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113,288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70,623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312"/>
              <w:spacing w:after="0"/>
              <w:rPr>
                <w:sz w:val="20"/>
                <w:szCs w:val="20"/>
                <w:color w:val="auto"/>
              </w:rPr>
            </w:pPr>
            <w:r>
              <w:rPr>
                <w:rFonts w:ascii="Arial" w:cs="Arial" w:eastAsia="Arial" w:hAnsi="Arial"/>
                <w:sz w:val="18"/>
                <w:szCs w:val="18"/>
                <w:color w:val="auto"/>
                <w:w w:val="79"/>
              </w:rPr>
              <w:t>25</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9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2012, and in other securities filings by Great Lakes with the SEC.</w:t>
      </w:r>
    </w:p>
    <w:p>
      <w:pPr>
        <w:spacing w:after="0" w:line="128"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23% of its dredging revenues for the first six months of 2013, above the Company’s prior three year average of 16%. The mobility of the Company’s fleet enables the Company to move equipment in response to changes in demand for dredging services.</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Dredging generally involves the enhancement or preservation of navigability of waterways or the protection of shorelines through the removal or replenishment of soil, sand or rock. The U.S. dredging market consists of three primary types of work: capital, coastal protection and maintenance. The Company’s “bid market” is defined as the aggregate dollar value of domestic projects on which the Company bid or could have bid if not for capacity constraints. The Company experienced an average combined bid market share in the U.S. of 37% over the prior three years, including 29%, 60% and 31% of the domestic capital, coastal protection and maintenance sectors, respectively. The Company’s average bid market share of rivers &amp; lakes in the two years of activity since the Matteson acquisition is 43%.</w:t>
      </w:r>
    </w:p>
    <w:p>
      <w:pPr>
        <w:spacing w:after="0" w:line="14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largest domestic dredging customer is the U.S. Army Corps of Engineers (the “Corps”), which is responsible for federally funded projects related to navigation and flood control of U.S. waterways. In the first six months of 2013, the Company’s dredging revenues earned from contracts with federal government agencies, including the Corps as well as other federal entities such as the U.S. Coast Guard and the U.S. Navy, and third parties operating under contracts with federal agencies, were approximately 45% of dredging revenues, compared to the Company’s prior three year average of 62%.</w:t>
      </w:r>
    </w:p>
    <w:p>
      <w:pPr>
        <w:spacing w:after="0" w:line="11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Company’s demolition subsidiaries, collectively, are a U.S. provider of commercial and industrial demolition and remediation services such as exterior and interior demolition for site preparation as well as environmental remediation. Historically, the majority of the work was performed in the New England area. Through increased collaboration with Great Lakes’ other lines of business, the demolition operations are pursuing opportunities outside of the New England area and into the marine demolition markets, specifically bridge demolition across the eastern part of the U.S. Through an acquisition in 2012, the segment’s scope of work has expanded into the Midwest U.S. market. In the first six months of 2013, demolition revenues accounted for 9% of total revenues, compared to the prior three year average of 14%.</w:t>
      </w:r>
    </w:p>
    <w:p>
      <w:pPr>
        <w:spacing w:after="0" w:line="144"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The Company also owns 50% of Amboy Aggregates (“Amboy”) and 50% of TerraSea Environmental Solutions (“TerraSea”) as joint ventures. Amboy’s primary business is dredging sand from the entrance channel to the New York harbor in order to provide sand and aggregate for use in road and building construction and for clean land fill. Amboy also imports stone from upstate New York and Nova Scotia and distributes it throughout the New York area. TerraSea is engaged in the environmental services business through its ability to remediate contaminated soil and dredged sediment treatment.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Company operates in four operating segments that, through aggregation, comprise two reportable segments: dredging and demolition.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tables set forth the components of net income attributable to Great Lakes Dredge &amp; Dock Corporation and Adjusted EBITDA, as defined below, as a percentage of contract revenues for the three and six months ended June 30, 2013 and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8"/>
              </w:rPr>
              <w:t>Three Months Ended</w:t>
            </w:r>
          </w:p>
        </w:tc>
        <w:tc>
          <w:tcPr>
            <w:tcW w:w="17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7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4"/>
              </w:rPr>
              <w:t>100.0%</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100.0%</w:t>
            </w:r>
          </w:p>
        </w:tc>
        <w:tc>
          <w:tcPr>
            <w:tcW w:w="10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rPr>
              <w:t>(96.6)</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(88.5)</w:t>
            </w: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rPr>
              <w:t>(90.9)</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9.1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tcPr>
          <w:p>
            <w:pPr>
              <w:jc w:val="right"/>
              <w:spacing w:after="0"/>
              <w:rPr>
                <w:sz w:val="20"/>
                <w:szCs w:val="20"/>
                <w:color w:val="auto"/>
              </w:rPr>
            </w:pPr>
            <w:r>
              <w:rPr>
                <w:rFonts w:ascii="Arial" w:cs="Arial" w:eastAsia="Arial" w:hAnsi="Arial"/>
                <w:sz w:val="18"/>
                <w:szCs w:val="18"/>
                <w:color w:val="auto"/>
              </w:rPr>
              <w:t>12.0</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18"/>
                <w:szCs w:val="18"/>
                <w:color w:val="auto"/>
              </w:rPr>
            </w:pPr>
          </w:p>
        </w:tc>
        <w:tc>
          <w:tcPr>
            <w:tcW w:w="1060" w:type="dxa"/>
            <w:vAlign w:val="bottom"/>
            <w:gridSpan w:val="2"/>
          </w:tcPr>
          <w:p>
            <w:pPr>
              <w:jc w:val="right"/>
              <w:ind w:right="532"/>
              <w:spacing w:after="0"/>
              <w:rPr>
                <w:sz w:val="20"/>
                <w:szCs w:val="20"/>
                <w:color w:val="auto"/>
              </w:rPr>
            </w:pPr>
            <w:r>
              <w:rPr>
                <w:rFonts w:ascii="Arial" w:cs="Arial" w:eastAsia="Arial" w:hAnsi="Arial"/>
                <w:sz w:val="18"/>
                <w:szCs w:val="18"/>
                <w:color w:val="auto"/>
              </w:rPr>
              <w:t>11.0</w:t>
            </w: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loss of use claim</w:t>
            </w: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(8.7)</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(3.9)</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Impairment of goodwill</w:t>
            </w: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6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32"/>
              <w:spacing w:after="0"/>
              <w:rPr>
                <w:sz w:val="20"/>
                <w:szCs w:val="20"/>
                <w:color w:val="auto"/>
              </w:rPr>
            </w:pPr>
            <w:r>
              <w:rPr>
                <w:rFonts w:ascii="Arial" w:cs="Arial" w:eastAsia="Arial" w:hAnsi="Arial"/>
                <w:sz w:val="18"/>
                <w:szCs w:val="18"/>
                <w:color w:val="auto"/>
              </w:rPr>
              <w:t>6.3</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assets—net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440"/>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20" w:type="dxa"/>
            <w:vAlign w:val="bottom"/>
            <w:vMerge w:val="continue"/>
          </w:tcPr>
          <w:p>
            <w:pPr>
              <w:spacing w:after="0"/>
              <w:rPr>
                <w:sz w:val="19"/>
                <w:szCs w:val="19"/>
                <w:color w:val="auto"/>
              </w:rPr>
            </w:pP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rPr>
              <w:t>(14.0)</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9"/>
                <w:szCs w:val="19"/>
                <w:color w:val="auto"/>
              </w:rPr>
            </w:pP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rPr>
              <w:t>(4.3)</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(3.5)</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w:t>
            </w: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rPr>
              <w:t>(0.4)</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rPr>
              <w:t>(0.3)</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(0.1)</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440"/>
              <w:spacing w:after="0"/>
              <w:rPr>
                <w:sz w:val="20"/>
                <w:szCs w:val="20"/>
                <w:color w:val="auto"/>
              </w:rPr>
            </w:pPr>
            <w:r>
              <w:rPr>
                <w:rFonts w:ascii="Arial" w:cs="Arial" w:eastAsia="Arial" w:hAnsi="Arial"/>
                <w:sz w:val="18"/>
                <w:szCs w:val="18"/>
                <w:color w:val="auto"/>
              </w:rPr>
              <w:t>Income (loss) before income taxes</w:t>
            </w: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20" w:type="dxa"/>
            <w:vAlign w:val="bottom"/>
            <w:vMerge w:val="continue"/>
          </w:tcPr>
          <w:p>
            <w:pPr>
              <w:spacing w:after="0"/>
              <w:rPr>
                <w:sz w:val="19"/>
                <w:szCs w:val="19"/>
                <w:color w:val="auto"/>
              </w:rPr>
            </w:pP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rPr>
              <w:t>(17.9)</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9"/>
                <w:szCs w:val="19"/>
                <w:color w:val="auto"/>
              </w:rPr>
            </w:pP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rPr>
              <w:t>(8.0)</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10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440"/>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vMerge w:val="continue"/>
          </w:tcPr>
          <w:p>
            <w:pPr>
              <w:spacing w:after="0"/>
              <w:rPr>
                <w:sz w:val="19"/>
                <w:szCs w:val="19"/>
                <w:color w:val="auto"/>
              </w:rPr>
            </w:pP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rPr>
              <w:t>(16.5)</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19"/>
                <w:szCs w:val="19"/>
                <w:color w:val="auto"/>
              </w:rPr>
            </w:pP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rPr>
              <w:t>(7.3)</w:t>
            </w: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 attributable to noncontrolling interests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Net income (loss) attributable to Great Lakes Dredge &amp; Dock Corporation</w:t>
            </w:r>
          </w:p>
        </w:tc>
        <w:tc>
          <w:tcPr>
            <w:tcW w:w="1060" w:type="dxa"/>
            <w:vAlign w:val="bottom"/>
            <w:gridSpan w:val="2"/>
          </w:tcPr>
          <w:p>
            <w:pPr>
              <w:jc w:val="right"/>
              <w:ind w:right="332"/>
              <w:spacing w:after="0"/>
              <w:rPr>
                <w:sz w:val="20"/>
                <w:szCs w:val="20"/>
                <w:color w:val="auto"/>
              </w:rPr>
            </w:pPr>
            <w:r>
              <w:rPr>
                <w:rFonts w:ascii="Arial" w:cs="Arial" w:eastAsia="Arial" w:hAnsi="Arial"/>
                <w:sz w:val="18"/>
                <w:szCs w:val="18"/>
                <w:color w:val="auto"/>
              </w:rPr>
              <w:t>(16.5)%</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0.9%</w:t>
            </w:r>
          </w:p>
        </w:tc>
        <w:tc>
          <w:tcPr>
            <w:tcW w:w="1060" w:type="dxa"/>
            <w:vAlign w:val="bottom"/>
            <w:gridSpan w:val="2"/>
          </w:tcPr>
          <w:p>
            <w:pPr>
              <w:jc w:val="right"/>
              <w:ind w:right="332"/>
              <w:spacing w:after="0"/>
              <w:rPr>
                <w:sz w:val="20"/>
                <w:szCs w:val="20"/>
                <w:color w:val="auto"/>
              </w:rPr>
            </w:pPr>
            <w:r>
              <w:rPr>
                <w:rFonts w:ascii="Arial" w:cs="Arial" w:eastAsia="Arial" w:hAnsi="Arial"/>
                <w:sz w:val="18"/>
                <w:szCs w:val="18"/>
                <w:color w:val="auto"/>
              </w:rPr>
              <w:t>(7.3)%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7.2%</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w:t>
            </w:r>
          </w:p>
        </w:tc>
        <w:tc>
          <w:tcPr>
            <w:tcW w:w="10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8.5%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Adjusted EBITDA, as provided herein, represents net income attributable to Great Lakes Dredge &amp; Dock Corporation, adjusted for net interest expense, income taxes, depreciation and amortization expense, debt extinguishment, accelerated maintenance expense for new international deployments and goodwill impairment. In 2012, the Company modified the Adjusted EBITDA calculation for accelerated maintenance expense for new international deployments that are not directly recoverable under the related dredging contract and are therefore expensed as incurred. The Company does not frequently incur significant accelerated maintenance as a part of its international deployments. As such, the exclusion of these accelerated maintenance expenses from the calculation of Adjusted EBITDA allows users of the financial statements to more easily compare our year-to-year results.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impairment,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attributable to Great Lakes Dredge &amp; Dock Corporation: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172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Pr>
          <w:p>
            <w:pPr>
              <w:spacing w:after="0"/>
              <w:rPr>
                <w:sz w:val="12"/>
                <w:szCs w:val="12"/>
                <w:color w:val="auto"/>
              </w:rPr>
            </w:pPr>
          </w:p>
        </w:tc>
        <w:tc>
          <w:tcPr>
            <w:tcW w:w="64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Great Lakes Dredge &amp; Dock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(25,241)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(24,808)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Adjusted for: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Accelerated maintenance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21,474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21,474</w:t>
            </w: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751</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23,735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11,045</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17,040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$ 29,182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Capital—U.S.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39,474</w:t>
            </w:r>
          </w:p>
        </w:tc>
        <w:tc>
          <w:tcPr>
            <w:tcW w:w="1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45,184</w:t>
            </w:r>
          </w:p>
        </w:tc>
        <w:tc>
          <w:tcPr>
            <w:tcW w:w="3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84,982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72,091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Capital—foreign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71,733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38,873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Coastal protection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40,458</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109,148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71,641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60,613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(43.2)%</w:t>
            </w: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Rivers &amp; lakes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8,757</w:t>
            </w:r>
          </w:p>
        </w:tc>
        <w:tc>
          <w:tcPr>
            <w:tcW w:w="3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15,770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dredging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135,315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310,446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258,988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Demolition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27,929</w:t>
            </w:r>
          </w:p>
        </w:tc>
        <w:tc>
          <w:tcPr>
            <w:tcW w:w="3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31,533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60,475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(47.9)%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(81.4)%</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152,863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163,107</w:t>
            </w:r>
          </w:p>
        </w:tc>
        <w:tc>
          <w:tcPr>
            <w:tcW w:w="3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341,710</w:t>
            </w:r>
          </w:p>
        </w:tc>
        <w:tc>
          <w:tcPr>
            <w:tcW w:w="220" w:type="dxa"/>
            <w:vAlign w:val="bottom"/>
            <w:gridSpan w:val="2"/>
          </w:tcPr>
          <w:p>
            <w:pPr>
              <w:ind w:left="120"/>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318,014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Total revenue for the 2013 second quarter was $152.9 million, down $10.2 million or 6% from $163.1 million during the 2012 second quarter. For the six months ended June 30, 2013 and 2012, total revenue increased to $341.7 million from $318.0 million during such period in 2012, an increase of 7%. For the six months ended June 30, 2013, increases in domestic and foreign capital and coastal protection revenues were offset by decreases in maintenance, rivers &amp; lakes and demolition revenues.</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decreased by $5.7 million, or 13%, to $39.5 million, in the 2013 second quarter compared to the 2012 second quarter. Domestic capital dredging revenue increased $12.9 million, or 18%, in the first six months of 2013 compared to the same period in 2012. Domestic capital dredging revenues in the first half of 2013 continued to be generated by two coastal restoration projects in Louisiana as well as deepening projects in Delaware and New York. These increases were slightly offset by a project in Florida during the first half of 2012 that did not reoccur in 2013.</w:t>
      </w:r>
    </w:p>
    <w:p>
      <w:pPr>
        <w:spacing w:after="0" w:line="11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Foreign dredging revenue increased $12.5 million, or 60%, for the second quarter of 2013 to $33.3 million, and increased $32.9 million to $71.7 million for the six months ended June 30, 2013. Revenue in the first half of 2013 was driven by a significant project in Qatar as well as the mobilization and commencement of dredging activities for the Wheatstone LNG Project in Western Australia and a project in Brazil.</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Coastal protection projects involve moving sand from the ocean floor to shoreline locations where erosion threatens shoreline assets. Coastal protection revenue in the 2013 second quarter increased $11.8 million, or 29%, from the 2012 second quarter. Year-to-date 2013 coastal protection revenue increased $37.5 million, or 52%, compared to the first two quarters of 2012. The increase in revenue during the first half of 2013 is primarily the result of projects in New York and New Jersey, which included some emergency work as well as supplemental work as a result of Superstorm Sandy. Additionally, the Company worked on projects in North Carolina and Florida.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in the 2013 second quarter decreased by $13.4 million, or 67%, compared to the 2012 second quarter. Maintenance revenue in the first six months of 2013 decreased by $26.2 million, or 43%, compared to the first six months of 2012. The Company performed a greater amount of harbor work in the first two quarters of 2012 that was not repeated in the first two quarters of 2013. In addition, the Company worked on a large maintenance project in Louisiana in the first half of 2012 that did not reoccur in the first half of 2013. The Company worked on projects in Florida, Maryland and Georgia during the first six months of 2013.</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second quarter of 2013 was $4.8 million, a decrease of $4.0 million or 45% compared to the second quarter of 2012. Year-to-date 2013 revenue was $10.2 million compared to $15.8 million, a decrease of 35%, compared to the first six months of 2012. This decrease was attributable to projects in Mississippi and along the Mississippi River that did not reoccur during the 2013 first half. Rivers &amp; lakes continued work on its large municipal lake project in Texas during the first six months of 2013.</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Demolition segment which consists of demolition and remediation services recorded revenues of $16.6 million and $31.5 million for the three and six months ended June 30, 2013, respectively, compared to $27.9 million and $60.5 million for the same period in 2012. The decrease is partially attributable to a higher backlog at year end 2011, compared to 2012, excluding the backlog acquired by the Company on December 31, 2012 in conjunction with the Terra acquisition, which resulted in a greater number of projects for the demolition segment in the 2012 first half. Additionally, the Company has identified certain pending change orders for one demolition project for which previously recognized revenue no longer meets the Company’s policy for revenue recognition. The Company has reversed the recognition of revenue for these pending change orders because of new developments in the second quarter. These developments include the Company filing a lawsuit and lien against the general contractor and recent communications with the general contractor and the site owner. As a result of these reversals, contract revenues were reduced by $5.6 million for the three and six months ended June 30, 2013. The year-to-date decrease was partially offset by $16.2 million of revenue earned from the business acquired from Terra Contracting, LLC which did not become a part of the Company until the first quarter of 2013.</w:t>
      </w:r>
    </w:p>
    <w:p>
      <w:pPr>
        <w:spacing w:after="0" w:line="12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Consolidated gross profit for the 2013 second quarter decreased by 72% to $5.2 million, from $18.7 million in the second quarter of 2012. Gross profit margin (gross profit divided by revenue) for the 2013 second quarter decreased to 3.4% from 11.5% in the 2012 second quarter. Gross profit for the six months ended June 30, 2013 decreased by 20% to $31.0 million from $38.7 million in the same 2012 period, resulting in a decrease in gross profit margin to 9.1% from 12.2%. Gross profit margin for the three and six months ended June 30, 2013 was lower due to dredging mechanical and production delays, lower fixed cost coverage as well as the reversal of demolition revenue noted above and lower demolition margins on fewer projects.</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Company’s general and administrative expenses totaled $18.3 million and $37.5 million for the three and six months ended June 30, 2013. General and administrative expenses totaled $11.5 million and $24.7 million for the three and six months ended June 30, 2012. During the 2013 first half, the Company incurred additional payroll and benefit expenses representing an increase of $1.1 million over the same period in 2012. General and administrative expenses of $4.6 million related to the Terra business acquisition also contributed to the increase as the business did not become part of the Company until the first quarter of 2013. An increase in legal and professional fees of $2.6 million, technical and consulting of $0.9 million and additional bad debt expense of $2.3 million also contributed to the year-to-date 2013 increase compared to the same period in 2012.</w:t>
      </w:r>
    </w:p>
    <w:p>
      <w:pPr>
        <w:spacing w:after="0" w:line="12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 xml:space="preserve">In May 2013, the Company concluded its litigation regarding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loss of use claim. In January 2008, the Company filed suit against the M/V </w:t>
      </w:r>
      <w:r>
        <w:rPr>
          <w:rFonts w:ascii="Arial" w:cs="Arial" w:eastAsia="Arial" w:hAnsi="Arial"/>
          <w:sz w:val="18"/>
          <w:szCs w:val="18"/>
          <w:i w:val="1"/>
          <w:iCs w:val="1"/>
          <w:color w:val="auto"/>
        </w:rPr>
        <w:t xml:space="preserve">Orange Sun </w:t>
      </w:r>
      <w:r>
        <w:rPr>
          <w:rFonts w:ascii="Arial" w:cs="Arial" w:eastAsia="Arial" w:hAnsi="Arial"/>
          <w:sz w:val="18"/>
          <w:szCs w:val="18"/>
          <w:color w:val="auto"/>
        </w:rPr>
        <w:t>and her owners for damages incurred by the Company in connection with the allision in the approach channel to Port Newark, New Jersey.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received $13.3 million which is included in proceeds from loss of use claim in the consolidated statement of operations for the three and six month periods ended June 30, 2013.</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operating loss for the three months ended June 30, 2013 was $21.4 million compared to operating income of $7.3 million in the same period of 2012. The Company had an operating loss of $14.8 million for the six months ended June 30, 2013 compared to operating income of $14.1 million for the six months ended June 30, 2012. The decrease in operating income is due to the goodwill impairment charge recorded at the demolition reporting unit during the 2013 second quarter as well as lower operating margins and higher general administrative expenses, partially offset by the receipt of claim proceeds, as described above.</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Company’s net interest expense totaled $5.4 million and $11.1 million, for the three and six months ended June 30, 2013, respectively, in line with interest expense of $5.4 million and $10.6 million from the same period of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income tax expense for the three and six months ended June 30, 2013 was a benefit of $2.2 million and $2.3 million, respectively, compared to $0.8 million and $1.3 million of provision for the same 2012 periods. The increase in income tax benefit was attributable to the losses generated in the 2013 first half. The effective tax rate for the six months ended June 30, 2013 was impacted by the nondeductible pre-tax goodwill impairment charge of $21.5 million. Excluding this item, the effective tax rate for the six months ended June 30, 2013 would be 36.8%, which is substantially consistent with the effective tax rate of 38.1% for the same period of 2012. The Company expects the tax rate for the full year before consideration of nondeductible pretax items to remain near 39%.</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loss attributable to Great Lakes Dredge &amp; Dock Corporation was $25.2 million and the loss per diluted share was $0.42 for the 2013 second quarter compared to net income attributable to Great Lakes Dredge &amp; Dock Corporation of $1.3 million and earnings per share of $0.02 for the same 2012 period. Net loss attributable to Great Lakes Dredge &amp; Dock Corporation and loss per diluted share for the six months ended June 30, 2013 was $24.8 million and $0.42, respectively, compared to Net income attributable to Great Lakes Dredge &amp; Dock Corporation of $2.3 million and earnings per diluted share of $0.04 for the same 2012 period. The decrease in 2013 is due to lower operating results for the periods described above which includes the noncash goodwill impairment charge incurred in the second quarter of 2013.</w:t>
      </w:r>
    </w:p>
    <w:p>
      <w:pPr>
        <w:spacing w:after="0" w:line="144"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Adjusted EBITDA (as defined on page 27) was $11.0 million and $29.2 million for the three and six months ended June 30, 2013, respectively, compared with $17.0 million and $31.7 million in the same 2012 periods. This decrease is the result of lower operating income described above.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Dredging</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Dredging revenues for the three and six months ended June 30, 2013 were $136.5 million and $310.4 million, respectively, compared to $135.3 million and</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$259.0 million for the same periods of 2012. The dredging segment for the three and six months ended June 30, 2013 included increases in coastal protection and domestic and foreign capital revenues. These increases were partially offset by lower maintenance and rivers &amp; lakes revenues. Increases in dredging revenues for the 2013 first half were driven by a significant project in Qatar and two coastal restoration projects in Louisiana as well as the mobilization and commencement of dredging activities in Western Australia and Brazil.</w:t>
      </w:r>
    </w:p>
    <w:p>
      <w:pPr>
        <w:spacing w:after="0" w:line="14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Gross profit margin in the dredging segment was 9.1% and 14.1% for the three and six months ended June 30, 2013 compared to gross profit margin of 16.1% and 14.7% for the three and six months ended June 30, 2012, respectively. Dredging gross profit margin slightly declined due to lower fixed cost coverage of the dredging fleet as well as mechanical and production delays during the first six months of 2013. Although the gross profit margin decreased, the overall gross profit increased on higher revenues.</w:t>
      </w:r>
    </w:p>
    <w:p>
      <w:pPr>
        <w:spacing w:after="0" w:line="14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 xml:space="preserve">Dredging segment operating income was $14.6 million and $33.6 million for the three and six months ended June 30, 2013, compared to operating income of $11.7 million and $16.6 million for the three and six months ended June 30, 2012, respectively. The increase in operating income for the six months ended June 30, 2013 is a result of the increase in gross profit and proceeds from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loss of use claim, slightly offset by an increase in general and administrative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Demolition revenues for the three and six months ended June 30, 2013 totaled $16.6 million and $31.5 million, respectively, compared to $27.9 million and $60.5 million for the same 2012 periods. Demolition revenues for the 2013 first half were down due to a lower backlog at year end 2012, excluding the backlog acquired by the Company on December 31, 2012 in conjunction with the Terra acquisition, resulting in fewer projects on which to earn revenue in the first six months of 2013 compared to the same period in 2012. Additionally, the Company has identified certain pending change orders for one demolition project for which previously recognized revenue no longer meets the Company’s policy for revenue recognition. The Company has reversed the recognition of revenue for these pending change orders because of new developments in the second quarter. These developments include the Company filing a lawsuit and lien against the general contractor and recent communications with the general contractor and the site owner. As a result of these reversals, contract revenues were reduced by $5.6 million for the three and six months ended June 30, 2013. The year-to-date decrease was partially offset by $16.2 million of revenue earned from the business acquired from Terra Contracting, LLC which did not become a part of the Company until the first quarter of 2013.</w:t>
      </w:r>
    </w:p>
    <w:p>
      <w:pPr>
        <w:spacing w:after="0" w:line="12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demolition segment had a negative gross profit margin of 43.8% and 40.5% for the three and six months ended June 30, 2013 and a negative gross profit margin of 11.2% and a gross profit margin of 1.6% for the three and six months ended June 30, 2012, respectively. During the first half of 2013, the demolition segment experienced lower revenue and cost overruns on projects.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demolition segment had an operating loss of $36.0 million and $48.4 million for the three and six months ended June 30, 2013, respectively, compared to an operating loss of $4.4 million and $2.5 million for the same periods of 2012. The foregoing decrease in operating income for the six months ended June 30, 2013 was due to the lower gross margin, the goodwill impairment charge in the 2013 second quarter as well as an increase in general and administrative expenses, specifically additional bad debt expense of $2.3 million and $4.6 million related to the Terra business acquisition as the business did become part of the Company until the first quarter of 2013.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June 30,</w:t>
            </w:r>
          </w:p>
        </w:tc>
      </w:tr>
      <w:tr>
        <w:trPr>
          <w:trHeight w:val="161"/>
        </w:trPr>
        <w:tc>
          <w:tcPr>
            <w:tcW w:w="4240" w:type="dxa"/>
            <w:vAlign w:val="bottom"/>
          </w:tcPr>
          <w:p>
            <w:pPr>
              <w:spacing w:after="0"/>
              <w:rPr>
                <w:sz w:val="20"/>
                <w:szCs w:val="20"/>
                <w:color w:val="auto"/>
              </w:rPr>
            </w:pPr>
            <w:r>
              <w:rPr>
                <w:rFonts w:ascii="Arial" w:cs="Arial" w:eastAsia="Arial" w:hAnsi="Arial"/>
                <w:sz w:val="14"/>
                <w:szCs w:val="14"/>
                <w:b w:val="1"/>
                <w:bCs w:val="1"/>
                <w:color w:val="auto"/>
              </w:rPr>
              <w:t>Backlog (in thousands)</w:t>
            </w:r>
          </w:p>
        </w:tc>
        <w:tc>
          <w:tcPr>
            <w:tcW w:w="276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0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Capital—U.S.</w:t>
            </w:r>
          </w:p>
        </w:tc>
        <w:tc>
          <w:tcPr>
            <w:tcW w:w="3000" w:type="dxa"/>
            <w:vAlign w:val="bottom"/>
            <w:gridSpan w:val="3"/>
          </w:tcPr>
          <w:p>
            <w:pPr>
              <w:jc w:val="right"/>
              <w:ind w:right="240"/>
              <w:spacing w:after="0"/>
              <w:rPr>
                <w:sz w:val="20"/>
                <w:szCs w:val="20"/>
                <w:color w:val="auto"/>
              </w:rPr>
            </w:pPr>
            <w:r>
              <w:rPr>
                <w:rFonts w:ascii="Arial" w:cs="Arial" w:eastAsia="Arial" w:hAnsi="Arial"/>
                <w:sz w:val="18"/>
                <w:szCs w:val="18"/>
                <w:color w:val="auto"/>
              </w:rPr>
              <w:t>$185,351</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43,177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$104,283</w:t>
            </w: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Capital—foreign</w:t>
            </w:r>
          </w:p>
        </w:tc>
        <w:tc>
          <w:tcPr>
            <w:tcW w:w="3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163,577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218,953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225,999</w:t>
            </w: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Coastal protection</w:t>
            </w:r>
          </w:p>
        </w:tc>
        <w:tc>
          <w:tcPr>
            <w:tcW w:w="3000" w:type="dxa"/>
            <w:vAlign w:val="bottom"/>
            <w:gridSpan w:val="3"/>
          </w:tcPr>
          <w:p>
            <w:pPr>
              <w:jc w:val="right"/>
              <w:ind w:right="240"/>
              <w:spacing w:after="0"/>
              <w:rPr>
                <w:sz w:val="20"/>
                <w:szCs w:val="20"/>
                <w:color w:val="auto"/>
              </w:rPr>
            </w:pPr>
            <w:r>
              <w:rPr>
                <w:rFonts w:ascii="Arial" w:cs="Arial" w:eastAsia="Arial" w:hAnsi="Arial"/>
                <w:sz w:val="18"/>
                <w:szCs w:val="18"/>
                <w:color w:val="auto"/>
              </w:rPr>
              <w:t>66,398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80,245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34,111</w:t>
            </w: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3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22,406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10,907</w:t>
            </w: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Rivers &amp; lakes</w:t>
            </w:r>
          </w:p>
        </w:tc>
        <w:tc>
          <w:tcPr>
            <w:tcW w:w="20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21,975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24,510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23,167</w:t>
            </w:r>
          </w:p>
        </w:tc>
      </w:tr>
      <w:tr>
        <w:trPr>
          <w:trHeight w:val="27"/>
        </w:trPr>
        <w:tc>
          <w:tcPr>
            <w:tcW w:w="4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Dredging Backlog</w:t>
            </w:r>
          </w:p>
        </w:tc>
        <w:tc>
          <w:tcPr>
            <w:tcW w:w="20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458,251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389,291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398,467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Demolition</w:t>
            </w:r>
          </w:p>
        </w:tc>
        <w:tc>
          <w:tcPr>
            <w:tcW w:w="20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92,908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60,148*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56,786</w:t>
            </w:r>
          </w:p>
        </w:tc>
      </w:tr>
      <w:tr>
        <w:trPr>
          <w:trHeight w:val="27"/>
        </w:trPr>
        <w:tc>
          <w:tcPr>
            <w:tcW w:w="4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20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551,159</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449,439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455,253</w:t>
            </w:r>
          </w:p>
        </w:tc>
      </w:tr>
      <w:tr>
        <w:trPr>
          <w:trHeight w:val="20"/>
        </w:trPr>
        <w:tc>
          <w:tcPr>
            <w:tcW w:w="4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December 31, 2012 demolition backlog includes backlog acquired by the Company on December 31, 2012 in connection with the Terra acquisition.</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57% of the Company’s June 30, 2013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domestic dredging bid market for the 2013 second quarter totaled $329.2 million, resulting in $558.3 million of work awarded during the first six months of 2013. This represents an increase of $205.1 million from the same period in the prior year. During the quarter the Company was awarded the first phase of the PortMiami project, for $122 million. We currently expect the next two phases, totaling $80 million, to be awarded by January 2014. For the contracts released in the current year, the Company won 76%, or $231.9 million, of the domestic capital projects, 63%, or $80.7 million, of the coastal protection projects awarded through June 30, 2013, as well as 24%, or $29.2 million, of the maintenance projects and 57%, or $4.6 million, of the rivers &amp; lakes projects awarded year-to-date through June 30, 2013. The Company won 62% of the overall domestic bid market through June 30, 2013, which is above the Company’s prior three year average of 37%, driven by the PortMiami projects and the high coastal protection win rate. Variability in contract wins from quarter to quarter is not unusual and one quarter’s win rate is generally not indicative of the win rate the Company is likely to achieve for a full year.</w:t>
      </w:r>
    </w:p>
    <w:p>
      <w:pPr>
        <w:spacing w:after="0" w:line="118"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The Company’s contracted dredging backlog was $458.3 million at June 30, 2013 compared to $389.3 million as of December 31, 2012. These amounts do not reflect approximately $143.4 million of domestic low bids pending formal award and additional phases (“options”) pending on projects currently in backlog at June 30, 2013. At December 31, 2012 the amount of domestic low bids and options pending award was $82.1 million.</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Domestic capital dredging backlog at June 30, 2013 was $142.2 million greater than at December 31, 2012 due to the award of the PortMiami project noted above. Dredging on this project is expected to begin in the fourth quarter of 2013. The Company also continues to work on a deepening project in New York and two costal restoration projects in Louisiana. The Company expects two projects on the Delaware River to be let for bid in the next six months.</w:t>
      </w:r>
    </w:p>
    <w:p>
      <w:pPr>
        <w:spacing w:after="0" w:line="10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Coastal protection dredging backlog at June 30, 2013 was $13.8 million lower than at December 31, 2012 as the Company finished several beach projects in Florida, North Carolina and New Jersey. The Company began work renourishing beaches in Delaware and Florida as well as New Jersey which is the result of Superstorm Sandy which impacted the East Coast in October 2012. The government has appropriated $50.5 billion, including nearly $4.0 billion for Corps projects to assist the needed relief for the region. The Corps is expected to let for bid projects for East Coast markets from this funding throughout 2013.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Maintenance dredging backlog was $1.5 million lower at June 30, 2013 than at December 31, 2012. The Company completed work on six projects along the East Coast in the 2013 first half. Additionally, the Company won four maintenance projects in the quarter, two in the Gulf, one in South Carolina and one in Georgia. The maintenance bid market during the 2013 first half is down from the same period in the prior year due to dredges being made available for coastal protection projects as a result of Superstorm Sandy.</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Rivers &amp; lakes backlog is $2.5 million lower at June 30, 2013 than at December 31, 2012. Rivers &amp; lakes continued to earn on projects in its backlog, including work on a lake in Texas and the Mississippi River and its tributaries performing maintenance dredging and levee repair projects. The Corps awarded the Company an option to the work it is performing on the Mississippi River during the 2013 first half.</w:t>
      </w:r>
    </w:p>
    <w:p>
      <w:pPr>
        <w:spacing w:after="0" w:line="14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Foreign capital dredging backlog decreased to $163.6 million at June 30, 2013 from $219.0 million at December 31, 2012, due primarily to the conclusion of work on our large land reclamation project in Bahrain that the Company has worked on since 2006. In addition, recognition of revenue on Wheatstone, a project in Brazil and other Middle East projects decreased backlog. We are currently in final negotiations for a project in the Middle East valued at over $100 million. Once finalized and awarded, we anticipate this project will increase utilization of the fleet in the Middle East for the next 18-24 months. The Company also sees additional opportunities in the Middle East, Southeast Asia and South America that it continues to pursue.</w:t>
      </w:r>
    </w:p>
    <w:p>
      <w:pPr>
        <w:spacing w:after="0" w:line="1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Demolition services backlog was $32.8 million higher at June 30, 2013 from December 31, 2012. The increase was primarily driven by an award to Terra Contracting and our Rivers &amp; lakes group for project in the Midwest valued at approximately $30 million that will combine Terra Contracting’s services and Rivers &amp; lakes’ dredging abilities.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Company’s net cash used in operating activities for the six months ended June 30, 2013 and 2012 totaled $18.9 million, and $14.8 million, respectively. Normal increases or decreases in the level of working capital relative to the level of operational activity impact cash flow from operating activities. In the first six months of 2013, net cash used in operating activities was primarily the result of lower net income and changes in accounts receivable and other operating assets between periods. At June 30, 2012 the Company’s working capital balances were above historical levels for accounts receivable, work in progress in foreign projects, and investments in pipe inventory to support dredging operations for projects in the Gulf of Mexico.</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net cash flows used in investing activities for the first six months of 2013 and 2012 totaled $14.1 million and $22.6 million, respectively. Investing activities in both periods primarily relate to normal course upgrades and capital maintenance of the Company’s dredging fleet. In May 2013, the Company drew upon a vendor performance obligation related to a vessel construction contract and received $13.6 million. During the six months ended June 30, 2013, the Company spent $12.9 million on construction in progress for a vessel being built to our specifications that we intend to have funded through an operating lease upon delivery.</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Company’s net cash flows provided by (used in) financing activities for the six months ended June 30, 2013 and 2012 totaled $30.2 million and $(5.1) million, respectively. Increases were primarily due to net borrowings on the Company’s revolver during the 2013 first half of $41.0 million. The Company also paid $10.5 million on a promissory note related to the Terra acquisition.</w:t>
      </w:r>
    </w:p>
    <w:p>
      <w:pPr>
        <w:spacing w:after="0" w:line="14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which replaced the Company’s former revolving credit agreement, provides for a senior revolving credit facility in an aggregate principal amount of up to $175 million, subfacilities for the issuance of standby letters of credit up to a $125 million sublimit,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$50 million. This is subject to lenders providing incremental commitments for such increase, provided that no default or event of default exists, the Company will be in pro forma compliance with the existing financial covenants both before and after giving effect to the increase and other standard conditions. The prior credit agreement with Bank of America N.A. was terminated.</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 At December 31, 2012, the Company’s fixed charge coverage ratio was 1.12x, resulting in an event of default under the Credit Agreement.</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15, 2013, the Company executed a Waiver and Amendment No. 2 to the Credit Agreement (the “Credit Agreement Waiver and Amendment”) pursuant to which the counterparties thereto agreed, among other things, to waive any default, event of default, or possible event of default, as applicable, related to the Company’s failure to meet the above-described financial covenant in the Credit Agreement.</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Separately, the Company determined that a perfection trigger event had occurred under the Credit Agreement as of December 31, 2012. As a result, the outstanding obligations under the Credit Agreement, which were previously unsecured, are now secured by liens on certain of the Company’s vessels and all of its domestic accounts receivable, subject to the liens and interests of certain other parties holding first priority perfected liens. Under the original terms of the Credit Agreement, the obligations thereunder that became secured under these circumstances could again become unsecured provided that (i) no event of default has occurred and is continuing and (ii) the Company has maintained for two consecutive quarters, and is projected to maintain for the next two consecutive quarters, a total leverage ratio less than or equal to 3.75 to 1.0. Pursuant to the Credit Agreement Waiver and Amendment, this provision has been amended to add the additional condition that no release of the liens securing the obligations under the Credit Agreement can occur until the Company has delivered to the lenders its audited financial statements with respect to its fiscal year ending December 31, 2013.</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June 30, 2013, the Company had $41.0 million of borrowings on the revolver and $74.2 million of letters of credit outstanding, resulting in $59.8 million of availability under the Credit Agreement. Borrowings under the line of credit may be limited based on the Company’s requirements to comply with its covenants. At June 30, 2013, the Company was in compliance with its various covenants under its Credit Agreement.</w:t>
      </w:r>
    </w:p>
    <w:p>
      <w:pPr>
        <w:spacing w:after="0" w:line="1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Company’s obligations under its international letter of credit facility are secured by the Company’s foreign accounts receivable. The Company’s obligations under its senior notes are unsecured. The Company’s material agreements related to long term debt contain various restrictive covenants, including limitations on dividends, redemption and repurchases of capital stock, and the incurrence of indebtedness and requirements to maintain certain financial covenants. The Company is in compliance with its various covenants under the respective agreements as of June 30, 2013.</w:t>
      </w:r>
    </w:p>
    <w:p>
      <w:pPr>
        <w:spacing w:after="0" w:line="113"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The impact of changes in functional currency exchange rates against the U.S. dollar on non-U.S. dollar cash balances, primarily the Brazilian Real and Australian Dollar, is reflected in the cumulative translation adjustment, 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8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revolving credit facility and bonding agreement, depends on its future operating performance and cash flows, which in turn, are subject to prevailing economic conditions and to financial, business and other factors, some of which are beyond the Company’s control.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risk of the Company’s financial instruments as of June 30, 2013 has not materially changed since December 31, 2012. The market risk profile of the Company on December 31, 2012 is disclosed in Item 7A. “Quantitative and Qualitative Disclosures about Market Risk” of the Company’s Annual Report on Form 10-K for the year ended December 31, 2012.</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June 30, 2013. Our disclosure controls and procedures are designed to provide reasonable assurance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20"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Our Chief Executive Officer and Chief Financial Officer concluded that our disclosure controls and procedures were not effective in providing such a reasonable assurance as a result of the identified material weakness in internal control over financial reporting as further described in Item 9A. “Controls and Procedures” of our Annual Report on Form 10-K for the year ended December 31, 2012. Notwithstanding the material weakness, management has concluded that the condensed consolidated financial statements included in this Quarterly Report on Form 10-Q present fairly, in all material respects, the Company’s financial position, results of operations and cash flows in conformity with generally accepted accounting principles.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Other than described below, there have been no changes in our internal control over financial reporting (as defined in Rule 13a-15(f) under the Exchange Act) during the fiscal quarter ended June 30, 2013 that have materially affected, or are reasonably likely to materially affect, our internal control over financial reporting.</w:t>
      </w:r>
    </w:p>
    <w:p>
      <w:pPr>
        <w:spacing w:after="0" w:line="14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Management has developed a remediation plan to address the internal control deficiencies described above. Our plan was designed to ensure that each area affected by a material control weakness was remediated properly. The remediation plan included the following actions:</w:t>
      </w:r>
    </w:p>
    <w:p>
      <w:pPr>
        <w:spacing w:after="0" w:line="4" w:lineRule="exact"/>
        <w:rPr>
          <w:sz w:val="20"/>
          <w:szCs w:val="20"/>
          <w:color w:val="auto"/>
        </w:rPr>
      </w:pPr>
    </w:p>
    <w:p>
      <w:pPr>
        <w:ind w:left="900" w:right="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comprehensive review of the organizational resources at our demolition segment, focused on the project management and accounting functions, to determine the appropriate level of staffing and skills and to ensure those resources are put in place.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finance team at the demolition segment will report directly to the corporate finance function, instead of divisional leadership.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the level of resources in the accounting, internal audit and compliance functions at the corporate office.</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Evaluating information technology systems in our demolition segment to ensure timely and accurate information is available for period-end reporting and analysis. The Company is currently installing new estimating and project management software at its demolition segment.</w:t>
      </w:r>
    </w:p>
    <w:p>
      <w:pPr>
        <w:spacing w:after="0" w:line="4"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Training all appropriate demolition segment and corporate accounting personnel regarding the application of the Company’s accounting policy regarding revenue recognition.</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Management is in the process of remediating the internal control deficiency. The remediation plan is being administered by the Chief Financial Officer and involves key leaders from across the organization, including the Chief Executive Officer and Chief Legal Officer.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10 “Commitments and Contingencies” in the Notes to Condensed Consolidated Financial Statements.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during the six months ended June 30, 2013 to the risk factors previously disclosed in Item 1A. Risk Factors in the Company’s Annual Report on Form 10-K for the year ended December 31,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700" w:hanging="23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700" w:hanging="23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700" w:hanging="23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40"/>
          </w:cols>
          <w:pgMar w:left="240" w:top="459" w:right="10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520"/>
        </w:trPr>
        <w:tc>
          <w:tcPr>
            <w:tcW w:w="860" w:type="dxa"/>
            <w:vAlign w:val="bottom"/>
          </w:tcPr>
          <w:p>
            <w:pPr>
              <w:ind w:left="100"/>
              <w:spacing w:after="0"/>
              <w:rPr>
                <w:sz w:val="20"/>
                <w:szCs w:val="20"/>
                <w:color w:val="auto"/>
              </w:rPr>
            </w:pPr>
            <w:r>
              <w:rPr>
                <w:rFonts w:ascii="Arial" w:cs="Arial" w:eastAsia="Arial" w:hAnsi="Arial"/>
                <w:sz w:val="18"/>
                <w:szCs w:val="18"/>
                <w:color w:val="auto"/>
              </w:rPr>
              <w:t>10.1</w:t>
            </w:r>
          </w:p>
        </w:tc>
        <w:tc>
          <w:tcPr>
            <w:tcW w:w="10360" w:type="dxa"/>
            <w:vAlign w:val="bottom"/>
          </w:tcPr>
          <w:p>
            <w:pPr>
              <w:ind w:left="300"/>
              <w:spacing w:after="0"/>
              <w:rPr>
                <w:sz w:val="20"/>
                <w:szCs w:val="20"/>
                <w:color w:val="auto"/>
              </w:rPr>
            </w:pPr>
            <w:r>
              <w:rPr>
                <w:rFonts w:ascii="Arial" w:cs="Arial" w:eastAsia="Arial" w:hAnsi="Arial"/>
                <w:sz w:val="18"/>
                <w:szCs w:val="18"/>
                <w:color w:val="auto"/>
                <w:w w:val="91"/>
              </w:rPr>
              <w:t>Amendment No. 3 to Credit Agreement, dated as of July 3, 2013, by and among Great Lakes Dredge &amp; Dock Corporation, the other Credit</w:t>
            </w:r>
          </w:p>
        </w:tc>
      </w:tr>
      <w:tr>
        <w:trPr>
          <w:trHeight w:val="216"/>
        </w:trPr>
        <w:tc>
          <w:tcPr>
            <w:tcW w:w="860" w:type="dxa"/>
            <w:vAlign w:val="bottom"/>
          </w:tcPr>
          <w:p>
            <w:pPr>
              <w:spacing w:after="0"/>
              <w:rPr>
                <w:sz w:val="18"/>
                <w:szCs w:val="18"/>
                <w:color w:val="auto"/>
              </w:rPr>
            </w:pPr>
          </w:p>
        </w:tc>
        <w:tc>
          <w:tcPr>
            <w:tcW w:w="10360" w:type="dxa"/>
            <w:vAlign w:val="bottom"/>
          </w:tcPr>
          <w:p>
            <w:pPr>
              <w:ind w:left="300"/>
              <w:spacing w:after="0"/>
              <w:rPr>
                <w:sz w:val="20"/>
                <w:szCs w:val="20"/>
                <w:color w:val="auto"/>
              </w:rPr>
            </w:pPr>
            <w:r>
              <w:rPr>
                <w:rFonts w:ascii="Arial" w:cs="Arial" w:eastAsia="Arial" w:hAnsi="Arial"/>
                <w:sz w:val="18"/>
                <w:szCs w:val="18"/>
                <w:color w:val="auto"/>
                <w:w w:val="88"/>
              </w:rPr>
              <w:t>Parties party thereto, Wells Fargo Bank, National Association, as Administrative Agent, Swingline Lender and an Issuing Lender, and the other</w:t>
            </w:r>
          </w:p>
        </w:tc>
      </w:tr>
      <w:tr>
        <w:trPr>
          <w:trHeight w:val="222"/>
        </w:trPr>
        <w:tc>
          <w:tcPr>
            <w:tcW w:w="860" w:type="dxa"/>
            <w:vAlign w:val="bottom"/>
          </w:tcPr>
          <w:p>
            <w:pPr>
              <w:spacing w:after="0"/>
              <w:rPr>
                <w:sz w:val="19"/>
                <w:szCs w:val="19"/>
                <w:color w:val="auto"/>
              </w:rPr>
            </w:pPr>
          </w:p>
        </w:tc>
        <w:tc>
          <w:tcPr>
            <w:tcW w:w="10360" w:type="dxa"/>
            <w:vAlign w:val="bottom"/>
          </w:tcPr>
          <w:p>
            <w:pPr>
              <w:ind w:left="300"/>
              <w:spacing w:after="0"/>
              <w:rPr>
                <w:sz w:val="20"/>
                <w:szCs w:val="20"/>
                <w:color w:val="auto"/>
              </w:rPr>
            </w:pPr>
            <w:r>
              <w:rPr>
                <w:rFonts w:ascii="Arial" w:cs="Arial" w:eastAsia="Arial" w:hAnsi="Arial"/>
                <w:sz w:val="18"/>
                <w:szCs w:val="18"/>
                <w:color w:val="auto"/>
              </w:rPr>
              <w:t>lenders party thereto. (1)</w:t>
            </w: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31.1</w:t>
            </w:r>
          </w:p>
        </w:tc>
        <w:tc>
          <w:tcPr>
            <w:tcW w:w="10360" w:type="dxa"/>
            <w:vAlign w:val="bottom"/>
          </w:tcPr>
          <w:p>
            <w:pPr>
              <w:ind w:left="300"/>
              <w:spacing w:after="0"/>
              <w:rPr>
                <w:sz w:val="20"/>
                <w:szCs w:val="20"/>
                <w:color w:val="auto"/>
              </w:rPr>
            </w:pPr>
            <w:r>
              <w:rPr>
                <w:rFonts w:ascii="Arial" w:cs="Arial" w:eastAsia="Arial" w:hAnsi="Arial"/>
                <w:sz w:val="18"/>
                <w:szCs w:val="18"/>
                <w:color w:val="auto"/>
                <w:w w:val="88"/>
              </w:rPr>
              <w:t>Certification Pursuant to Rules 13a-14(a) and 15d-14(a) under the Securities Exchange Act of 1934, as Adopted Pursuant to Section 302 of the</w:t>
            </w:r>
          </w:p>
        </w:tc>
      </w:tr>
      <w:tr>
        <w:trPr>
          <w:trHeight w:val="222"/>
        </w:trPr>
        <w:tc>
          <w:tcPr>
            <w:tcW w:w="860" w:type="dxa"/>
            <w:vAlign w:val="bottom"/>
          </w:tcPr>
          <w:p>
            <w:pPr>
              <w:spacing w:after="0"/>
              <w:rPr>
                <w:sz w:val="19"/>
                <w:szCs w:val="19"/>
                <w:color w:val="auto"/>
              </w:rPr>
            </w:pPr>
          </w:p>
        </w:tc>
        <w:tc>
          <w:tcPr>
            <w:tcW w:w="10360" w:type="dxa"/>
            <w:vAlign w:val="bottom"/>
          </w:tcPr>
          <w:p>
            <w:pPr>
              <w:ind w:left="300"/>
              <w:spacing w:after="0"/>
              <w:rPr>
                <w:sz w:val="20"/>
                <w:szCs w:val="20"/>
                <w:color w:val="auto"/>
              </w:rPr>
            </w:pPr>
            <w:r>
              <w:rPr>
                <w:rFonts w:ascii="Arial" w:cs="Arial" w:eastAsia="Arial" w:hAnsi="Arial"/>
                <w:sz w:val="18"/>
                <w:szCs w:val="18"/>
                <w:color w:val="auto"/>
              </w:rPr>
              <w:t>Sarbanes-Oxley Act of 2002. *</w:t>
            </w: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31.2</w:t>
            </w:r>
          </w:p>
        </w:tc>
        <w:tc>
          <w:tcPr>
            <w:tcW w:w="10360" w:type="dxa"/>
            <w:vAlign w:val="bottom"/>
          </w:tcPr>
          <w:p>
            <w:pPr>
              <w:ind w:left="300"/>
              <w:spacing w:after="0"/>
              <w:rPr>
                <w:sz w:val="20"/>
                <w:szCs w:val="20"/>
                <w:color w:val="auto"/>
              </w:rPr>
            </w:pPr>
            <w:r>
              <w:rPr>
                <w:rFonts w:ascii="Arial" w:cs="Arial" w:eastAsia="Arial" w:hAnsi="Arial"/>
                <w:sz w:val="18"/>
                <w:szCs w:val="18"/>
                <w:color w:val="auto"/>
                <w:w w:val="88"/>
              </w:rPr>
              <w:t>Certification Pursuant to Rules 13a-14(a) and 15d-14(a) under the Securities Exchange Act of 1934, as Adopted Pursuant to Section 302 of the</w:t>
            </w:r>
          </w:p>
        </w:tc>
      </w:tr>
      <w:tr>
        <w:trPr>
          <w:trHeight w:val="222"/>
        </w:trPr>
        <w:tc>
          <w:tcPr>
            <w:tcW w:w="860" w:type="dxa"/>
            <w:vAlign w:val="bottom"/>
          </w:tcPr>
          <w:p>
            <w:pPr>
              <w:spacing w:after="0"/>
              <w:rPr>
                <w:sz w:val="19"/>
                <w:szCs w:val="19"/>
                <w:color w:val="auto"/>
              </w:rPr>
            </w:pPr>
          </w:p>
        </w:tc>
        <w:tc>
          <w:tcPr>
            <w:tcW w:w="10360" w:type="dxa"/>
            <w:vAlign w:val="bottom"/>
          </w:tcPr>
          <w:p>
            <w:pPr>
              <w:ind w:left="300"/>
              <w:spacing w:after="0"/>
              <w:rPr>
                <w:sz w:val="20"/>
                <w:szCs w:val="20"/>
                <w:color w:val="auto"/>
              </w:rPr>
            </w:pPr>
            <w:r>
              <w:rPr>
                <w:rFonts w:ascii="Arial" w:cs="Arial" w:eastAsia="Arial" w:hAnsi="Arial"/>
                <w:sz w:val="18"/>
                <w:szCs w:val="18"/>
                <w:color w:val="auto"/>
              </w:rPr>
              <w:t>Sarbanes-Oxley Act of 2002. *</w:t>
            </w:r>
          </w:p>
        </w:tc>
      </w:tr>
      <w:tr>
        <w:trPr>
          <w:trHeight w:val="324"/>
        </w:trPr>
        <w:tc>
          <w:tcPr>
            <w:tcW w:w="860" w:type="dxa"/>
            <w:vAlign w:val="bottom"/>
          </w:tcPr>
          <w:p>
            <w:pPr>
              <w:ind w:left="100"/>
              <w:spacing w:after="0"/>
              <w:rPr>
                <w:sz w:val="20"/>
                <w:szCs w:val="20"/>
                <w:color w:val="auto"/>
              </w:rPr>
            </w:pPr>
            <w:r>
              <w:rPr>
                <w:rFonts w:ascii="Arial" w:cs="Arial" w:eastAsia="Arial" w:hAnsi="Arial"/>
                <w:sz w:val="18"/>
                <w:szCs w:val="18"/>
                <w:color w:val="auto"/>
              </w:rPr>
              <w:t>32.1</w:t>
            </w:r>
          </w:p>
        </w:tc>
        <w:tc>
          <w:tcPr>
            <w:tcW w:w="1036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60" w:type="dxa"/>
            <w:vAlign w:val="bottom"/>
          </w:tcPr>
          <w:p>
            <w:pPr>
              <w:ind w:left="100"/>
              <w:spacing w:after="0"/>
              <w:rPr>
                <w:sz w:val="20"/>
                <w:szCs w:val="20"/>
                <w:color w:val="auto"/>
              </w:rPr>
            </w:pPr>
            <w:r>
              <w:rPr>
                <w:rFonts w:ascii="Arial" w:cs="Arial" w:eastAsia="Arial" w:hAnsi="Arial"/>
                <w:sz w:val="18"/>
                <w:szCs w:val="18"/>
                <w:color w:val="auto"/>
              </w:rPr>
              <w:t>32.2</w:t>
            </w:r>
          </w:p>
        </w:tc>
        <w:tc>
          <w:tcPr>
            <w:tcW w:w="1036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300"/>
              <w:spacing w:after="0"/>
              <w:rPr>
                <w:sz w:val="20"/>
                <w:szCs w:val="20"/>
                <w:color w:val="auto"/>
              </w:rPr>
            </w:pPr>
            <w:r>
              <w:rPr>
                <w:rFonts w:ascii="Arial" w:cs="Arial" w:eastAsia="Arial" w:hAnsi="Arial"/>
                <w:sz w:val="18"/>
                <w:szCs w:val="18"/>
                <w:color w:val="auto"/>
              </w:rPr>
              <w:t>XBRL Instance Document.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30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right="52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July 10, 2013 (Commission file no. 001-33225).</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w:t>
      </w:r>
      <w:r>
        <w:rPr>
          <w:rFonts w:ascii="Arial" w:cs="Arial" w:eastAsia="Arial" w:hAnsi="Arial"/>
          <w:sz w:val="14"/>
          <w:szCs w:val="14"/>
          <w:color w:val="auto"/>
        </w:rPr>
        <w:t>ILLIAM</w:t>
      </w:r>
      <w:r>
        <w:rPr>
          <w:rFonts w:ascii="Arial" w:cs="Arial" w:eastAsia="Arial" w:hAnsi="Arial"/>
          <w:sz w:val="18"/>
          <w:szCs w:val="18"/>
          <w:color w:val="auto"/>
        </w:rPr>
        <w:t xml:space="preserve"> S. S</w:t>
      </w:r>
      <w:r>
        <w:rPr>
          <w:rFonts w:ascii="Arial" w:cs="Arial" w:eastAsia="Arial" w:hAnsi="Arial"/>
          <w:sz w:val="14"/>
          <w:szCs w:val="14"/>
          <w:color w:val="auto"/>
        </w:rPr>
        <w:t>TECKEL</w:t>
      </w:r>
    </w:p>
    <w:p>
      <w:pPr>
        <w:spacing w:after="0" w:line="17"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32"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9"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and Duly Authorized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60"/>
          </w:cols>
          <w:pgMar w:left="24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10260" w:type="dxa"/>
            <w:vAlign w:val="bottom"/>
          </w:tcPr>
          <w:p>
            <w:pPr>
              <w:ind w:left="4480"/>
              <w:spacing w:after="0"/>
              <w:rPr>
                <w:sz w:val="20"/>
                <w:szCs w:val="20"/>
                <w:color w:val="auto"/>
              </w:rPr>
            </w:pPr>
            <w:r>
              <w:rPr>
                <w:rFonts w:ascii="Arial" w:cs="Arial" w:eastAsia="Arial" w:hAnsi="Arial"/>
                <w:sz w:val="14"/>
                <w:szCs w:val="14"/>
                <w:b w:val="1"/>
                <w:bCs w:val="1"/>
                <w:color w:val="auto"/>
              </w:rPr>
              <w:t>Document Description</w:t>
            </w:r>
          </w:p>
        </w:tc>
      </w:tr>
      <w:tr>
        <w:trPr>
          <w:trHeight w:val="296"/>
        </w:trPr>
        <w:tc>
          <w:tcPr>
            <w:tcW w:w="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Amendment No. 3 to Credit Agreement, dated as of July 3, 2013, by and among Great Lakes Dredge &amp; Dock Corporation, the other Credit</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Parties party thereto, Wells Fargo Bank, National Association, as Administrative Agent, Swingline Lender and an Issuing Lender, and the other</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lenders party thereto. (1)</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Incorporated by reference to Great Lakes Dredge &amp; Dock Corporation’s Current Report on Form 8-K filed with the Commission on July 10, 2013</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(Commission file no. 001-33225).</w:t>
      </w:r>
    </w:p>
    <w:p>
      <w:pPr>
        <w:spacing w:after="0" w:line="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9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William S. Steckel, certify that:</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2013, as filed with the Securities and Exchange Commission on the date hereof (the “Report”), I, Jonathan W. Berger,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2013, as filed with the Securities and Exchange Commission on the date hereof (the “Report”), I, William S. Steckel, Senior Vice President and Chief Financial Officer of the Company,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decimal"/>
      <w:start w:val="11"/>
    </w:lvl>
  </w:abstractNum>
  <w:abstractNum w:abstractNumId="13">
    <w:nsid w:val="436C6125"/>
    <w:multiLevelType w:val="hybridMultilevel"/>
    <w:lvl w:ilvl="0">
      <w:lvlJc w:val="left"/>
      <w:lvlText w:val="(%1)"/>
      <w:numFmt w:val="lowerRoman"/>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2019-12-07T14:06:28Z</dcterms:created>
  <dcterms:modified xsi:type="dcterms:W3CDTF">2019-12-07T14:06:28Z</dcterms:modified>
</cp:coreProperties>
</file>