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00" w:type="dxa"/>
        <w:tblCellMar>
          <w:top w:w="0" w:type="dxa"/>
          <w:left w:w="0" w:type="dxa"/>
          <w:bottom w:w="0" w:type="dxa"/>
          <w:right w:w="0" w:type="dxa"/>
        </w:tblCellMar>
      </w:tblPr>
      <w:tr>
        <w:trPr>
          <w:trHeight w:val="228"/>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20-5336063</w:t>
            </w:r>
          </w:p>
        </w:tc>
      </w:tr>
      <w:tr>
        <w:trPr>
          <w:trHeight w:val="151"/>
        </w:trPr>
        <w:tc>
          <w:tcPr>
            <w:tcW w:w="24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04"/>
              <w:spacing w:after="0" w:line="151"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40" w:type="dxa"/>
            <w:vAlign w:val="bottom"/>
          </w:tcPr>
          <w:p>
            <w:pPr>
              <w:spacing w:after="0"/>
              <w:rPr>
                <w:sz w:val="24"/>
                <w:szCs w:val="24"/>
                <w:color w:val="auto"/>
              </w:rPr>
            </w:pPr>
          </w:p>
        </w:tc>
        <w:tc>
          <w:tcPr>
            <w:tcW w:w="5040" w:type="dxa"/>
            <w:vAlign w:val="bottom"/>
          </w:tcPr>
          <w:p>
            <w:pPr>
              <w:jc w:val="right"/>
              <w:ind w:right="284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40" w:type="dxa"/>
            <w:vAlign w:val="bottom"/>
          </w:tcPr>
          <w:p>
            <w:pPr>
              <w:spacing w:after="0"/>
              <w:rPr>
                <w:sz w:val="15"/>
                <w:szCs w:val="15"/>
                <w:color w:val="auto"/>
              </w:rPr>
            </w:pPr>
          </w:p>
        </w:tc>
        <w:tc>
          <w:tcPr>
            <w:tcW w:w="504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440" w:space="220"/>
            <w:col w:w="240" w:space="140"/>
            <w:col w:w="160" w:space="220"/>
            <w:col w:w="220" w:space="120"/>
            <w:col w:w="166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November 2, 2012, 59,279,750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21"/>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18"/>
        </w:trPr>
        <w:tc>
          <w:tcPr>
            <w:tcW w:w="1040" w:type="dxa"/>
            <w:vAlign w:val="bottom"/>
            <w:tcBorders>
              <w:top w:val="single" w:sz="8" w:color="0000EE"/>
            </w:tcBorders>
            <w:gridSpan w:val="2"/>
          </w:tcPr>
          <w:p>
            <w:pPr>
              <w:ind w:left="220"/>
              <w:spacing w:after="0"/>
              <w:rPr>
                <w:sz w:val="20"/>
                <w:szCs w:val="20"/>
                <w:color w:val="auto"/>
              </w:rPr>
            </w:pPr>
            <w:r>
              <w:rPr>
                <w:rFonts w:ascii="Arial" w:cs="Arial" w:eastAsia="Arial" w:hAnsi="Arial"/>
                <w:sz w:val="18"/>
                <w:szCs w:val="18"/>
                <w:color w:val="auto"/>
              </w:rPr>
              <w:t>Item 1</w:t>
            </w:r>
          </w:p>
        </w:tc>
        <w:tc>
          <w:tcPr>
            <w:tcW w:w="1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Financial Statements</w:t>
              </w:r>
            </w:hyperlink>
          </w:p>
        </w:tc>
        <w:tc>
          <w:tcPr>
            <w:tcW w:w="620" w:type="dxa"/>
            <w:vAlign w:val="bottom"/>
            <w:tcBorders>
              <w:top w:val="single" w:sz="8" w:color="0000EE"/>
            </w:tcBorders>
            <w:gridSpan w:val="2"/>
          </w:tcPr>
          <w:p>
            <w:pPr>
              <w:spacing w:after="0"/>
              <w:rPr>
                <w:sz w:val="24"/>
                <w:szCs w:val="24"/>
                <w:color w:val="auto"/>
              </w:rPr>
            </w:pPr>
          </w:p>
        </w:tc>
        <w:tc>
          <w:tcPr>
            <w:tcW w:w="7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2012 and December 31,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for the Three and Nine Months ended September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tcBorders>
              <w:top w:val="single" w:sz="8" w:color="0000EE"/>
            </w:tcBorders>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Nine Months ended September 30, 2012 and 2011</w:t>
              </w:r>
            </w:hyperlink>
          </w:p>
        </w:tc>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3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100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7"/>
          </w:tcPr>
          <w:p>
            <w:pPr>
              <w:spacing w:after="0"/>
              <w:rPr>
                <w:rFonts w:ascii="Arial" w:cs="Arial" w:eastAsia="Arial" w:hAnsi="Arial"/>
                <w:sz w:val="18"/>
                <w:szCs w:val="18"/>
                <w:color w:val="0000EE"/>
                <w:w w:val="84"/>
              </w:rPr>
            </w:pPr>
            <w:hyperlink w:anchor="page34">
              <w:r>
                <w:rPr>
                  <w:rFonts w:ascii="Arial" w:cs="Arial" w:eastAsia="Arial" w:hAnsi="Arial"/>
                  <w:sz w:val="18"/>
                  <w:szCs w:val="18"/>
                  <w:color w:val="0000EE"/>
                  <w:w w:val="84"/>
                </w:rPr>
                <w:t>Controls and Procedures</w:t>
              </w:r>
            </w:hyperlink>
          </w:p>
        </w:tc>
        <w:tc>
          <w:tcPr>
            <w:tcW w:w="83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98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35">
              <w:r>
                <w:rPr>
                  <w:rFonts w:ascii="Arial" w:cs="Arial" w:eastAsia="Arial" w:hAnsi="Arial"/>
                  <w:sz w:val="18"/>
                  <w:szCs w:val="18"/>
                  <w:b w:val="1"/>
                  <w:bCs w:val="1"/>
                  <w:color w:val="0000EE"/>
                  <w:w w:val="94"/>
                </w:rPr>
                <w:t>Part II Other Information</w:t>
              </w:r>
            </w:hyperlink>
          </w:p>
        </w:tc>
        <w:tc>
          <w:tcPr>
            <w:tcW w:w="906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00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Risk Factors</w:t>
              </w:r>
            </w:hyperlink>
          </w:p>
        </w:tc>
        <w:tc>
          <w:tcPr>
            <w:tcW w:w="400" w:type="dxa"/>
            <w:vAlign w:val="bottom"/>
            <w:tcBorders>
              <w:top w:val="single" w:sz="8" w:color="0000EE"/>
            </w:tcBorders>
            <w:gridSpan w:val="3"/>
          </w:tcPr>
          <w:p>
            <w:pPr>
              <w:spacing w:after="0"/>
              <w:rPr>
                <w:sz w:val="24"/>
                <w:szCs w:val="24"/>
                <w:color w:val="auto"/>
              </w:rPr>
            </w:pPr>
          </w:p>
        </w:tc>
        <w:tc>
          <w:tcPr>
            <w:tcW w:w="874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100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2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8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Mine Safety Disclosures</w:t>
              </w:r>
            </w:hyperlink>
          </w:p>
        </w:tc>
        <w:tc>
          <w:tcPr>
            <w:tcW w:w="83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00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1240" w:type="dxa"/>
            <w:vAlign w:val="bottom"/>
            <w:tcBorders>
              <w:top w:val="single" w:sz="8" w:color="0000EE"/>
            </w:tcBorders>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87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37">
              <w:r>
                <w:rPr>
                  <w:rFonts w:ascii="Arial" w:cs="Arial" w:eastAsia="Arial" w:hAnsi="Arial"/>
                  <w:sz w:val="18"/>
                  <w:szCs w:val="18"/>
                  <w:b w:val="1"/>
                  <w:bCs w:val="1"/>
                  <w:color w:val="0000EE"/>
                  <w:w w:val="86"/>
                </w:rPr>
                <w:t>Signature</w:t>
              </w:r>
            </w:hyperlink>
          </w:p>
        </w:tc>
        <w:tc>
          <w:tcPr>
            <w:tcW w:w="3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04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38">
              <w:r>
                <w:rPr>
                  <w:rFonts w:ascii="Arial" w:cs="Arial" w:eastAsia="Arial" w:hAnsi="Arial"/>
                  <w:sz w:val="18"/>
                  <w:szCs w:val="18"/>
                  <w:b w:val="1"/>
                  <w:bCs w:val="1"/>
                  <w:color w:val="0000EE"/>
                  <w:w w:val="89"/>
                </w:rPr>
                <w:t>Exhibit Index</w:t>
              </w:r>
            </w:hyperlink>
          </w:p>
        </w:tc>
        <w:tc>
          <w:tcPr>
            <w:tcW w:w="1000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83"/>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60" w:type="dxa"/>
            <w:vAlign w:val="bottom"/>
            <w:gridSpan w:val="13"/>
          </w:tcPr>
          <w:p>
            <w:pPr>
              <w:jc w:val="right"/>
              <w:ind w:right="14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134,244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36,511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322,224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325,778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313,383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98,666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796,686</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23,905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Current portion of long term debt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139,328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130,526</w:t>
            </w:r>
          </w:p>
        </w:tc>
        <w:tc>
          <w:tcPr>
            <w:tcW w:w="0" w:type="dxa"/>
            <w:vAlign w:val="bottom"/>
          </w:tcPr>
          <w:p>
            <w:pPr>
              <w:spacing w:after="0"/>
              <w:rPr>
                <w:sz w:val="1"/>
                <w:szCs w:val="1"/>
                <w:color w:val="auto"/>
              </w:rPr>
            </w:pPr>
          </w:p>
        </w:tc>
      </w:tr>
      <w:tr>
        <w:trPr>
          <w:trHeight w:val="322"/>
        </w:trPr>
        <w:tc>
          <w:tcPr>
            <w:tcW w:w="9200" w:type="dxa"/>
            <w:vAlign w:val="bottom"/>
            <w:gridSpan w:val="2"/>
          </w:tcPr>
          <w:p>
            <w:pPr>
              <w:spacing w:after="0"/>
              <w:rPr>
                <w:sz w:val="20"/>
                <w:szCs w:val="20"/>
                <w:color w:val="auto"/>
              </w:rPr>
            </w:pPr>
            <w:r>
              <w:rPr>
                <w:rFonts w:ascii="Arial" w:cs="Arial" w:eastAsia="Arial" w:hAnsi="Arial"/>
                <w:sz w:val="18"/>
                <w:szCs w:val="18"/>
                <w:color w:val="auto"/>
              </w:rPr>
              <w:t>LONG TERM NOTE PAYABLE</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104,349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502,934</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495,923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stock—$.0001 par value; 90,000,000 authorized, 59,274,393 and 58,999,404 shares issued and outstanding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September 30, 2012 and December 31, 2011, respectively.</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270,434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293,543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291,969</w:t>
            </w:r>
          </w:p>
        </w:tc>
        <w:tc>
          <w:tcPr>
            <w:tcW w:w="0" w:type="dxa"/>
            <w:vAlign w:val="bottom"/>
          </w:tcPr>
          <w:p>
            <w:pPr>
              <w:spacing w:after="0"/>
              <w:rPr>
                <w:sz w:val="1"/>
                <w:szCs w:val="1"/>
                <w:color w:val="auto"/>
              </w:rPr>
            </w:pPr>
          </w:p>
        </w:tc>
      </w:tr>
      <w:tr>
        <w:trPr>
          <w:trHeight w:val="323"/>
        </w:trPr>
        <w:tc>
          <w:tcPr>
            <w:tcW w:w="92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293,752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292,537</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796,686</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166,763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158,468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488,202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153,743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131,077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431,271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394,166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(15,747)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before income taxes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 attributable to Great Lakes Dredge &amp; Dock Corporation</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60" w:type="dxa"/>
            <w:vAlign w:val="bottom"/>
            <w:gridSpan w:val="2"/>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58,863</w:t>
            </w:r>
          </w:p>
        </w:tc>
        <w:tc>
          <w:tcPr>
            <w:tcW w:w="0" w:type="dxa"/>
            <w:vAlign w:val="bottom"/>
          </w:tcPr>
          <w:p>
            <w:pPr>
              <w:spacing w:after="0"/>
              <w:rPr>
                <w:sz w:val="1"/>
                <w:szCs w:val="1"/>
                <w:color w:val="auto"/>
              </w:rPr>
            </w:pPr>
          </w:p>
        </w:tc>
      </w:tr>
      <w:tr>
        <w:trPr>
          <w:trHeight w:val="322"/>
        </w:trPr>
        <w:tc>
          <w:tcPr>
            <w:tcW w:w="6960" w:type="dxa"/>
            <w:vAlign w:val="bottom"/>
            <w:gridSpan w:val="2"/>
          </w:tcPr>
          <w:p>
            <w:pPr>
              <w:spacing w:after="0"/>
              <w:rPr>
                <w:sz w:val="20"/>
                <w:szCs w:val="20"/>
                <w:color w:val="auto"/>
              </w:rPr>
            </w:pPr>
            <w:r>
              <w:rPr>
                <w:rFonts w:ascii="Arial" w:cs="Arial" w:eastAsia="Arial" w:hAnsi="Arial"/>
                <w:sz w:val="18"/>
                <w:szCs w:val="18"/>
                <w:color w:val="auto"/>
                <w:w w:val="98"/>
              </w:rPr>
              <w:t>Diluted earnings (loss) per share attributable to Great Lakes Dredge &amp; Dock Corporation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59,533</w:t>
            </w:r>
          </w:p>
        </w:tc>
        <w:tc>
          <w:tcPr>
            <w:tcW w:w="0" w:type="dxa"/>
            <w:vAlign w:val="bottom"/>
          </w:tcPr>
          <w:p>
            <w:pPr>
              <w:spacing w:after="0"/>
              <w:rPr>
                <w:sz w:val="1"/>
                <w:szCs w:val="1"/>
                <w:color w:val="auto"/>
              </w:rPr>
            </w:pPr>
          </w:p>
        </w:tc>
      </w:tr>
      <w:tr>
        <w:trPr>
          <w:trHeight w:val="322"/>
        </w:trPr>
        <w:tc>
          <w:tcPr>
            <w:tcW w:w="696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Three Months Ended</w:t>
            </w:r>
          </w:p>
        </w:tc>
        <w:tc>
          <w:tcPr>
            <w:tcW w:w="1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0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$(2,152)</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$ 5,659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$3,147</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(374)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losses to earnings—net of tax (2)</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Change in fair value of derivatives—net of tax (3)</w:t>
            </w:r>
          </w:p>
        </w:tc>
        <w:tc>
          <w:tcPr>
            <w:tcW w:w="560" w:type="dxa"/>
            <w:vAlign w:val="bottom"/>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(loss)—net of tax</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(1,152)</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00" w:type="dxa"/>
            <w:vAlign w:val="bottom"/>
            <w:gridSpan w:val="2"/>
            <w:vMerge w:val="continue"/>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(1,410)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4,755</w:t>
            </w:r>
          </w:p>
        </w:tc>
        <w:tc>
          <w:tcPr>
            <w:tcW w:w="500" w:type="dxa"/>
            <w:vAlign w:val="bottom"/>
          </w:tcPr>
          <w:p>
            <w:pPr>
              <w:jc w:val="right"/>
              <w:spacing w:after="0"/>
              <w:rPr>
                <w:sz w:val="20"/>
                <w:szCs w:val="20"/>
                <w:color w:val="auto"/>
              </w:rPr>
            </w:pPr>
            <w:r>
              <w:rPr>
                <w:rFonts w:ascii="Arial" w:cs="Arial" w:eastAsia="Arial" w:hAnsi="Arial"/>
                <w:sz w:val="18"/>
                <w:szCs w:val="18"/>
                <w:color w:val="auto"/>
              </w:rPr>
              <w:t>2,597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Great Lakes Dredge &amp; Dock Corporation</w:t>
            </w: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(1,390)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$ 4,698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8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$0 and $0 for the three months ended September 30, 2012 and 2011, respectively, and $(3) and $0 for nine months ended September 30, 2012 and 2011, respectively.</w:t>
      </w:r>
    </w:p>
    <w:p>
      <w:pPr>
        <w:ind w:left="460" w:right="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$56 and $295 for the three months ended September 30, 2012 and 2011, respectively, and $231 and $830 for the nine months ended September 30, 2012 and 2011, respectively.</w:t>
      </w:r>
    </w:p>
    <w:p>
      <w:pPr>
        <w:ind w:left="460" w:right="16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$549 and $(246) for the three months ended September 30, 2012 and 2011, respectively, and $(132) and $(313) for the nine months ended September 30, 2012 and 2011, respectively.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000" w:type="dxa"/>
            <w:vAlign w:val="bottom"/>
            <w:tcBorders>
              <w:bottom w:val="single" w:sz="8" w:color="auto"/>
            </w:tcBorders>
            <w:gridSpan w:val="11"/>
          </w:tcPr>
          <w:p>
            <w:pPr>
              <w:ind w:left="760"/>
              <w:spacing w:after="0"/>
              <w:rPr>
                <w:sz w:val="20"/>
                <w:szCs w:val="20"/>
                <w:color w:val="auto"/>
              </w:rPr>
            </w:pPr>
            <w:r>
              <w:rPr>
                <w:rFonts w:ascii="Arial" w:cs="Arial" w:eastAsia="Arial" w:hAnsi="Arial"/>
                <w:sz w:val="14"/>
                <w:szCs w:val="14"/>
                <w:b w:val="1"/>
                <w:bCs w:val="1"/>
                <w:color w:val="auto"/>
                <w:w w:val="89"/>
              </w:rPr>
              <w:t>Great Lakes Dredge &amp; Dock Corporation shareholders</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Retained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58,999,404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$267,918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$24,042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568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145,349</w:t>
            </w:r>
          </w:p>
        </w:tc>
        <w:tc>
          <w:tcPr>
            <w:tcW w:w="10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Vesting of restricted stock units, including impact of</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81,640</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(3,726)</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Distributions paid to noncontrolling interests</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3,373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59,274,393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270,434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23,650</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209</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00" w:type="dxa"/>
            <w:vAlign w:val="bottom"/>
            <w:tcBorders>
              <w:bottom w:val="single" w:sz="8" w:color="auto"/>
            </w:tcBorders>
            <w:gridSpan w:val="11"/>
          </w:tcPr>
          <w:p>
            <w:pPr>
              <w:ind w:left="760"/>
              <w:spacing w:after="0"/>
              <w:rPr>
                <w:sz w:val="20"/>
                <w:szCs w:val="20"/>
                <w:color w:val="auto"/>
              </w:rPr>
            </w:pPr>
            <w:r>
              <w:rPr>
                <w:rFonts w:ascii="Arial" w:cs="Arial" w:eastAsia="Arial" w:hAnsi="Arial"/>
                <w:sz w:val="14"/>
                <w:szCs w:val="14"/>
                <w:b w:val="1"/>
                <w:bCs w:val="1"/>
                <w:color w:val="auto"/>
                <w:w w:val="89"/>
              </w:rPr>
              <w:t>Great Lakes Dredge &amp; Dock Corporation shareholders</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Retained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58,770,369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$266,329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$12,261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357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77,369</w:t>
            </w:r>
          </w:p>
        </w:tc>
        <w:tc>
          <w:tcPr>
            <w:tcW w:w="10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Vesting of restricted stock units, including impact of</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106,428</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w w:val="98"/>
              </w:rPr>
              <w:t>Acquisition of noncontrolling interest in NASDI, LLC</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1,973</w:t>
            </w: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(3,473)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9,700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525</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58,960,444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18,468</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370</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used in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26,637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loss of joint ventures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Loss on extinguishment of 7 3/4% senior subordinated notes</w:t>
            </w: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adjustment of contingent earnout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currency loss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(33,545)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(10,616)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(16,027)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7,189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420"/>
              <w:spacing w:after="0"/>
              <w:rPr>
                <w:sz w:val="20"/>
                <w:szCs w:val="20"/>
                <w:color w:val="auto"/>
              </w:rPr>
            </w:pPr>
            <w:r>
              <w:rPr>
                <w:rFonts w:ascii="Arial" w:cs="Arial" w:eastAsia="Arial" w:hAnsi="Arial"/>
                <w:sz w:val="18"/>
                <w:szCs w:val="18"/>
                <w:color w:val="auto"/>
              </w:rPr>
              <w:t>Net cash flows provided by (used in) by operating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(39,210)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(30,015)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(29,452)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Senior subordinated notes redemption premium</w:t>
            </w: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Distributions paid to minority interests</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Dividend equivalents paid on restricted stock units</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62,791</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(74,964)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113,288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107,050</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7,693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on capital leases and equipment notes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Acquisition of noncontrolling interest in NASDI, LLC</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2011.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2012, and its results of operations for the three and nine months ended September 30, 2012 and 2011 and cash flows for the nine months ended September 30, 2012 and 2011 have been included.</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25%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0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 operates in two reportable segments: dredging and demolition. These reportable segments are the Company’s operating segments and the reporting units at which the Company tests goodwill for impairment. The Company performed its most recent annual test of impairment as of July 1, 2012 for the goodwill in both the dredging and demolition segments with no indication of goodwill impairment as of the test date. The Company will perform its next scheduled annual test of goodwill in the third quarter of 2013.</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nine months ended September 30, 2012 and the three and nine months ended September 30, 2011, zero options to purchase shares of common stock were excluded from the calculation of diluted earnings per share based on the application of the treasury stock method. In addition, and in accordance with the treasury stock method, 462 thousand shares of potentially dilutive stock options and restricted stock units were excluded from the diluted weighted-average common shares outstanding for the three months ended September 30, 2012, as the Company incurred a loss during this period. The impact of such shares would have been antidilutive. The computations for basic and diluted earnings per share from continuing operations are as follows: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7200" w:type="dxa"/>
            <w:vAlign w:val="bottom"/>
            <w:gridSpan w:val="3"/>
          </w:tcPr>
          <w:p>
            <w:pPr>
              <w:ind w:left="460"/>
              <w:spacing w:after="0"/>
              <w:rPr>
                <w:sz w:val="20"/>
                <w:szCs w:val="20"/>
                <w:color w:val="auto"/>
              </w:rPr>
            </w:pPr>
            <w:r>
              <w:rPr>
                <w:rFonts w:ascii="Arial" w:cs="Arial" w:eastAsia="Arial" w:hAnsi="Arial"/>
                <w:sz w:val="14"/>
                <w:szCs w:val="14"/>
                <w:b w:val="1"/>
                <w:bCs w:val="1"/>
                <w:color w:val="auto"/>
              </w:rPr>
              <w:t>(shares in thousands)</w:t>
            </w:r>
          </w:p>
        </w:tc>
        <w:tc>
          <w:tcPr>
            <w:tcW w:w="100" w:type="dxa"/>
            <w:vAlign w:val="bottom"/>
          </w:tcPr>
          <w:p>
            <w:pPr>
              <w:spacing w:after="0"/>
              <w:rPr>
                <w:sz w:val="14"/>
                <w:szCs w:val="14"/>
                <w:color w:val="auto"/>
              </w:rPr>
            </w:pPr>
          </w:p>
        </w:tc>
        <w:tc>
          <w:tcPr>
            <w:tcW w:w="1700" w:type="dxa"/>
            <w:vAlign w:val="bottom"/>
            <w:gridSpan w:val="8"/>
          </w:tcPr>
          <w:p>
            <w:pPr>
              <w:ind w:left="3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674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w w:val="97"/>
              </w:rPr>
              <w:t>Net income (loss) attributable to common shareholders of Great Lakes Dredge &amp; Dock</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5"/>
              </w:rPr>
              <w:t>$ (2,132)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322"/>
        </w:trPr>
        <w:tc>
          <w:tcPr>
            <w:tcW w:w="7200" w:type="dxa"/>
            <w:vAlign w:val="bottom"/>
            <w:gridSpan w:val="3"/>
          </w:tcPr>
          <w:p>
            <w:pPr>
              <w:ind w:left="460"/>
              <w:spacing w:after="0"/>
              <w:rPr>
                <w:sz w:val="20"/>
                <w:szCs w:val="20"/>
                <w:color w:val="auto"/>
              </w:rPr>
            </w:pPr>
            <w:r>
              <w:rPr>
                <w:rFonts w:ascii="Arial" w:cs="Arial" w:eastAsia="Arial" w:hAnsi="Arial"/>
                <w:sz w:val="18"/>
                <w:szCs w:val="18"/>
                <w:color w:val="auto"/>
              </w:rPr>
              <w:t>Weighted-average common shares outstanding — basic</w:t>
            </w:r>
          </w:p>
        </w:tc>
        <w:tc>
          <w:tcPr>
            <w:tcW w:w="10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83"/>
              </w:rPr>
              <w:t>59,253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58,930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59,154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58,863</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ind w:left="460"/>
              <w:spacing w:after="0"/>
              <w:rPr>
                <w:sz w:val="20"/>
                <w:szCs w:val="20"/>
                <w:color w:val="auto"/>
              </w:rPr>
            </w:pPr>
            <w:r>
              <w:rPr>
                <w:rFonts w:ascii="Arial" w:cs="Arial" w:eastAsia="Arial" w:hAnsi="Arial"/>
                <w:sz w:val="18"/>
                <w:szCs w:val="18"/>
                <w:color w:val="auto"/>
              </w:rPr>
              <w:t>Weighted-average common shares outstanding — diluted</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83"/>
              </w:rPr>
              <w:t>59,253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59,161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59,567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59,533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Earnings (loss) per share —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(0.04)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451"/>
        </w:trPr>
        <w:tc>
          <w:tcPr>
            <w:tcW w:w="7200" w:type="dxa"/>
            <w:vAlign w:val="bottom"/>
            <w:gridSpan w:val="3"/>
          </w:tcPr>
          <w:p>
            <w:pPr>
              <w:ind w:left="460"/>
              <w:spacing w:after="0"/>
              <w:rPr>
                <w:sz w:val="20"/>
                <w:szCs w:val="20"/>
                <w:color w:val="auto"/>
              </w:rPr>
            </w:pPr>
            <w:r>
              <w:rPr>
                <w:rFonts w:ascii="Arial" w:cs="Arial" w:eastAsia="Arial" w:hAnsi="Arial"/>
                <w:sz w:val="18"/>
                <w:szCs w:val="18"/>
                <w:b w:val="1"/>
                <w:bCs w:val="1"/>
                <w:color w:val="auto"/>
              </w:rPr>
              <w:t>3. Accounts receivable and contracts in progress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0" w:type="dxa"/>
            <w:vAlign w:val="bottom"/>
            <w:gridSpan w:val="3"/>
          </w:tcPr>
          <w:p>
            <w:pPr>
              <w:jc w:val="right"/>
              <w:ind w:right="1272"/>
              <w:spacing w:after="0"/>
              <w:rPr>
                <w:sz w:val="20"/>
                <w:szCs w:val="20"/>
                <w:color w:val="auto"/>
              </w:rPr>
            </w:pPr>
            <w:r>
              <w:rPr>
                <w:rFonts w:ascii="Arial" w:cs="Arial" w:eastAsia="Arial" w:hAnsi="Arial"/>
                <w:sz w:val="18"/>
                <w:szCs w:val="18"/>
                <w:color w:val="auto"/>
                <w:w w:val="87"/>
              </w:rPr>
              <w:t>Accounts receivable at September 30, 2012 and December 31, 2011 are as follows: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8"/>
          </w:tcPr>
          <w:p>
            <w:pPr>
              <w:ind w:left="36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83"/>
              </w:rPr>
              <w:t>2011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38,317</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Contracts in progress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94,671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69,469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20,692</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143,578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128,478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740" w:type="dxa"/>
            <w:vAlign w:val="bottom"/>
            <w:gridSpan w:val="2"/>
            <w:vMerge w:val="restart"/>
          </w:tcPr>
          <w:p>
            <w:pPr>
              <w:ind w:left="920"/>
              <w:spacing w:after="0"/>
              <w:rPr>
                <w:sz w:val="20"/>
                <w:szCs w:val="20"/>
                <w:color w:val="auto"/>
              </w:rPr>
            </w:pPr>
            <w:r>
              <w:rPr>
                <w:rFonts w:ascii="Arial" w:cs="Arial" w:eastAsia="Arial" w:hAnsi="Arial"/>
                <w:sz w:val="18"/>
                <w:szCs w:val="18"/>
                <w:color w:val="auto"/>
              </w:rPr>
              <w:t>Total accounts receivable—net</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142,828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126,639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134,244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120,268</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8,584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142,828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126,639</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jc w:val="right"/>
              <w:ind w:right="135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September 30,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60" w:type="dxa"/>
            <w:vAlign w:val="bottom"/>
            <w:gridSpan w:val="4"/>
          </w:tcPr>
          <w:p>
            <w:pPr>
              <w:ind w:left="90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333,058</w:t>
            </w:r>
          </w:p>
        </w:tc>
        <w:tc>
          <w:tcPr>
            <w:tcW w:w="3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(274,273)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(152,045)</w:t>
            </w:r>
          </w:p>
        </w:tc>
        <w:tc>
          <w:tcPr>
            <w:tcW w:w="0" w:type="dxa"/>
            <w:vAlign w:val="bottom"/>
          </w:tcPr>
          <w:p>
            <w:pPr>
              <w:spacing w:after="0"/>
              <w:rPr>
                <w:sz w:val="1"/>
                <w:szCs w:val="1"/>
                <w:color w:val="auto"/>
              </w:rPr>
            </w:pPr>
          </w:p>
        </w:tc>
      </w:tr>
      <w:tr>
        <w:trPr>
          <w:trHeight w:val="221"/>
        </w:trPr>
        <w:tc>
          <w:tcPr>
            <w:tcW w:w="540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62,146</w:t>
            </w:r>
          </w:p>
        </w:tc>
        <w:tc>
          <w:tcPr>
            <w:tcW w:w="34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Portion included in other noncurrent assets</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 revenues in excess of billings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Billings in excess of costs and earnings:</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(451,568)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(427,797)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430,751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414,170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in excess of contract revenues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(20,817)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September 30, 2012 and December 31, 2011, the Company held certain derivative contracts that it uses to manage foreign currency risk, commodity price risk and interest rate risk. The Company does not hold or issue derivatives for speculative or trading purposes. The fair values of these financial instruments are summarized as follows: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w w:val="89"/>
              </w:rPr>
              <w:t>Fair Value Measurements at Reporting Date Using</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800" w:type="dxa"/>
            <w:vAlign w:val="bottom"/>
          </w:tcPr>
          <w:p>
            <w:pPr>
              <w:spacing w:after="0"/>
              <w:rPr>
                <w:sz w:val="12"/>
                <w:szCs w:val="12"/>
                <w:color w:val="auto"/>
              </w:rPr>
            </w:pPr>
          </w:p>
        </w:tc>
        <w:tc>
          <w:tcPr>
            <w:tcW w:w="18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9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At September 30,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0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96"/>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7"/>
              </w:rPr>
              <w:t>(Level 1)</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4"/>
                <w:szCs w:val="14"/>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0"/>
        </w:trPr>
        <w:tc>
          <w:tcPr>
            <w:tcW w:w="3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w w:val="89"/>
              </w:rPr>
              <w:t>Fair Value Measurements at Reporting Date Using</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800" w:type="dxa"/>
            <w:vAlign w:val="bottom"/>
          </w:tcPr>
          <w:p>
            <w:pPr>
              <w:spacing w:after="0"/>
              <w:rPr>
                <w:sz w:val="12"/>
                <w:szCs w:val="12"/>
                <w:color w:val="auto"/>
              </w:rPr>
            </w:pPr>
          </w:p>
        </w:tc>
        <w:tc>
          <w:tcPr>
            <w:tcW w:w="18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9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At December 31,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0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96"/>
              <w:spacing w:after="0" w:line="148" w:lineRule="exact"/>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7"/>
              </w:rPr>
              <w:t>(Level 1)</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4"/>
                <w:szCs w:val="14"/>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1,359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 in place. The swaps are not accounted for as a hedge; therefore, the changes in fair value are recorded as adjustments to interest expense in each reporting period.</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previously verified the fair value of the interest rate swap contracts using a quantitative model that contained both observable and unobservable inputs. The unobservable inputs related primarily to the implied LIBOR forward rate and the long-term nature of the contracts. As of December 31, 2011, the unobservable inputs began to be corroborated by observable market data and accordingly the Company transferred the swaps into Level 2 of the fair value hierarchy. The change in Level 3 interest rate swap contracts during the comparable quarter of the prior year was as follows:</w:t>
      </w:r>
    </w:p>
    <w:p>
      <w:pPr>
        <w:spacing w:after="0" w:line="13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4180" w:type="dxa"/>
            <w:vAlign w:val="bottom"/>
            <w:gridSpan w:val="4"/>
          </w:tcPr>
          <w:p>
            <w:pPr>
              <w:ind w:left="1560"/>
              <w:spacing w:after="0"/>
              <w:rPr>
                <w:sz w:val="20"/>
                <w:szCs w:val="20"/>
                <w:color w:val="auto"/>
              </w:rPr>
            </w:pPr>
            <w:r>
              <w:rPr>
                <w:rFonts w:ascii="Arial" w:cs="Arial" w:eastAsia="Arial" w:hAnsi="Arial"/>
                <w:sz w:val="14"/>
                <w:szCs w:val="14"/>
                <w:b w:val="1"/>
                <w:bCs w:val="1"/>
                <w:color w:val="auto"/>
                <w:w w:val="90"/>
              </w:rPr>
              <w:t>Fair Value Measurements Using Significant</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Unobservable Inputs (Level 3)</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80" w:type="dxa"/>
            <w:vAlign w:val="bottom"/>
            <w:tcBorders>
              <w:top w:val="single" w:sz="8" w:color="auto"/>
              <w:bottom w:val="single" w:sz="8" w:color="auto"/>
            </w:tcBorders>
          </w:tcPr>
          <w:p>
            <w:pPr>
              <w:jc w:val="right"/>
              <w:ind w:right="10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 contracts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Balance at January 1</w:t>
            </w: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unrealized gains (losses) included in</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September 30</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440"/>
              <w:spacing w:after="0"/>
              <w:rPr>
                <w:sz w:val="20"/>
                <w:szCs w:val="20"/>
                <w:color w:val="auto"/>
              </w:rPr>
            </w:pPr>
            <w:r>
              <w:rPr>
                <w:rFonts w:ascii="Arial" w:cs="Arial" w:eastAsia="Arial" w:hAnsi="Arial"/>
                <w:sz w:val="18"/>
                <w:szCs w:val="18"/>
                <w:color w:val="auto"/>
              </w:rPr>
              <w:t>Balance at July 1</w:t>
            </w: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unrealized gains (losses) included in</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September 30</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September 30, 2012 and December 31, 2011, the Company had one outstanding contract related to the Brazilian Real. This foreign exchange contract is not accounted for as a hedge.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September 30, 2012, the Company was party to various swap arrangements to hedge the price of a portion of its diesel fuel purchase requirements for work in its backlog to be performed through March 2013. As of September 30, 2012, there were 5.0 million gallons remaining on these contracts which represent approximately 80% of the Company’s forecasted fuel purchases through March 2013. Under these swap agreements, the Company will pay fixed prices ranging from $2.86 to $3.29 per gallon.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condensed consolidated balance sheets. Gains and losses realized upon settlement of fuel hedge contracts are reclassified from accumulated other comprehensive income (loss) as the fuel is utilized and included in fuel expense, which is a component of costs of contract revenues in the condensed consolidated statements of operations.</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September 30, 2012, the fair value liability of the fuel hedge contracts was estimated to be $459 and is recorded in accrued expenses. At December 31, 2011 the fair value asset of the fuel hedge contracts was estimated to be $449 and is recorded in other current assets. The loss reclassified to earnings from changes in fair value of derivatives, net of cash settlements and taxes, for the nine months ended September 30, 2012 was $348. The remaining gains and losses included in accumulated other comprehensive income (loss) at September 30, 2012 will be reclassified into earnings over the next six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2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fair value of the foreign exchange contracts, interest rate and fuel hedge contracts outstanding as of September 30, 2012 and December 31, 2011 is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Fair Value at</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2"/>
              </w:rPr>
              <w:t>Balance Sheet Location</w:t>
            </w:r>
          </w:p>
        </w:tc>
        <w:tc>
          <w:tcPr>
            <w:tcW w:w="480" w:type="dxa"/>
            <w:vAlign w:val="bottom"/>
          </w:tcPr>
          <w:p>
            <w:pPr>
              <w:spacing w:after="0"/>
              <w:rPr>
                <w:sz w:val="12"/>
                <w:szCs w:val="12"/>
                <w:color w:val="auto"/>
              </w:rPr>
            </w:pPr>
          </w:p>
        </w:tc>
        <w:tc>
          <w:tcPr>
            <w:tcW w:w="8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83"/>
              </w:rPr>
              <w:t>September 30,</w:t>
            </w:r>
          </w:p>
        </w:tc>
        <w:tc>
          <w:tcPr>
            <w:tcW w:w="1380" w:type="dxa"/>
            <w:vAlign w:val="bottom"/>
            <w:gridSpan w:val="3"/>
          </w:tcPr>
          <w:p>
            <w:pPr>
              <w:ind w:left="580"/>
              <w:spacing w:after="0" w:line="143"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6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Derivatives designated as hedges</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Fuel hedge contracts</w:t>
            </w:r>
          </w:p>
        </w:tc>
        <w:tc>
          <w:tcPr>
            <w:tcW w:w="2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5"/>
              </w:rPr>
              <w:t>Other current assets</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Derivatives not designated as hedges</w:t>
            </w: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Interest rate swaps</w:t>
            </w:r>
          </w:p>
        </w:tc>
        <w:tc>
          <w:tcPr>
            <w:tcW w:w="2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5"/>
              </w:rPr>
              <w:t>Other current assets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430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840"/>
              <w:spacing w:after="0"/>
              <w:rPr>
                <w:sz w:val="20"/>
                <w:szCs w:val="20"/>
                <w:color w:val="auto"/>
              </w:rPr>
            </w:pPr>
            <w:r>
              <w:rPr>
                <w:rFonts w:ascii="Arial" w:cs="Arial" w:eastAsia="Arial" w:hAnsi="Arial"/>
                <w:sz w:val="18"/>
                <w:szCs w:val="18"/>
                <w:color w:val="auto"/>
              </w:rPr>
              <w:t>Foreign exchange contracts</w:t>
            </w:r>
          </w:p>
        </w:tc>
        <w:tc>
          <w:tcPr>
            <w:tcW w:w="2220" w:type="dxa"/>
            <w:vAlign w:val="bottom"/>
            <w:gridSpan w:val="2"/>
          </w:tcPr>
          <w:p>
            <w:pPr>
              <w:ind w:left="640"/>
              <w:spacing w:after="0"/>
              <w:rPr>
                <w:sz w:val="20"/>
                <w:szCs w:val="20"/>
                <w:color w:val="auto"/>
              </w:rPr>
            </w:pPr>
            <w:r>
              <w:rPr>
                <w:rFonts w:ascii="Arial" w:cs="Arial" w:eastAsia="Arial" w:hAnsi="Arial"/>
                <w:sz w:val="18"/>
                <w:szCs w:val="18"/>
                <w:color w:val="auto"/>
                <w:w w:val="95"/>
              </w:rPr>
              <w:t>Other current assets</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asset derivatives</w:t>
            </w: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430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Liability derivatives:</w:t>
            </w: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Derivatives designated as hedges</w:t>
            </w: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840"/>
              <w:spacing w:after="0"/>
              <w:rPr>
                <w:sz w:val="20"/>
                <w:szCs w:val="20"/>
                <w:color w:val="auto"/>
              </w:rPr>
            </w:pPr>
            <w:r>
              <w:rPr>
                <w:rFonts w:ascii="Arial" w:cs="Arial" w:eastAsia="Arial" w:hAnsi="Arial"/>
                <w:sz w:val="18"/>
                <w:szCs w:val="18"/>
                <w:color w:val="auto"/>
              </w:rPr>
              <w:t>Fuel hedge contracts</w:t>
            </w:r>
          </w:p>
        </w:tc>
        <w:tc>
          <w:tcPr>
            <w:tcW w:w="2220" w:type="dxa"/>
            <w:vAlign w:val="bottom"/>
            <w:gridSpan w:val="2"/>
          </w:tcPr>
          <w:p>
            <w:pPr>
              <w:ind w:left="640"/>
              <w:spacing w:after="0"/>
              <w:rPr>
                <w:sz w:val="20"/>
                <w:szCs w:val="20"/>
                <w:color w:val="auto"/>
              </w:rPr>
            </w:pPr>
            <w:r>
              <w:rPr>
                <w:rFonts w:ascii="Arial" w:cs="Arial" w:eastAsia="Arial" w:hAnsi="Arial"/>
                <w:sz w:val="18"/>
                <w:szCs w:val="18"/>
                <w:color w:val="auto"/>
              </w:rPr>
              <w:t>Accrued expenses</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459</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Derivatives not designated as hedges</w:t>
            </w: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840"/>
              <w:spacing w:after="0"/>
              <w:rPr>
                <w:sz w:val="20"/>
                <w:szCs w:val="20"/>
                <w:color w:val="auto"/>
              </w:rPr>
            </w:pPr>
            <w:r>
              <w:rPr>
                <w:rFonts w:ascii="Arial" w:cs="Arial" w:eastAsia="Arial" w:hAnsi="Arial"/>
                <w:sz w:val="18"/>
                <w:szCs w:val="18"/>
                <w:color w:val="auto"/>
              </w:rPr>
              <w:t>Foreign exchange contracts</w:t>
            </w:r>
          </w:p>
        </w:tc>
        <w:tc>
          <w:tcPr>
            <w:tcW w:w="2220" w:type="dxa"/>
            <w:vAlign w:val="bottom"/>
            <w:gridSpan w:val="2"/>
          </w:tcPr>
          <w:p>
            <w:pPr>
              <w:ind w:left="64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13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liability derivatives</w:t>
            </w: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472</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In January 2011, the Company issued $250,000 of 7.375% senior notes due February 1, 2019, which were outstanding at September 30, 2012. The senior notes are senior unsecured obligations of the Company and its subsidiaries that guarantee the senior notes. The fair value of the senior notes was $263,750 at September 30, 2012, which is a Level 1 fair value measurement as the senior notes value was obtained using quoted prices in active markets.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September 30,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Fuel hedge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23,905</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party thereto as lenders, Wells Fargo Bank, National Association, as Administrative Agent, Swingline Lender and an Issuing Lender, Bank of America,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and PNC Bank, National Association, BMO Harris Bank N.A. and Fifth Third Bank, as Co-Documentation Agents.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replaced the Company’s former revolving credit agreement, provides for a senior revolving credit facility in an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$175,000, subfacilities for the issuance of standby letters of credit up to a $125,000 sublimit, multicurrency borrowings up to a $50,000 sublimit and swingline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up to a $10,000 sublimit. The Credit Agreement also includes an incremental loans feature that will allow the Company to increase the senior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by an aggregate principal amount of up to $50,000. This is subject to lenders providing incremental commitments for such increase, provided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default or event of default exists, and the Company will be in pro forma compliance with the existing financial covenants both before and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and subject to other standard conditions. The prior credit agreement with Bank of America N.A. was terminated.</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revolving credit facility is an unsecured facility and will remain unsecured provided the Company maintains a total leverage ratio less than or equal to 3.75 to 1.00 as of the end of each fiscal quarter. If the leverage ratio exceeds 3.75 to 1.00, or an event of default occurs and is not cured within the applicable grace period, the revolving credit facility will cease to remain unsecured. In the event of the facility becomes secured, outstanding obligations shall be automatically secured by certain vessels and all domestic accounts receivable, subject to the liens and interests of other parties (including the Company’s bonding provider) holding first priority perfected liens.</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At September 30, 2012 the Company was in compliance with its debt covenants.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Share-based compensation</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June 2012, the Company granted 497 thousand options to purchase shares of common stock and 273 thousand restricted stock units to certain employees pursuant to the plan. In addition, all non-employee directors on the Company’s board of directors are paid a portion of their board related compensation in stock grants. Compensation cost charged to expense related to share-based compensation arrangements was $675 and $2,389, respectively, for the three and nine months ended September 30, 2012 and $381 and $1,224, respectively, for the three and nine months ended September 30,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Segment information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138,811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134,591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395,944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45,008</w:t>
            </w:r>
          </w:p>
        </w:tc>
        <w:tc>
          <w:tcPr>
            <w:tcW w:w="0" w:type="dxa"/>
            <w:vAlign w:val="bottom"/>
          </w:tcPr>
          <w:p>
            <w:pPr>
              <w:spacing w:after="0"/>
              <w:rPr>
                <w:sz w:val="1"/>
                <w:szCs w:val="1"/>
                <w:color w:val="auto"/>
              </w:rPr>
            </w:pPr>
          </w:p>
        </w:tc>
      </w:tr>
      <w:tr>
        <w:trPr>
          <w:trHeight w:val="3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Demolition</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1,193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166,763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158,468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488,202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Dredging contract revenues for the nine months ended September 30, 2012 are net of $1,374 in intersegment revenues. Demolition contract revenues for the nine months ended September 30, 2012 are net of $75 in intersegment revenues. In addition, foreign dredging revenue of $36,329 and $75,202 for the three and nine months ended September 30, 2012 and $21,843 and $59,779 for the three and nine months ended September 30, 2011, respectively, was primarily attributable to work done in the Middle East as well as the early stages of mobilization for the Wheatstone LNG project in Western Australia.</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ind w:left="240" w:right="8260" w:firstLine="224"/>
        <w:spacing w:after="0" w:line="417" w:lineRule="auto"/>
        <w:tabs>
          <w:tab w:leader="none" w:pos="64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As of September 30, 2012, the Company had no borrowings and $33,252 of letters of credit outstanding, resulting in $141,748 of availability under the Credit Agreement. At September 30, 2012, the Company was in compliance with its various covenants under its Credit Agreement.</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Performance and bid bonds are customarily required for dredging and marine construction projects, as well as some demolition projects. In September 2011, the Company entered into a bonding agreement with Zurich American Insurance Company (“Zurich”) under which the Company can obtain performance, bid and payment bonds. Bid bonds are generally obtained for a percentage of bid value and amounts outstanding typically range from $1,000 to $10,000. At September 30, 2012, the Company had outstanding performance bonds valued at approximately $457,924; however, the revenue value remaining in backlog related to these projects totaled approximately $133,252.</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September 30, 2012, Great Lakes had no of letters of credit outstanding under this facility. At September 30, 2012, the Company also had $250,000 of 7.375% senior notes outstanding, which mature in February 2019.</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or its former subsidiary, NATCO Limited Partnership, was named as a defendant in approximately 251 asbestos-related personal injury lawsuits, the majority of which were filed between 1989 and 2000. The claims were filed on behalf of seamen or their personal representatives alleging injury or illness from exposure to asbestos while employed as seamen on Company-owned vessels. In these cases, the Company is typically one of many defendants, including manufacturers and suppliers of products containing asbestos, as well as other vessel owners. Following certain administrative proceedings, counsel for plaintiffs agreed to name a group of cases that they intended to pursue and to dismiss the remaining cases without prejudice. Plaintiffs previously named 40 cases against the Company that they intended to pursue, each of which involves one plaintiff. The remaining cases against the Company were dismissed without prejudice. Plaintiffs in the dismissed cases could file a new lawsuit if they develop a new disease allegedly caused by exposure to asbestos on board our vessels. Of the 40 named cases, three were subsequently dismissed, leaving 37 cases remaining. The Company is presently unable to quantify the amounts of damages being sought in the remaining lawsuits because none of the complaints specify a damage amount. Based on preliminary discovery and settlement demands received to date, the Company does not believe that it is probable that losses from these claims could be material, and an estimate of a range of losses relating to these claims cannot reasonably be made. Based on the foregoing, management does not believe that any of the remaining 37 lawsuits, individually or in the aggregate, will have a material impact on our business, financial position, results of operations or cash flows.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not accrued any amounts with respect to these two NASDI matters as the Company does not believe, based on information currently known to it, that a loss relating to these matters is probable, and an estimate of a range of potential losses relating to these matters cannot reasonably be made.</w:t>
      </w:r>
    </w:p>
    <w:p>
      <w:pPr>
        <w:spacing w:after="0" w:line="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During the quarter ended March 31, 2012, a favorable judgment was rendered in the Company’s loss of use claim related to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allision in the approach channel to Port Newark, New Jersey. In January 2008, the Company filed suit against the M/V </w:t>
      </w:r>
      <w:r>
        <w:rPr>
          <w:rFonts w:ascii="Arial" w:cs="Arial" w:eastAsia="Arial" w:hAnsi="Arial"/>
          <w:sz w:val="18"/>
          <w:szCs w:val="18"/>
          <w:i w:val="1"/>
          <w:iCs w:val="1"/>
          <w:color w:val="auto"/>
        </w:rPr>
        <w:t>Orange Sun</w:t>
      </w:r>
      <w:r>
        <w:rPr>
          <w:rFonts w:ascii="Arial" w:cs="Arial" w:eastAsia="Arial" w:hAnsi="Arial"/>
          <w:sz w:val="18"/>
          <w:szCs w:val="18"/>
          <w:color w:val="auto"/>
        </w:rPr>
        <w:t xml:space="preserve"> and her owners for damages incurred by the Company in connection with the allision. Following a bench trial in the United States District Court in the Southern District of New York, the Court issued an opinion and order in the Company’s favor, entitling Great Lakes to $11,736 in damages plus pre-judgment interest. Judgment was rendered in the aggregate amount of $13,272. Defendants timely appealed the judgment to the United States Court of Appeals for the Second Circuit. Briefing on the appeal is now complete, and oral argument is expected to take place in the first half of 2013. The Company cannot be assured when the appeal will be heard or predict the outcome of the appellate process.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Acquisition of noncontrolling interest</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 previously owned 65% of the profits interests of NASDI. Effective January 1, 2011 the Company reacquired Mr. Christopher Berardi’s 35% membership interest in NASDI for no cost per the terms of NASDI’s limited liability company agreement. This resulted in the elimination of noncontrolling interest of $1,973 during the first quarter ended March 31, 2011. The Company now owns 100% of NASDI.</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Subsidiary guarantors</w:t>
      </w:r>
    </w:p>
    <w:p>
      <w:pPr>
        <w:spacing w:after="0" w:line="9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Company’s long-term debt at September 30, 2012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6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balance sheets as of September 30, 2012 and December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for the three and nine months ended September 30, 2012 and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cash flows for the nine months ended September 30, 2012 and 2011.</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SEPTEMBER 30,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GLDD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gridSpan w:val="4"/>
          </w:tcPr>
          <w:p>
            <w:pPr>
              <w:ind w:left="9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133,369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(87,682)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36,511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382,456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322,224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313,338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313,383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649,387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(652,746)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11,351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853,251</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10,141</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673,995</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(740,701)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796,686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(87,831)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196,390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25,291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(87,955)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139,328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7 3/8% SENIOR NOTES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205,044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380,243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502,934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648,207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4,539</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293,543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(652,746)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293,543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648,207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293,752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(652,746)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293,752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853,251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673,995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(740,701)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796,686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GLDD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gridSpan w:val="4"/>
          </w:tcPr>
          <w:p>
            <w:pPr>
              <w:ind w:left="9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w w:val="81"/>
              </w:rPr>
              <w:t>Subsidiaries</w:t>
            </w:r>
          </w:p>
        </w:tc>
        <w:tc>
          <w:tcPr>
            <w:tcW w:w="3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118,530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382,876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310,459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310,520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627,754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843,949</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14,501</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699,355</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206,921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7 3/4% SENIOR SUBORDINATED NOTES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217,606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291,969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291,969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292,537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843,949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699,355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2012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165,999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(1,536)</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166,763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(153,011)</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Gain on sale of assets—net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(4,973)</w:t>
            </w:r>
          </w:p>
        </w:tc>
        <w:tc>
          <w:tcPr>
            <w:tcW w:w="18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(2,046)</w:t>
            </w:r>
          </w:p>
        </w:tc>
        <w:tc>
          <w:tcPr>
            <w:tcW w:w="1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1060"/>
              <w:spacing w:after="0"/>
              <w:rPr>
                <w:sz w:val="20"/>
                <w:szCs w:val="20"/>
                <w:color w:val="auto"/>
              </w:rPr>
            </w:pPr>
            <w:r>
              <w:rPr>
                <w:rFonts w:ascii="Arial" w:cs="Arial" w:eastAsia="Arial" w:hAnsi="Arial"/>
                <w:sz w:val="18"/>
                <w:szCs w:val="18"/>
                <w:color w:val="auto"/>
              </w:rPr>
              <w:t>Corporation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3,744</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2011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155,426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(127,306)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3,754</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27,391</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(5,060)</w:t>
            </w:r>
          </w:p>
        </w:tc>
        <w:tc>
          <w:tcPr>
            <w:tcW w:w="14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16,459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8,912</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16,094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5,659</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1060"/>
              <w:spacing w:after="0"/>
              <w:rPr>
                <w:sz w:val="20"/>
                <w:szCs w:val="20"/>
                <w:color w:val="auto"/>
              </w:rPr>
            </w:pPr>
            <w:r>
              <w:rPr>
                <w:rFonts w:ascii="Arial" w:cs="Arial" w:eastAsia="Arial" w:hAnsi="Arial"/>
                <w:sz w:val="18"/>
                <w:szCs w:val="18"/>
                <w:color w:val="auto"/>
              </w:rPr>
              <w:t>Corporation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(14,168)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NINE MONTHS ENDED SEPTEMBER 30, 2012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487,910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488,202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(430,493)</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6,058</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(431,271)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56,931</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34,149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(15,026)</w:t>
            </w:r>
          </w:p>
        </w:tc>
        <w:tc>
          <w:tcPr>
            <w:tcW w:w="14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22,282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(21,643)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22,420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(21,643)</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22,756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3,147</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(21,643)</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1060"/>
              <w:spacing w:after="0"/>
              <w:rPr>
                <w:sz w:val="20"/>
                <w:szCs w:val="20"/>
                <w:color w:val="auto"/>
              </w:rPr>
            </w:pPr>
            <w:r>
              <w:rPr>
                <w:rFonts w:ascii="Arial" w:cs="Arial" w:eastAsia="Arial" w:hAnsi="Arial"/>
                <w:sz w:val="18"/>
                <w:szCs w:val="18"/>
                <w:color w:val="auto"/>
              </w:rPr>
              <w:t>Corporation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22,756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3,373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(21,643)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(21,093)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460,688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(8,305)</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468,765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(387,094)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(15,377)</w:t>
            </w:r>
          </w:p>
        </w:tc>
        <w:tc>
          <w:tcPr>
            <w:tcW w:w="1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(394,166)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635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370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39,054</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8"/>
                <w:szCs w:val="18"/>
                <w:color w:val="auto"/>
              </w:rPr>
              <w:t>Interest expense—net</w:t>
            </w:r>
          </w:p>
        </w:tc>
        <w:tc>
          <w:tcPr>
            <w:tcW w:w="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(15,693)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(16,432)</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(5,145)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c>
          <w:tcPr>
            <w:tcW w:w="0" w:type="dxa"/>
            <w:vAlign w:val="bottom"/>
          </w:tcPr>
          <w:p>
            <w:pPr>
              <w:spacing w:after="0"/>
              <w:rPr>
                <w:sz w:val="1"/>
                <w:szCs w:val="1"/>
                <w:color w:val="auto"/>
              </w:rPr>
            </w:pPr>
          </w:p>
        </w:tc>
      </w:tr>
      <w:tr>
        <w:trPr>
          <w:trHeight w:val="323"/>
        </w:trPr>
        <w:tc>
          <w:tcPr>
            <w:tcW w:w="55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(9,463)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23"/>
        </w:trPr>
        <w:tc>
          <w:tcPr>
            <w:tcW w:w="5580" w:type="dxa"/>
            <w:vAlign w:val="bottom"/>
          </w:tcPr>
          <w:p>
            <w:pPr>
              <w:ind w:left="880"/>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8"/>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Net income (loss) attributable to Great Lakes Dredge &amp; Dock</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Corporation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44,212</w:t>
            </w:r>
          </w:p>
        </w:tc>
        <w:tc>
          <w:tcPr>
            <w:tcW w:w="2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192</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w w:val="95"/>
              </w:rPr>
              <w:t>Comprehensive income (loss) attributable to Great Lakes Dredge &amp; Dock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43,060</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w w:val="79"/>
              </w:rPr>
              <w:t>192</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8,548</w:t>
            </w:r>
          </w:p>
        </w:tc>
        <w:tc>
          <w:tcPr>
            <w:tcW w:w="2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(43,252)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8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458" w:lineRule="auto"/>
        <w:rPr>
          <w:sz w:val="20"/>
          <w:szCs w:val="20"/>
          <w:color w:val="auto"/>
        </w:rPr>
      </w:pPr>
      <w:r>
        <w:rPr>
          <w:rFonts w:ascii="Arial" w:cs="Arial" w:eastAsia="Arial" w:hAnsi="Arial"/>
          <w:sz w:val="16"/>
          <w:szCs w:val="16"/>
          <w:b w:val="1"/>
          <w:bCs w:val="1"/>
          <w:color w:val="auto"/>
        </w:rPr>
        <w:t>GREAT LAKES DREDGE &amp; DOCK CORPORATION AND SUBSIDIARIES CONDENSED CONSOLIDATING STATEMENT OF CASH FLOWS FOR THE NINE MONTHS ENDED SEPTEMBER 30, 2012</w:t>
      </w:r>
    </w:p>
    <w:p>
      <w:pPr>
        <w:spacing w:after="0"/>
        <w:rPr>
          <w:sz w:val="20"/>
          <w:szCs w:val="20"/>
          <w:color w:val="auto"/>
        </w:rPr>
      </w:pPr>
      <w:r>
        <w:rPr>
          <w:rFonts w:ascii="Arial" w:cs="Arial" w:eastAsia="Arial" w:hAnsi="Arial"/>
          <w:sz w:val="18"/>
          <w:szCs w:val="18"/>
          <w:b w:val="1"/>
          <w:b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Net cash flows provided by (used in) operating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(9,782)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(29,485)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(39,210)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(30,015)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(29,452)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(29,452)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Deferred financing fees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(2,039)</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paid to minority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(3,726)</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(31,092)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(31,594)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15"/>
        </w:trPr>
        <w:tc>
          <w:tcPr>
            <w:tcW w:w="538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(70,828)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(4,136)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(74,964)</w:t>
            </w:r>
          </w:p>
        </w:tc>
        <w:tc>
          <w:tcPr>
            <w:tcW w:w="0" w:type="dxa"/>
            <w:vAlign w:val="bottom"/>
          </w:tcPr>
          <w:p>
            <w:pPr>
              <w:spacing w:after="0"/>
              <w:rPr>
                <w:sz w:val="1"/>
                <w:szCs w:val="1"/>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108,985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113,288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38,157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167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458" w:lineRule="auto"/>
        <w:rPr>
          <w:sz w:val="20"/>
          <w:szCs w:val="20"/>
          <w:color w:val="auto"/>
        </w:rPr>
      </w:pPr>
      <w:r>
        <w:rPr>
          <w:rFonts w:ascii="Arial" w:cs="Arial" w:eastAsia="Arial" w:hAnsi="Arial"/>
          <w:sz w:val="16"/>
          <w:szCs w:val="16"/>
          <w:b w:val="1"/>
          <w:bCs w:val="1"/>
          <w:color w:val="auto"/>
        </w:rPr>
        <w:t>GREAT LAKES DREDGE &amp; DOCK CORPORATION AND SUBSIDIARIES CONDENSED CONSOLIDATING STATEMENT OF CASH FLOWS FOR THE NINE MONTHS ENDED SEPTEMBER 30, 2011</w:t>
      </w:r>
    </w:p>
    <w:p>
      <w:pPr>
        <w:spacing w:after="0"/>
        <w:rPr>
          <w:sz w:val="20"/>
          <w:szCs w:val="20"/>
          <w:color w:val="auto"/>
        </w:rPr>
      </w:pPr>
      <w:r>
        <w:rPr>
          <w:rFonts w:ascii="Arial" w:cs="Arial" w:eastAsia="Arial" w:hAnsi="Arial"/>
          <w:sz w:val="18"/>
          <w:szCs w:val="18"/>
          <w:b w:val="1"/>
          <w:b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6"/>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w w:val="99"/>
              </w:rPr>
              <w:t>Net cash flows provided by (used in) operating activities</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(640)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(26,984)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(24,894)</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(17,442)</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250,000</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(175,000)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Senior subordinated notes redemption premium</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fees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(3,473)</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Taxes paid on vested share awards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33,524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(36,081)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Capital contributions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3,205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860"/>
              <w:spacing w:after="0"/>
              <w:rPr>
                <w:sz w:val="20"/>
                <w:szCs w:val="20"/>
                <w:color w:val="auto"/>
              </w:rPr>
            </w:pPr>
            <w:r>
              <w:rPr>
                <w:rFonts w:ascii="Arial" w:cs="Arial" w:eastAsia="Arial" w:hAnsi="Arial"/>
                <w:sz w:val="18"/>
                <w:szCs w:val="18"/>
                <w:color w:val="auto"/>
              </w:rPr>
              <w:t>Net cash flows provided by financing activities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30,045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26,984</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62,791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foreign currency exchange rates on 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331"/>
        </w:trPr>
        <w:tc>
          <w:tcPr>
            <w:tcW w:w="53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w:t>
            </w: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gridSpan w:val="2"/>
          </w:tcPr>
          <w:p>
            <w:pPr>
              <w:ind w:left="340"/>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102,269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4,781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(the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associated with Great Lakes’ leverage, fixed price contracts, dependence on government contracts and funding, bonding requirement and obligations, international operations, backlog, severe weather related costs, uncertainty related to pending litigation, government regulation, restrictive debt covenants and fluctuations in quarterly operations, and those factors, risks and uncertainties that are described in Item 1A “Risk Factors” of the Company’s Annual Report on Form 10-K for the year ended December 31, 2011 and in other securities filings by Great Lakes with the SEC.</w:t>
      </w:r>
    </w:p>
    <w:p>
      <w:pPr>
        <w:spacing w:after="0" w:line="12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Great Lakes’ future financial condition, results of operations and cash flows,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19% of its dredging revenues for the first nine months of 2012, compared with the Company’s prior three year average of 17%. The mobility of the Company’s fleet enables the Company to move equipment in response to changes in demand for dredging services.</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beach nourishment and maintenance. The Company’s “bid market” is defined as the aggregate dollar value of domestic projects on which the Company bid or could have bid if not for capacity constraints. The Company experienced an average combined bid market share in the U.S. of 39% over the prior three years, including 41%, 60% and 32% of the domestic capital, beach nourishment and maintenance sectors, respectively. Rivers &amp; lakes bid market share during the prior year of ownership by the Company is 39%.</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largest domestic dredging customer is the U.S. Army Corps of Engineers (the “Corps”), which is responsible for federally funded projects related to navigation and flood control of U.S. waterways. In the first nine months of 2012, the Company’s dredging revenues earned from contracts with federal government agencies, including the Corps as well as other federal entities such as the U.S. Coast Guard and the U.S. Navy, and third parties operating under contracts with federal agencies, were approximately 72% of dredging revenues, above the Company’s prior three year average of 59%.</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demolition subsidiaries are a major U.S. provider of commercial and industrial demolition services. Historically, the majority of the work was performed in the New England area. Through increased collaboration with Great Lakes’ other lines of business, the demolition operations continue to expand into the New York area and marine demolition markets, specifically bridge demolition. In the first nine months of 2012, demolition revenues accounted for 19% of total revenues, above the prior three year average of 12%. The demolition segment’s principal services consist of exterior and interior demolition of commercial and industrial buildings, dismantling and disposal of aged or failing bridges, site development, salvage and recycling of related materials and removal of hazardous substances and materials. The Company’s demolition operations are one of a few providers in New England with the required licenses, operating expertise, equipment fleet and access to bonding to execute larger, complex industrial demolition projects.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 The Company operates in two reportable segments: dredging and demolition. These reportable segments are the Company’s operating segments and the reporting units at which the Company tests goodwill for impairment.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tables set forth the components of net income (loss) attributable to Great Lakes Dredge &amp; Dock Corporation and Adjusted EBITDA, as defined below, as a percentage of contract revenues for the three and nine months ended September 30,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1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14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(92.2)</w:t>
            </w: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(82.7)</w:t>
            </w: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(88.3)</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8"/>
                <w:szCs w:val="18"/>
                <w:color w:val="auto"/>
              </w:rPr>
            </w:pP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rPr>
              <w:t>8.0</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5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(3.1)</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(3.2)</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rPr>
              <w:t>0.4</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before income taxes</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Income tax provision</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(2.3)</w:t>
            </w: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(0.4)</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11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3.7 %</w:t>
            </w:r>
          </w:p>
        </w:tc>
        <w:tc>
          <w:tcPr>
            <w:tcW w:w="10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0.6 %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1100" w:type="dxa"/>
            <w:vAlign w:val="bottom"/>
            <w:gridSpan w:val="2"/>
          </w:tcPr>
          <w:p>
            <w:pPr>
              <w:jc w:val="right"/>
              <w:ind w:right="352"/>
              <w:spacing w:after="0"/>
              <w:rPr>
                <w:sz w:val="20"/>
                <w:szCs w:val="20"/>
                <w:color w:val="auto"/>
              </w:rPr>
            </w:pPr>
            <w:r>
              <w:rPr>
                <w:rFonts w:ascii="Arial" w:cs="Arial" w:eastAsia="Arial" w:hAnsi="Arial"/>
                <w:sz w:val="18"/>
                <w:szCs w:val="18"/>
                <w:color w:val="auto"/>
              </w:rPr>
              <w:t>7.3 %</w:t>
            </w:r>
          </w:p>
        </w:tc>
        <w:tc>
          <w:tcPr>
            <w:tcW w:w="1040" w:type="dxa"/>
            <w:vAlign w:val="bottom"/>
            <w:gridSpan w:val="2"/>
          </w:tcPr>
          <w:p>
            <w:pPr>
              <w:jc w:val="right"/>
              <w:ind w:right="312"/>
              <w:spacing w:after="0"/>
              <w:rPr>
                <w:sz w:val="20"/>
                <w:szCs w:val="20"/>
                <w:color w:val="auto"/>
              </w:rPr>
            </w:pPr>
            <w:r>
              <w:rPr>
                <w:rFonts w:ascii="Arial" w:cs="Arial" w:eastAsia="Arial" w:hAnsi="Arial"/>
                <w:sz w:val="18"/>
                <w:szCs w:val="18"/>
                <w:color w:val="auto"/>
              </w:rPr>
              <w:t>16.4 %</w:t>
            </w:r>
          </w:p>
        </w:tc>
        <w:tc>
          <w:tcPr>
            <w:tcW w:w="1040" w:type="dxa"/>
            <w:vAlign w:val="bottom"/>
            <w:gridSpan w:val="2"/>
          </w:tcPr>
          <w:p>
            <w:pPr>
              <w:jc w:val="right"/>
              <w:ind w:right="312"/>
              <w:spacing w:after="0"/>
              <w:rPr>
                <w:sz w:val="20"/>
                <w:szCs w:val="20"/>
                <w:color w:val="auto"/>
              </w:rPr>
            </w:pPr>
            <w:r>
              <w:rPr>
                <w:rFonts w:ascii="Arial" w:cs="Arial" w:eastAsia="Arial" w:hAnsi="Arial"/>
                <w:sz w:val="18"/>
                <w:szCs w:val="18"/>
                <w:color w:val="auto"/>
              </w:rPr>
              <w:t>9.8 %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as provided herein, represents net income (loss) attributable to Great Lakes Dredge &amp; Dock Corporation, adjusted for net interest expense, income taxes, depreciation and amortization expense and debt extinguishment.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 attributable to Great Lakes Dredge &amp; Dock Corporation: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560" w:type="dxa"/>
            <w:vAlign w:val="bottom"/>
            <w:gridSpan w:val="5"/>
          </w:tcPr>
          <w:p>
            <w:pPr>
              <w:jc w:val="right"/>
              <w:ind w:right="75"/>
              <w:spacing w:after="0"/>
              <w:rPr>
                <w:sz w:val="20"/>
                <w:szCs w:val="20"/>
                <w:color w:val="auto"/>
              </w:rPr>
            </w:pPr>
            <w:r>
              <w:rPr>
                <w:rFonts w:ascii="Arial" w:cs="Arial" w:eastAsia="Arial" w:hAnsi="Arial"/>
                <w:sz w:val="14"/>
                <w:szCs w:val="14"/>
                <w:b w:val="1"/>
                <w:bCs w:val="1"/>
                <w:color w:val="auto"/>
                <w:w w:val="99"/>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56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Great Lakes Dredge &amp; Dock Corporation</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(2,132)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Adjusted for: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Interest expense—net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5,571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15,747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16,432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provision (benefit)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10,514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11,195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26,637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29,999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25,986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47,734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67,876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left="256"/>
              <w:spacing w:after="0"/>
              <w:rPr>
                <w:sz w:val="20"/>
                <w:szCs w:val="20"/>
                <w:color w:val="auto"/>
              </w:rPr>
            </w:pPr>
            <w:r>
              <w:rPr>
                <w:rFonts w:ascii="Arial" w:cs="Arial" w:eastAsia="Arial" w:hAnsi="Arial"/>
                <w:sz w:val="14"/>
                <w:szCs w:val="14"/>
                <w:b w:val="1"/>
                <w:bCs w:val="1"/>
                <w:color w:val="auto"/>
                <w:w w:val="88"/>
              </w:rPr>
              <w:t>Three Months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87"/>
              </w:rPr>
              <w:t>Nine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46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Capital—U.S.</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45,456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39,778</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$ 117,066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$130,287</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Capital—foreign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36,329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59,779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Beach nourishment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20,935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41,714</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(49.8)%</w:t>
            </w:r>
          </w:p>
        </w:tc>
        <w:tc>
          <w:tcPr>
            <w:tcW w:w="660" w:type="dxa"/>
            <w:vAlign w:val="bottom"/>
          </w:tcPr>
          <w:p>
            <w:pPr>
              <w:jc w:val="right"/>
              <w:spacing w:after="0"/>
              <w:rPr>
                <w:sz w:val="20"/>
                <w:szCs w:val="20"/>
                <w:color w:val="auto"/>
              </w:rPr>
            </w:pPr>
            <w:r>
              <w:rPr>
                <w:rFonts w:ascii="Arial" w:cs="Arial" w:eastAsia="Arial" w:hAnsi="Arial"/>
                <w:sz w:val="18"/>
                <w:szCs w:val="18"/>
                <w:color w:val="auto"/>
              </w:rPr>
              <w:t>92,576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87,947</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92,525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Rivers &amp; lakes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14,673</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660" w:type="dxa"/>
            <w:vAlign w:val="bottom"/>
          </w:tcPr>
          <w:p>
            <w:pPr>
              <w:jc w:val="right"/>
              <w:spacing w:after="0"/>
              <w:rPr>
                <w:sz w:val="20"/>
                <w:szCs w:val="20"/>
                <w:color w:val="auto"/>
              </w:rPr>
            </w:pPr>
            <w:r>
              <w:rPr>
                <w:rFonts w:ascii="Arial" w:cs="Arial" w:eastAsia="Arial" w:hAnsi="Arial"/>
                <w:sz w:val="18"/>
                <w:szCs w:val="18"/>
                <w:color w:val="auto"/>
              </w:rPr>
              <w:t>25,801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25,735</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dredging revenues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138,811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134,591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395,944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396,273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Demolition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23,877</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660" w:type="dxa"/>
            <w:vAlign w:val="bottom"/>
          </w:tcPr>
          <w:p>
            <w:pPr>
              <w:jc w:val="right"/>
              <w:spacing w:after="0"/>
              <w:rPr>
                <w:sz w:val="20"/>
                <w:szCs w:val="20"/>
                <w:color w:val="auto"/>
              </w:rPr>
            </w:pPr>
            <w:r>
              <w:rPr>
                <w:rFonts w:ascii="Arial" w:cs="Arial" w:eastAsia="Arial" w:hAnsi="Arial"/>
                <w:sz w:val="18"/>
                <w:szCs w:val="18"/>
                <w:color w:val="auto"/>
              </w:rPr>
              <w:t>92,258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72,492</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166,763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158,468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488,202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468,765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Total revenue for the 2012 third quarter was $166.8 million, up $8.3 million or 5% from $158.5 million during the 2011 third quarter. For the nine months ended September 30, 2012, total revenue increased to $488.2 million from $468.8 million during such period in 2011, an increase of 4%. Dredging contract revenues for the nine months ended September 30, 2012 are net of $1.4 million in intersegment revenues. Demolition contract revenues for the nine months ended September 30, 2012 are net of $0.1 million in intersegment revenues. For the nine months ended September 30, 2012, total dredging revenues were in line with dredging revenues from the first nine months of 2011 with foreign capital revenue and beach nourishment revenue increasing and domestic capital revenue and maintenance revenue decreasing and rivers &amp; lakes maintaining from the respective period in the prior year. Demolition revenue for the nine months ended September 30, 2012 increased $19.8 million, or 27% compared to the prior year adding to the increased total revenues for the Company.</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to $45.5 million, adding $5.7 million, or 14%, in the 2012 third quarter compared to the 2011 third quarter. Domestic capital dredging revenue decreased $13.2 million, or 10%, in the first nine months of 2012 compared to the same period in 2011. Domestic capital dredging revenues in the quarter and nine months ended September 30, 2012 continued to be generated by work in the Ports of New York, as well as projects in Florida, Delaware and Louisiana. Capital dredging for the first nine months of 2011 included the completion of our work on the construction of sand berms off the coast of Louisiana, which accounted for approximately $19.7 million of revenue that did not reoccur in 2012.</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Foreign dredging revenue strongly increased $14.5 million, or 66%, for the third quarter of 2012 to $36.3 million, and increased $15.4 million to $75.2 million for the nine months ended September 30, 2012. The third quarter 2012 foreign revenue was driven by several projects in Bahrain, primarily our East Hidd land reclamation project as well as the early stages of mobilization for the Wheatstone LNG project in Western Australia.</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Beach nourishment projects involve moving sand from the ocean floor to shoreline locations where erosion threatens shoreline assets. Beach nourishment revenue in the 2012 third quarter decreased $20.8 million, or 50%, from the 2011 third quarter. Year to date 2012 beach nourishment revenue increased $4.6 million, or 5%, compared to the first three quarters of 2011. In the prior year, a significant number of beach nourishment jobs were bid and awarded in the second and third quarter which drove prior year third quarter revenue higher as the dredging work was performed and revenue was earned. This drove the change from the prior year period. In the 2012 third quarter, the Company worked on beach nourishment projects in Florida, Virginia and California.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in the 2012 third quarter increased by $9.5 million, or 57%, compared to the 2011 third quarter. In the quarter ended September 30, 2012, maintenance revenue included a large project in Louisiana and projects on the Mississippi River that were unique due to the drought in the Midwest U.S. during 2012. Maintenance revenue in the first nine months of 2012 decreased by $7.2 million, or 8%, compared to the first nine months of 2011. Maintenance revenue in the first half of 2011 was atypically high as the Company performed maintenance projects that had been delayed from 2010 in order to work on construction of sand berms off the coast of Louisiana, partially offset by the increase in Mississippi River projects mentioned above. In addition to performing maintenance dredging on the Mississippi River and in Louisiana, the Company also had projects in Delaware and Maryland during the third quarter of 2012.</w:t>
      </w:r>
    </w:p>
    <w:p>
      <w:pPr>
        <w:spacing w:after="0" w:line="1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third quarter of 2012 was $10.0 million, a decrease of $4.6 million or 32% compared to the third quarter of 2011. The decrease in the current quarter relates to a large dollar value contract in the third quarter of 2011 that did not reoccur in the current year. Rivers &amp; lakes revenue in the first nine months of 2012 was $25.8 million, in line with the revenue reported for the first nine months of 2011. Rivers &amp; lakes continued work on its large municipal lake project in Texas as well as other projects along the Mississippi River during the third quarter of 2012.</w:t>
      </w:r>
    </w:p>
    <w:p>
      <w:pPr>
        <w:spacing w:after="0" w:line="144"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Consolidated gross profit for the 2012 third quarter decreased by 52% to $13.0 million, from $27.4 million in the third quarter of 2011. Gross profit margin (gross profit divided by revenue) for the 2012 third quarter decreased to 7.8% from 17.3% in the 2011 third quarter. The decrease in consolidated gross profit and gross profit margin in the 2012 third quarter was primarily due to lower fixed cost coverage as Hurricane Isaac delayed four large dredging projects, as well as reduced equipment production that delayed the schedule and margin on existing projects. Gross profit for the nine months ended September 30, 2012 decreased by 24% to $56.9 million from $74.6 million in the same 2011 period, resulting in a decline in gross profit margin to 11.7% from 15.9%. The nine month 2012 gross profit margin was lower due to weather impacts in the first and third quarters of 2012 and equipment production delays both of which lower dredge fixed cost coverage.</w:t>
      </w:r>
    </w:p>
    <w:p>
      <w:pPr>
        <w:spacing w:after="0" w:line="1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general and administrative expenses totaled $11.7 million and $36.4 million for the three and nine months ended September 30, 2012. General and administrative expenses totaled $12.7 million and $38.4 million for the three and nine months ended September 30, 2011. In the third quarter of 2011, there was a $1.1 million reduction of the liability related to the earnout potentially payable, related to the Matteson acquisition that was unique to that period. Also, the current quarter ended September 30, 2012 reflects $1.6 million in lower legal and bad debt expense as compared to the same period in the prior year. In addition, amortization costs related to intangible assets from the Matteson acquisition have become fully amortized, representing a decrease in general and administrative expenses of $0.6 million and $1.7 million for the quarter and nine months ended 2012 over the same periods in the prior year.</w:t>
      </w:r>
    </w:p>
    <w:p>
      <w:pPr>
        <w:spacing w:after="0" w:line="120"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Operating income for the three months ended September 30, 2012 decreased 90% to $1.5 million, while operating income for the nine months ended September 30, 2012 decreased 47% to $20.8 million, respectively, compared to the same periods of 2011.</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Company’s net interest expense totaled $5.1 million and $15.7 million, for the three and nine months ended September 30, 2012, respectively, compared to $5.6 million and $16.4 million from the same period of 2011. The net interest expense in the three months ended September 30, 2012 is slightly lower primarily due to a reduction in the amount and rates on our equipment capital leases. In the first quarter of 2011, the Company had two debt issuances outstanding at the same time that added duplicative interest expense of $1.1 million.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Income tax expense for the three and nine months ended September 30, 2012 was a benefit of $1.4 million and a provision of $2.0 million, respectively, compared to $3.6 million and $6.6 million of provision for the same 2011 periods. This decrease was primarily attributable to the lower earnings generated in 2012. The effective tax rate for the nine months ended September 30, 2012 was 38.6%, which is substantially consistent with the effective tax rate of 39.2% for the same period of 2011. The Company expects the tax rate for the full year to remain near 39%.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Net loss attributable to Great Lakes Dredge &amp; Dock Corporation was $2.1 million and the loss per diluted share was $0.04 for the 2012 third quarter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Great Lakes Dredge &amp; Dock Corporation of $5.6 million and earnings per share of $0.09 for the same 2011 period. 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Great Lakes Dredge &amp; Dock Corporation and earnings per diluted share for the nine months ended September 30, 2012 was $3.4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$0.06, respectively, compared to $9.7 million and $0.16 for the same 2011 period. The decrease in the third quarter of 2012 is due to the lower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described above, partially offset by the resulting income tax benefit. Net income in 2011 was reduced by a $5.1 million loss on extinguishment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Adjusted EBITDA (as defined on page 26) was $12.1 million and $47.7 million for the three and nine months ended September 30, 2012, respectively, compared with $26.0 million and $67.9 million in the same 2011 periods, for the reasons discussed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Dredging revenues for the three and nine months ended September 30, 2012 were $138.8 million and $395.9 million, respectively, compared to $134.6 million and $396.3 million for the same periods of 2011. Dredging revenues for the nine months ended September 30, 2012 were in line with dredging revenues from the same period in 2011. The dredging segment for the three months ended September 30, 2012 included increases in domestic and foreign capital as well as maintenance revenues. These increases for the quarter were partially offset by lower beach nourishment and rivers &amp; lakes revenues. Dredging revenue for the nine months contained larger dollar valued contracts in foreign capital jobs which drove the increased revenue in this category over the same period in the prior year. The domestic production mix experienced increases in beach nourishment revenue, offset by decreases in domestic capital and maintenance revenue year to date in 2012.</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margin in the dredging segment was 9.0% and 13.0% for the three and nine months ended September 30, 2012 compared to gross profit margin in the dredging segment of 17.5% and 18.4% for the three and nine months ended September 30, 2011, respectively. Dredging gross profit declined as Hurricane Isaac delayed four large dredging projects as well as reduced equipment production that delayed the schedule and margin on existing projects. These also impacted the gross profit margin for the nine months ended September 30, 2012 along with lower margins in a slow first quarter of 2012, which had been impacted by the mix of project types and offshore weather conditions.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Dredging segment operating income was $2.7 million and $20.6 million for the three and nine months ended September 30, 2012, compared to operating income of $13.6 million and $45.0 million for the three and nine months ended September 30, 2011, respectively. The decrease in operating income for the nine months ended September 30, 2012 is a result of the decrease in gross profit in the first and third quarters of 2012, as mentioned above, along with additional general and administrative payroll and benefits of $2.4 million in the nine months ended September 30, 2012, the $2.1 million gain on the sale of the dredge </w:t>
      </w:r>
      <w:r>
        <w:rPr>
          <w:rFonts w:ascii="Arial" w:cs="Arial" w:eastAsia="Arial" w:hAnsi="Arial"/>
          <w:sz w:val="16"/>
          <w:szCs w:val="16"/>
          <w:i w:val="1"/>
          <w:iCs w:val="1"/>
          <w:color w:val="auto"/>
        </w:rPr>
        <w:t>Victoria Island</w:t>
      </w:r>
      <w:r>
        <w:rPr>
          <w:rFonts w:ascii="Arial" w:cs="Arial" w:eastAsia="Arial" w:hAnsi="Arial"/>
          <w:sz w:val="16"/>
          <w:szCs w:val="16"/>
          <w:color w:val="auto"/>
        </w:rPr>
        <w:t xml:space="preserve"> in 2011 and a $1.1 million reduction in 2011 of the liability related to the earnout potentially payable, related to the Matteson acquisition. These items were partially offset as the nine months ended September 30, 2011 included a $1.7 million of amortization costs related to intangible assets from the Matteson acquisition, which have become fully amortized and are not included in 2012.</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Demolition revenues for the three and nine months ended September 30, 2012 totaled $28.0 million and $92.3 million, respectively, compared to $23.9 million and $72.5 million for the same 2011 periods. The demolition segment experienced higher revenue levels in 2012 driven by bridge demolition work and large site development projects in New York as new demolition management has focused on large projects with higher margins.</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Gross profit margin in the demolition segment was 2.0% and 5.9% for the three and nine months ended September 30, 2012 compared to a gross margin of 15.8% and 2.2% for the three and nine months ended September 30, 2011, respectively. The demolition segment generated an operating loss of $1.2 million and operating income of $0.2 million for the three and nine months ended September 30, 2012, respectively, compared to operating income of $1.2 million and an operating loss of $5.9 million for the same periods of 2011. The increase in operating income during the first nine months of 2012 is due to the increase in gross profit, and $1.6 million of higher legal expense in 2011, which did not occur in the current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r>
      <w:tr>
        <w:trPr>
          <w:trHeight w:val="161"/>
        </w:trPr>
        <w:tc>
          <w:tcPr>
            <w:tcW w:w="3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Backlog (in thousands)</w:t>
            </w:r>
          </w:p>
        </w:tc>
        <w:tc>
          <w:tcPr>
            <w:tcW w:w="1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4"/>
                <w:szCs w:val="14"/>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200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96,354</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109,897</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109,568</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243,542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40,675</w:t>
            </w: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Beach nourishment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41,875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84,607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117,543</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16,187</w:t>
            </w: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34,827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15,256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13,391</w:t>
            </w:r>
          </w:p>
        </w:tc>
      </w:tr>
      <w:tr>
        <w:trPr>
          <w:trHeight w:val="27"/>
        </w:trPr>
        <w:tc>
          <w:tcPr>
            <w:tcW w:w="3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Dredging Backlog</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463,153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319,432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297,364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Demolition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42,574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68,029</w:t>
            </w:r>
          </w:p>
        </w:tc>
      </w:tr>
      <w:tr>
        <w:trPr>
          <w:trHeight w:val="27"/>
        </w:trPr>
        <w:tc>
          <w:tcPr>
            <w:tcW w:w="3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00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505,727</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370,104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365,393</w:t>
            </w:r>
          </w:p>
        </w:tc>
      </w:tr>
      <w:tr>
        <w:trPr>
          <w:trHeight w:val="20"/>
        </w:trPr>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31% 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domestic dredging bid market for the 2012 third quarter totaled $324.9 million, resulting in $678.1 million of work awarded during the first nine months of 2012. This represents a decrease of $169.2 million from the same period in the prior year. The quarter ended September 30</w:t>
      </w:r>
      <w:r>
        <w:rPr>
          <w:rFonts w:ascii="Arial" w:cs="Arial" w:eastAsia="Arial" w:hAnsi="Arial"/>
          <w:sz w:val="10"/>
          <w:szCs w:val="10"/>
          <w:color w:val="auto"/>
        </w:rPr>
        <w:t>th</w:t>
      </w:r>
      <w:r>
        <w:rPr>
          <w:rFonts w:ascii="Arial" w:cs="Arial" w:eastAsia="Arial" w:hAnsi="Arial"/>
          <w:sz w:val="16"/>
          <w:szCs w:val="16"/>
          <w:color w:val="auto"/>
        </w:rPr>
        <w:t xml:space="preserve"> typically represents the largest bidding quarter of each calendar year as this quarter coincides with the end of the U.S. government’s fiscal year. The bid market in the third quarter of 2011 was larger as there were a greater number of large contract value beach nourishment and domestic capital projects let to bid by governmental agencies. For the contracts released in the current year, the Company won 43%, or $48.0 million, of the beach nourishment projects awarded through September 30, 2012, as well as 25%, or $91.6 million, of the maintenance projects along with 74%, or $84.4 million, of the domestic capital projects and 45%, or $41.6 million, of the rivers &amp; lakes projects awarded year to date through September 30, 2012. The Company won 39% of the overall domestic bid market through September 30, 2012, which parallels the Company’s prior three year average of 39%. Variability in contract wins from quarter to quarter is not unusual and one quarter’s win rate is generally not indicative of the win rate the Company is likely to achieve for a full year.</w:t>
      </w:r>
    </w:p>
    <w:p>
      <w:pPr>
        <w:spacing w:after="0" w:line="12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Company’s contracted dredging backlog was $463.2 million at September 30, 2012 compared to $319.4 million as of December 31, 2011. These amounts do not reflect approximately $62.0 million of domestic low bids pending formal award and additional phases (“options”) pending on projects currently in backlog at September 30, 2012. At December 31, 2011 the amount of domestic low bids and options pending award was $36.1 million.</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Domestic capital dredging backlog at September 30, 2012 was $13.5 million less than at December 31, 2011 as progress on the Company’s capital projects in New York and Louisiana continued to convert backlog into revenue. River deepening projects in North Carolina and New Jersey were awarded during the quarter to add over $30 million to backlog. The Company anticipates a strong capital dredging bid market over the next twelve months. Several East Coast ports, including Miami, are accelerating their deepening efforts to facilitate larger draft vessels from international trade. In October 2012, the Corps began soliciting bids for the Miami harbor deepening with the expectation of an award date in the first quarter of 2013.</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Beach nourishment dredging backlog at September 30, 2012 was $42.7 million lower than at December 31, 2011 as the Company finished three beach projects on the East Coast and began work renourishing beaches in Southern California. The Company was awarded projects in New York and New Jersey including a project near Ocean City that added over $15 million to backlog in the quarter and are planned to begin before year end.</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Maintenance dredging backlog was $15.3 million higher at September 30, 2012 than at December 31, 2011. The Corps awarded several maintenance projects in the quarter including $24.2 million, which includes pending options, in the Baltimore harbor as well as $8.2 million to build a sill at the end of the Mississippi River to prevent saltwater from seeping upstream given the drought-lowered river levels. The Company continued work on existing projects in Louisiana and Delaware.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Rivers &amp; lakes backlog is $19.6 million higher at September 30, 2012 than at December 31, 2011. Rivers &amp; lakes continued to earn on projects in its backlog, including work on the Mississippi River and its tributaries performing maintenance dredging and levee repair projects. The Corps awarded the Company several projects on the Mississippi River and its tributaries to assist in keeping the waterway navigable during the summer months when a drought throughout the Midwest lowered the level of the river. In addition, rivers &amp; lakes was awarded a $7.7 million multi-year contract to dredge sediment in Florida that would be used in phosphate mining.</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Foreign capital dredging backlog increased to $243.5 million at September 30, 2012 from December 31, 2011, due primarily to the award of the dredging contract for the Wheatstone LNG project in Western Australia. The Company will deploy the dredge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on the Company’s portion of the project for about 27 months to complete this significant international dredging opportunity. The Company also was awarded a $47.6 million contract for another land reclamation project in the Middle East. The Company also sees additional opportunities in the Middle East, Southeast Asia and South America that it continues to pursue.</w:t>
      </w:r>
    </w:p>
    <w:p>
      <w:pPr>
        <w:spacing w:after="0" w:line="113"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Demolition services backlog was $8.1 million lower at September 30, 2012 from December 31, 2011. New projects awarded in the nine months ended September 30, 2012 include the $22.2 million brownfield remediation project in New Jersey that was pending award at year end and four large civil site development projects that are expected each to generate over $3 million of revenue, including a new power plant project awarded in the third quarter 2012. A large portion of the backlog earned in the first nine months of 2012 relates to the new management’s focus on large complex projects such as municipal developments in New York and specialty work such as bridge demolition in Louisiana, New Hampshire and New York.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Hurricane Sandy</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the fourth quarter of 2012, Hurricane Sandy impacted the East Coast of the United States and will adversely affect the Company’s fourth quarter earnings and cash flows from operations. Although the Company cannot yet quantify the full financial effect of the event, the Company currently estimates that it will lose a total of 25 working days, in aggregate, over seven projects impacted by the storm, which required the Company to move dredges and support equipment to protected waters. The Company’s project estimates include contingencies for normal weather that could offset some of these additional costs for lost time and fixed cost coverage. Currently, management believes there was minimal damage to the Company’s operating equipment and the affected projects have been restarted quickly. The Company also experienced damage to its facilities located in the path of Hurricane Sandy, but management does not believe the losses, net of insurance recoveries, will be material in future periods. Due to the significant damage to our nation’s coastline, the Company could obtain additional future revenue on some of these projects, which if obtained could mitigate the one-time expenses on these projects.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Dredge New York litigation development</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 xml:space="preserve">During the quarter ended March 31, 2012, a judgment in the aggregate amount of $13.3 million was rendered in the Company’s favor in its litigation regarding the dredge </w:t>
      </w:r>
      <w:r>
        <w:rPr>
          <w:rFonts w:ascii="Arial" w:cs="Arial" w:eastAsia="Arial" w:hAnsi="Arial"/>
          <w:sz w:val="15"/>
          <w:szCs w:val="15"/>
          <w:i w:val="1"/>
          <w:iCs w:val="1"/>
          <w:color w:val="auto"/>
        </w:rPr>
        <w:t>New York</w:t>
      </w:r>
      <w:r>
        <w:rPr>
          <w:rFonts w:ascii="Arial" w:cs="Arial" w:eastAsia="Arial" w:hAnsi="Arial"/>
          <w:sz w:val="15"/>
          <w:szCs w:val="15"/>
          <w:color w:val="auto"/>
        </w:rPr>
        <w:t xml:space="preserve"> loss of use claim. The defendants are appealing the judgment and the Company cannot be assured when the appeal will be heard or predict the outcome of the appellate process. For additional information regarding this matter, see Note 9 to the Company’s condensed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net cash provided by (used in) operating activities for the nine months ended September 30, 2012 and 2011 totaled $(39.2) million, and $13.6 million, respectively. Normal increases or decreases in the level of working capital relative to the level of operational activity impact cash flow from operating activities. In the first nine months of 2012, the increase in net cash used in operating activities was primarily the result of lower adjusted EBITDA and an increased investment in working capital as compared to the same period in the prior year. Two projects with the most significant investment are Wheatstone and the Scofield coastal restoration.</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Company’s net cash flows used in investing activities for the first nine months of 2012 and 2011 totaled $29.5 million and $17.4 million, respectively. Investing activities in both periods primarily relate to normal course upgrades and capital maintenance of the Company’s dredging fleet. During the nine months ended September 30, 2012, the Company overhauled the engines on the dredge </w:t>
      </w:r>
      <w:r>
        <w:rPr>
          <w:rFonts w:ascii="Arial" w:cs="Arial" w:eastAsia="Arial" w:hAnsi="Arial"/>
          <w:sz w:val="18"/>
          <w:szCs w:val="18"/>
          <w:i w:val="1"/>
          <w:iCs w:val="1"/>
          <w:color w:val="auto"/>
        </w:rPr>
        <w:t>Alaska</w:t>
      </w:r>
      <w:r>
        <w:rPr>
          <w:rFonts w:ascii="Arial" w:cs="Arial" w:eastAsia="Arial" w:hAnsi="Arial"/>
          <w:sz w:val="18"/>
          <w:szCs w:val="18"/>
          <w:color w:val="auto"/>
        </w:rPr>
        <w:t xml:space="preserve"> to provide increased useful life and efficiency. This engine overhaul added $5.4 million in investing capital expenditures during the nine months ended September 30, 2012. Additionally, the Company purchased a $6.4 million storage yard during the nine months ended September 30, 2012. During the nine months ended September 30, 2011, the Company sold the dredge </w:t>
      </w:r>
      <w:r>
        <w:rPr>
          <w:rFonts w:ascii="Arial" w:cs="Arial" w:eastAsia="Arial" w:hAnsi="Arial"/>
          <w:sz w:val="18"/>
          <w:szCs w:val="18"/>
          <w:i w:val="1"/>
          <w:iCs w:val="1"/>
          <w:color w:val="auto"/>
        </w:rPr>
        <w:t>Victoria Island</w:t>
      </w:r>
      <w:r>
        <w:rPr>
          <w:rFonts w:ascii="Arial" w:cs="Arial" w:eastAsia="Arial" w:hAnsi="Arial"/>
          <w:sz w:val="18"/>
          <w:szCs w:val="18"/>
          <w:color w:val="auto"/>
        </w:rPr>
        <w:t xml:space="preserve"> for $6.6 million of cash proceeds.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net cash flows provided by (used in) financing activities for the nine months ended September 30, 2012 and 2011 totaled $(6.3) million and $62.8 million, respectively. The Company issued $250 million of 7.375% senior notes in the first nine months of 2011, resulting in $244.2 million of net proceeds. The Company used a portion of these net proceeds to redeem its $175 million of 7.75% senior subordinated notes in the first three months of 2011 for $180.0 million, which included a redemption premium and unpaid interest.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paid $3.7 million in dividends in the first nine months of 2012. The future declaration and payment of dividends will be at the discretion of the Company’s board of directors and will depend on many factors, including general economic and business conditions, the Company’s strategic plans, financial results and condition and legal requirements, including restrictions and limitations contained in the revolving credit facility and the indenture relating to its senior notes. Accordingly, the Company cannot make any assurances as to the size of any such dividend or that it will pay any such dividend in future quarters.</w:t>
      </w:r>
    </w:p>
    <w:p>
      <w:pPr>
        <w:spacing w:after="0" w:line="11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will be in pro forma compliance with the existing financial covenants both before and after giving effect to the increase and other standard conditions. The prior credit agreement with Bank of America N.A. was terminated.</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revolving credit facility is an unsecured facility and will remain unsecured provided the Company maintains a total leverage ratio less than or equal to 3.75 to 1.00 as of the end of each fiscal quarter. If the leverage ratio exceeds 3.75 to 1.00, or an event of default occurs and is not cured within the applicable grace period, the revolving credit facility will cease to remain unsecured. In the event of the facility becomes secured, outstanding obligations shall be automatically secured by certain vessels and all domestic accounts receivable, subject to the liens and interests of other parties (including the Company’s bonding provider) holding first priority perfected liens.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obligations under its international letter of credit facility are secured by the Company’s foreign accounts receivable. The Company’s obligations under its senior notes are unsecured. The Company’s material agreements related to long term debt contain various restrictive covenants, including limitations on dividends, redemption and repurchases of capital stock, and the incurrence of indebtedness and requirements to maintain certain financial covenants. The Company is in compliance with its various covenants under the respective agreements as of September 30, 2012.</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Brazilian Real, is reflected in the cumulative translation adjustment, 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revolving credit facility and bonding agreement, depends on its future operating performance and cash flows, which in turn, are subject to prevailing economic conditions and to financial, business and other factors, some of which are beyond the Company’s control.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September 30, 2012 has not materially changed since December 31, 2011. The market risk profile of the Company on December 31, 2011 is disclosed in Item 7A. “Quantitative and Qualitative Disclosures about Market Risk” of the Company’s Annual Report on Form 10-K for the year ended December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Company’s disclosure controls and procedures, as required by Rule 13a-15(b) and 15d-15(b) under the Securities Exchange Act of 1934 (the “Exchange Act”) as of September 30,</w:t>
      </w:r>
    </w:p>
    <w:p>
      <w:pPr>
        <w:spacing w:after="0" w:line="254" w:lineRule="auto"/>
        <w:rPr>
          <w:sz w:val="20"/>
          <w:szCs w:val="20"/>
          <w:color w:val="auto"/>
        </w:rPr>
      </w:pPr>
      <w:r>
        <w:rPr>
          <w:rFonts w:ascii="Arial" w:cs="Arial" w:eastAsia="Arial" w:hAnsi="Arial"/>
          <w:sz w:val="18"/>
          <w:szCs w:val="18"/>
          <w:color w:val="auto"/>
        </w:rPr>
        <w:t>2012.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fiscal quarter ended September 30, 2012 that have materially affected, or are reasonably likely to materially affect, our internal control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nine months ended September 30, 2012 to the risk factors previously disclosed in Item 1A. Risk Factors in the Company’s Annual Report on Form 10-K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280" w:type="dxa"/>
            <w:vAlign w:val="bottom"/>
          </w:tcPr>
          <w:p>
            <w:pPr>
              <w:ind w:left="24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920" w:type="dxa"/>
            <w:vAlign w:val="bottom"/>
          </w:tcPr>
          <w:p>
            <w:pPr>
              <w:spacing w:after="0"/>
              <w:rPr>
                <w:sz w:val="19"/>
                <w:szCs w:val="19"/>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tcPr>
          <w:p>
            <w:pPr>
              <w:ind w:left="24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920" w:type="dxa"/>
            <w:vAlign w:val="bottom"/>
          </w:tcPr>
          <w:p>
            <w:pPr>
              <w:spacing w:after="0"/>
              <w:rPr>
                <w:sz w:val="19"/>
                <w:szCs w:val="19"/>
                <w:color w:val="auto"/>
              </w:rPr>
            </w:pPr>
          </w:p>
        </w:tc>
        <w:tc>
          <w:tcPr>
            <w:tcW w:w="1028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28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28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280" w:type="dxa"/>
            <w:vAlign w:val="bottom"/>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2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2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S. S</w:t>
      </w:r>
      <w:r>
        <w:rPr>
          <w:rFonts w:ascii="Arial" w:cs="Arial" w:eastAsia="Arial" w:hAnsi="Arial"/>
          <w:sz w:val="14"/>
          <w:szCs w:val="14"/>
          <w:color w:val="auto"/>
        </w:rPr>
        <w:t>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0"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William S. Steckel</w:t>
      </w:r>
    </w:p>
    <w:p>
      <w:pPr>
        <w:spacing w:after="0" w:line="21" w:lineRule="exact"/>
        <w:rPr>
          <w:sz w:val="20"/>
          <w:szCs w:val="20"/>
          <w:color w:val="auto"/>
        </w:rPr>
      </w:pPr>
    </w:p>
    <w:p>
      <w:pPr>
        <w:jc w:val="center"/>
        <w:ind w:left="718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32"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and Duly Authorized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2012</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302"/>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William S. Steckel,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September 30, 2012,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14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2012</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September 30, 2012, as filed with the Securities and Exchange Commission on the date hereof (the “Report”), I, William S. Steckel, Senior Vice President and Chief Financial Officer, certify pursuant to 18 U.S.C. Section 1350, as adopted pursuant to Section 906 of the Sarbanes-Oxley Act of 2002, that:</w:t>
      </w:r>
    </w:p>
    <w:p>
      <w:pPr>
        <w:spacing w:after="0" w:line="14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2012</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9"/>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2019-12-09T17:11:56Z</dcterms:created>
  <dcterms:modified xsi:type="dcterms:W3CDTF">2019-12-09T17:11:56Z</dcterms:modified>
</cp:coreProperties>
</file>