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gldd-20251231.htm"/>
      <w:bookmarkStart w:id="1" w:name="ksgldd20251231"/>
      <w:bookmarkEnd w:id="0"/>
      <w:bookmarkEnd w:id="1"/>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(Mark One)</w:t>
      </w:r>
    </w:p>
    <w:p>
      <w:pPr>
        <w:pStyle w:val="TextBody"/>
        <w:bidi w:val="0"/>
        <w:jc w:val="left"/>
        <w:rPr/>
      </w:pPr>
      <w:r>
        <w:rPr/>
        <w:t> </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16"/>
        </w:rPr>
        <w:t>For the fiscal year ended December 31, 2025</w:t>
      </w:r>
      <w:r>
        <w:rPr>
          <w:rFonts w:ascii="Times New Roman" w:hAnsi="Times New Roman"/>
          <w:color w:val="000000"/>
          <w:sz w:val="16"/>
        </w:rPr>
        <w:t xml:space="preserve"> </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Commission file number: 001-33225</w:t>
      </w:r>
    </w:p>
    <w:p>
      <w:pPr>
        <w:pStyle w:val="TextBody"/>
        <w:bidi w:val="0"/>
        <w:jc w:val="center"/>
        <w:rPr/>
      </w:pPr>
      <w:r>
        <w:rPr/>
        <w:drawing>
          <wp:inline distT="0" distB="0" distL="0" distR="0">
            <wp:extent cx="98107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933450"/>
                    </a:xfrm>
                    <a:prstGeom prst="rect">
                      <a:avLst/>
                    </a:prstGeom>
                  </pic:spPr>
                </pic:pic>
              </a:graphicData>
            </a:graphic>
          </wp:inline>
        </w:drawing>
      </w:r>
    </w:p>
    <w:p>
      <w:pPr>
        <w:pStyle w:val="TextBody"/>
        <w:bidi w:val="0"/>
        <w:spacing w:before="40" w:after="283"/>
        <w:jc w:val="center"/>
        <w:rPr>
          <w:rFonts w:ascii="Times New Roman" w:hAnsi="Times New Roman"/>
          <w:b/>
          <w:color w:val="000000"/>
          <w:sz w:val="48"/>
        </w:rPr>
      </w:pPr>
      <w:r>
        <w:rPr>
          <w:rFonts w:ascii="Times New Roman" w:hAnsi="Times New Roman"/>
          <w:b/>
          <w:color w:val="000000"/>
          <w:sz w:val="48"/>
        </w:rPr>
        <w:t>Great Lakes Dredge &amp; Dock Corporation</w:t>
      </w:r>
    </w:p>
    <w:p>
      <w:pPr>
        <w:pStyle w:val="TextBody"/>
        <w:bidi w:val="0"/>
        <w:jc w:val="center"/>
        <w:rPr>
          <w:rFonts w:ascii="Times New Roman" w:hAnsi="Times New Roman"/>
          <w:b/>
          <w:color w:val="000000"/>
          <w:sz w:val="17"/>
        </w:rPr>
      </w:pPr>
      <w:r>
        <w:rPr>
          <w:rFonts w:ascii="Times New Roman" w:hAnsi="Times New Roman"/>
          <w:b/>
          <w:color w:val="000000"/>
          <w:sz w:val="17"/>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20-5336063</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491" w:type="dxa"/>
        <w:jc w:val="left"/>
        <w:tblInd w:w="0" w:type="dxa"/>
        <w:tblLayout w:type="fixed"/>
        <w:tblCellMar>
          <w:top w:w="28" w:type="dxa"/>
          <w:left w:w="28" w:type="dxa"/>
          <w:bottom w:w="28" w:type="dxa"/>
          <w:right w:w="28" w:type="dxa"/>
        </w:tblCellMar>
      </w:tblPr>
      <w:tblGrid>
        <w:gridCol w:w="3451"/>
        <w:gridCol w:w="109"/>
        <w:gridCol w:w="931"/>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9811 Katy Freeway, Suite 1200, Houston,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77024</w:t>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(346) 359-1010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spacing w:before="40" w:after="283"/>
        <w:jc w:val="center"/>
        <w:rPr/>
      </w:pPr>
      <w:r>
        <w:rPr/>
        <w:t> </w:t>
      </w:r>
    </w:p>
    <w:tbl>
      <w:tblPr>
        <w:tblW w:w="7758" w:type="dxa"/>
        <w:jc w:val="left"/>
        <w:tblInd w:w="0" w:type="dxa"/>
        <w:tblLayout w:type="fixed"/>
        <w:tblCellMar>
          <w:top w:w="28" w:type="dxa"/>
          <w:left w:w="28" w:type="dxa"/>
          <w:bottom w:w="28" w:type="dxa"/>
          <w:right w:w="28" w:type="dxa"/>
        </w:tblCellMar>
      </w:tblPr>
      <w:tblGrid>
        <w:gridCol w:w="2716"/>
        <w:gridCol w:w="1561"/>
        <w:gridCol w:w="3481"/>
      </w:tblGrid>
      <w:tr>
        <w:trPr/>
        <w:tc>
          <w:tcPr>
            <w:tcW w:w="271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8"/>
                <w:u w:val="single"/>
              </w:rPr>
            </w:pPr>
            <w:r>
              <w:rPr>
                <w:rFonts w:ascii="Times New Roman" w:hAnsi="Times New Roman"/>
                <w:b/>
                <w:color w:val="000000"/>
                <w:sz w:val="18"/>
                <w:u w:val="single"/>
              </w:rPr>
              <w:t>Title of each class</w:t>
            </w:r>
          </w:p>
        </w:tc>
        <w:tc>
          <w:tcPr>
            <w:tcW w:w="156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8"/>
                <w:u w:val="single"/>
              </w:rPr>
            </w:pPr>
            <w:r>
              <w:rPr>
                <w:rFonts w:ascii="Times New Roman" w:hAnsi="Times New Roman"/>
                <w:b/>
                <w:color w:val="000000"/>
                <w:sz w:val="18"/>
                <w:u w:val="single"/>
              </w:rPr>
              <w:t>Trading Symbol(s)</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8"/>
                <w:u w:val="single"/>
              </w:rPr>
            </w:pPr>
            <w:r>
              <w:rPr>
                <w:rFonts w:ascii="Times New Roman" w:hAnsi="Times New Roman"/>
                <w:b/>
                <w:color w:val="000000"/>
                <w:sz w:val="18"/>
                <w:u w:val="single"/>
              </w:rPr>
              <w:t>Name of each exchange on which registered</w:t>
            </w:r>
          </w:p>
        </w:tc>
      </w:tr>
      <w:tr>
        <w:trPr/>
        <w:tc>
          <w:tcPr>
            <w:tcW w:w="271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Common Stock, (Par Value $0.0001)</w:t>
            </w:r>
          </w:p>
        </w:tc>
        <w:tc>
          <w:tcPr>
            <w:tcW w:w="156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GLDD</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Nasdaq Stock Market, LLC</w:t>
            </w:r>
          </w:p>
        </w:tc>
      </w:tr>
    </w:tbl>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Securities registered pursuant to section 12(g) of the Act: None</w:t>
      </w:r>
    </w:p>
    <w:p>
      <w:pPr>
        <w:pStyle w:val="TextBody"/>
        <w:bidi w:val="0"/>
        <w:spacing w:before="40" w:after="283"/>
        <w:jc w:val="center"/>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w:t>
      </w:r>
      <w:r>
        <w:rPr>
          <w:rFonts w:ascii="Times New Roman" w:hAnsi="Times New Roman"/>
          <w:color w:val="000000"/>
          <w:sz w:val="20"/>
        </w:rPr>
        <w:t xml:space="preserve"> </w:t>
      </w:r>
      <w:r>
        <w:rPr>
          <w:rFonts w:ascii="Times New Roman" w:hAnsi="Times New Roman"/>
          <w:color w:val="000000"/>
          <w:sz w:val="16"/>
        </w:rPr>
        <w:t xml:space="preserve">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filed a report on and attestation to its management’s assessment of the effectiveness of its internal</w:t>
      </w:r>
      <w:r>
        <w:rPr>
          <w:rFonts w:ascii="Times New Roman" w:hAnsi="Times New Roman"/>
          <w:color w:val="000000"/>
          <w:sz w:val="20"/>
        </w:rPr>
        <w:t xml:space="preserve"> </w:t>
      </w:r>
      <w:r>
        <w:rPr>
          <w:rFonts w:ascii="Times New Roman" w:hAnsi="Times New Roman"/>
          <w:color w:val="000000"/>
          <w:sz w:val="16"/>
        </w:rPr>
        <w:t>control over financial reporting under Section 404(b) of the Sarbanes-Oxley Act (15 U.S.C. 7262(b)) by the registered public accounting firm that prepared or</w:t>
      </w:r>
      <w:r>
        <w:rPr>
          <w:rFonts w:ascii="Times New Roman" w:hAnsi="Times New Roman"/>
          <w:color w:val="000000"/>
          <w:sz w:val="20"/>
        </w:rPr>
        <w:t xml:space="preserve"> </w:t>
      </w:r>
      <w:r>
        <w:rPr>
          <w:rFonts w:ascii="Times New Roman" w:hAnsi="Times New Roman"/>
          <w:color w:val="000000"/>
          <w:sz w:val="16"/>
        </w:rPr>
        <w:t xml:space="preserve">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The aggregate market value of common stock held by non-affiliates of the Registrant was $789,491,555</w:t>
      </w:r>
      <w:r>
        <w:rPr>
          <w:rFonts w:ascii="Times New Roman" w:hAnsi="Times New Roman"/>
          <w:color w:val="000000"/>
          <w:sz w:val="20"/>
        </w:rPr>
        <w:t xml:space="preserve"> </w:t>
      </w:r>
      <w:r>
        <w:rPr>
          <w:rFonts w:ascii="Times New Roman" w:hAnsi="Times New Roman"/>
          <w:color w:val="000000"/>
          <w:sz w:val="16"/>
        </w:rPr>
        <w:t>at June 30, 2025. The aggregate market value</w:t>
      </w:r>
      <w:r>
        <w:rPr>
          <w:rFonts w:ascii="Times New Roman" w:hAnsi="Times New Roman"/>
          <w:color w:val="000000"/>
          <w:sz w:val="20"/>
        </w:rPr>
        <w:t xml:space="preserve"> </w:t>
      </w:r>
      <w:r>
        <w:rPr>
          <w:rFonts w:ascii="Times New Roman" w:hAnsi="Times New Roman"/>
          <w:color w:val="000000"/>
          <w:sz w:val="16"/>
        </w:rPr>
        <w:t>was computed using the closing price of the common stock as of June 30, 2025 on the Nasdaq Stock Market. (For purposes of calculating the foregoing amount only,</w:t>
      </w:r>
      <w:r>
        <w:rPr>
          <w:rFonts w:ascii="Times New Roman" w:hAnsi="Times New Roman"/>
          <w:color w:val="000000"/>
          <w:sz w:val="20"/>
        </w:rPr>
        <w:t xml:space="preserve"> </w:t>
      </w:r>
      <w:r>
        <w:rPr>
          <w:rFonts w:ascii="Times New Roman" w:hAnsi="Times New Roman"/>
          <w:color w:val="000000"/>
          <w:sz w:val="16"/>
        </w:rPr>
        <w:t>all directors and executive officers of the registrant have been treated as affiliates.)</w:t>
      </w:r>
    </w:p>
    <w:p>
      <w:pPr>
        <w:pStyle w:val="TextBody"/>
        <w:bidi w:val="0"/>
        <w:jc w:val="left"/>
        <w:rPr>
          <w:rFonts w:ascii="Times New Roman" w:hAnsi="Times New Roman"/>
          <w:sz w:val="20"/>
        </w:rPr>
      </w:pPr>
      <w:r>
        <w:rPr>
          <w:rFonts w:ascii="Times New Roman" w:hAnsi="Times New Roman"/>
          <w:color w:val="000000"/>
          <w:sz w:val="16"/>
        </w:rPr>
        <w:t>As of February 20, 2026, 66,780,798</w:t>
      </w:r>
      <w:r>
        <w:rPr>
          <w:rFonts w:ascii="Times New Roman" w:hAnsi="Times New Roman"/>
          <w:color w:val="000000"/>
          <w:sz w:val="20"/>
        </w:rPr>
        <w:t xml:space="preserve"> </w:t>
      </w:r>
      <w:r>
        <w:rPr>
          <w:rFonts w:ascii="Times New Roman" w:hAnsi="Times New Roman"/>
          <w:color w:val="000000"/>
          <w:sz w:val="16"/>
        </w:rPr>
        <w:t>shares of Registrant’s Common Stock, par value $.0001 per share, were outstanding.</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5"/>
        <w:gridCol w:w="109"/>
        <w:gridCol w:w="9131"/>
      </w:tblGrid>
      <w:tr>
        <w:trPr/>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 of 10-K</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Documents Incorporated by Reference</w:t>
            </w:r>
          </w:p>
        </w:tc>
      </w:tr>
      <w:tr>
        <w:trPr/>
        <w:tc>
          <w:tcPr>
            <w:tcW w:w="9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Part III</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Portions of the Proxy Statement to be filed with the Securities and Exchange Commission in connection with the 2026 Annual Meeting of Stockholders.</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8"/>
        <w:gridCol w:w="346"/>
        <w:gridCol w:w="8337"/>
        <w:gridCol w:w="564"/>
      </w:tblGrid>
      <w:tr>
        <w:trPr/>
        <w:tc>
          <w:tcPr>
            <w:tcW w:w="9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FF"/>
                <w:sz w:val="20"/>
                <w:u w:val="single"/>
              </w:rPr>
            </w:pPr>
            <w:r>
              <w:rPr>
                <w:rFonts w:ascii="Times New Roman" w:hAnsi="Times New Roman"/>
                <w:b/>
                <w:color w:val="0000FF"/>
                <w:sz w:val="20"/>
                <w:u w:val="single"/>
              </w:rPr>
              <w:t>PART I</w:t>
            </w:r>
          </w:p>
        </w:tc>
        <w:tc>
          <w:tcPr>
            <w:tcW w:w="5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_business">
              <w:r>
                <w:rPr>
                  <w:rStyle w:val="InternetLink"/>
                  <w:rFonts w:ascii="Times New Roman" w:hAnsi="Times New Roman"/>
                  <w:color w:val="0000FF"/>
                  <w:sz w:val="20"/>
                  <w:u w:val="single"/>
                </w:rPr>
                <w:t>Business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a_risk_factors_1">
              <w:r>
                <w:rPr>
                  <w:rStyle w:val="InternetLink"/>
                  <w:rFonts w:ascii="Times New Roman" w:hAnsi="Times New Roman"/>
                  <w:color w:val="0000FF"/>
                  <w:sz w:val="20"/>
                  <w:u w:val="single"/>
                </w:rPr>
                <w:t>Risk Factors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1B.</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b_unresolved_staff_comments_1">
              <w:r>
                <w:rPr>
                  <w:rStyle w:val="InternetLink"/>
                  <w:rFonts w:ascii="Times New Roman" w:hAnsi="Times New Roman"/>
                  <w:color w:val="0000FF"/>
                  <w:sz w:val="20"/>
                  <w:u w:val="single"/>
                </w:rPr>
                <w:t>Unresolved Staff Comments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hyperlink w:anchor="item_1c_cybersecurity_1">
              <w:r>
                <w:rPr>
                  <w:rStyle w:val="InternetLink"/>
                  <w:rFonts w:ascii="Times New Roman" w:hAnsi="Times New Roman"/>
                  <w:color w:val="0000FF"/>
                  <w:sz w:val="20"/>
                  <w:u w:val="single"/>
                </w:rPr>
                <w:t>Cybersecurity</w:t>
              </w:r>
            </w:hyperlink>
          </w:p>
        </w:tc>
        <w:tc>
          <w:tcPr>
            <w:tcW w:w="5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2.</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2_properties_1">
              <w:r>
                <w:rPr>
                  <w:rStyle w:val="InternetLink"/>
                  <w:rFonts w:ascii="Times New Roman" w:hAnsi="Times New Roman"/>
                  <w:color w:val="0000FF"/>
                  <w:sz w:val="20"/>
                  <w:u w:val="single"/>
                </w:rPr>
                <w:t>Properties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3.</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3_legal_proceedings_1">
              <w:r>
                <w:rPr>
                  <w:rStyle w:val="InternetLink"/>
                  <w:rFonts w:ascii="Times New Roman" w:hAnsi="Times New Roman"/>
                  <w:color w:val="0000FF"/>
                  <w:sz w:val="20"/>
                  <w:u w:val="single"/>
                </w:rPr>
                <w:t>Legal Proceedings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4.</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4_mine_safety_disclosures_1">
              <w:r>
                <w:rPr>
                  <w:rStyle w:val="InternetLink"/>
                  <w:rFonts w:ascii="Times New Roman" w:hAnsi="Times New Roman"/>
                  <w:color w:val="0000FF"/>
                  <w:sz w:val="20"/>
                  <w:u w:val="single"/>
                </w:rPr>
                <w:t>Mine Safety Disclosures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w:t>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5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5.</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5_market_for_registrants_common_equ">
              <w:r>
                <w:rPr>
                  <w:rStyle w:val="InternetLink"/>
                  <w:rFonts w:ascii="Times New Roman" w:hAnsi="Times New Roman"/>
                  <w:color w:val="0000FF"/>
                  <w:sz w:val="20"/>
                  <w:u w:val="single"/>
                </w:rPr>
                <w:t>Market for the Registrant’s Common Equity, Related Stockholder Matters and Issuer Purchases of Equity Securities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34</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6.</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6_reserved">
              <w:r>
                <w:rPr>
                  <w:rStyle w:val="InternetLink"/>
                  <w:rFonts w:ascii="Times New Roman" w:hAnsi="Times New Roman"/>
                  <w:color w:val="0000FF"/>
                  <w:sz w:val="20"/>
                  <w:u w:val="single"/>
                </w:rPr>
                <w:t>[Reserved]</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36</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7.</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37</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7A.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8.</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9.</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9A.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a_controls_procedures">
              <w:r>
                <w:rPr>
                  <w:rStyle w:val="InternetLink"/>
                  <w:rFonts w:ascii="Times New Roman" w:hAnsi="Times New Roman"/>
                  <w:color w:val="0000FF"/>
                  <w:sz w:val="20"/>
                  <w:u w:val="single"/>
                </w:rPr>
                <w:t>Controls and Procedures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9B.</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b_or_information">
              <w:r>
                <w:rPr>
                  <w:rStyle w:val="InternetLink"/>
                  <w:rFonts w:ascii="Times New Roman" w:hAnsi="Times New Roman"/>
                  <w:color w:val="0000FF"/>
                  <w:sz w:val="20"/>
                  <w:u w:val="single"/>
                </w:rPr>
                <w:t>Other Information</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52</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37" w:type="dxa"/>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9C.</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52</w:t>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5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10.</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11.</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1_executive_compensation">
              <w:r>
                <w:rPr>
                  <w:rStyle w:val="InternetLink"/>
                  <w:rFonts w:ascii="Times New Roman" w:hAnsi="Times New Roman"/>
                  <w:color w:val="0000FF"/>
                  <w:sz w:val="20"/>
                  <w:u w:val="single"/>
                </w:rPr>
                <w:t>Executive Compensation</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12.</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13.</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14.</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w:t>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5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15.</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54</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5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16.</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337"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6_form_10k_summary">
              <w:r>
                <w:rPr>
                  <w:rStyle w:val="InternetLink"/>
                  <w:rFonts w:ascii="Times New Roman" w:hAnsi="Times New Roman"/>
                  <w:color w:val="0000FF"/>
                  <w:sz w:val="20"/>
                  <w:u w:val="single"/>
                </w:rPr>
                <w:t>Form 10-K Summary</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54</w:t>
            </w:r>
          </w:p>
        </w:tc>
      </w:tr>
      <w:tr>
        <w:trPr/>
        <w:tc>
          <w:tcPr>
            <w:tcW w:w="964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41" w:type="dxa"/>
            <w:gridSpan w:val="3"/>
            <w:tcBorders/>
            <w:tcMar>
              <w:top w:w="0" w:type="dxa"/>
              <w:left w:w="0" w:type="dxa"/>
              <w:bottom w:w="0" w:type="dxa"/>
              <w:right w:w="0" w:type="dxa"/>
            </w:tcMar>
            <w:vAlign w:val="center"/>
          </w:tcPr>
          <w:p>
            <w:pPr>
              <w:pStyle w:val="TableContents"/>
              <w:bidi w:val="0"/>
              <w:spacing w:before="0" w:after="283"/>
              <w:ind w:left="0" w:right="0" w:firstLine="202"/>
              <w:jc w:val="left"/>
              <w:rPr/>
            </w:pPr>
            <w:hyperlink w:anchor="signatures">
              <w:r>
                <w:rPr>
                  <w:rStyle w:val="InternetLink"/>
                  <w:rFonts w:ascii="Times New Roman" w:hAnsi="Times New Roman"/>
                  <w:b/>
                  <w:color w:val="0000FF"/>
                  <w:sz w:val="20"/>
                  <w:u w:val="single"/>
                </w:rPr>
                <w:t>SIGNATURES</w:t>
              </w:r>
            </w:hyperlink>
          </w:p>
        </w:tc>
        <w:tc>
          <w:tcPr>
            <w:tcW w:w="564" w:type="dxa"/>
            <w:tcBorders/>
            <w:tcMar>
              <w:top w:w="0" w:type="dxa"/>
              <w:left w:w="0" w:type="dxa"/>
              <w:bottom w:w="0" w:type="dxa"/>
              <w:right w:w="0" w:type="dxa"/>
            </w:tcMar>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“commitment to” or “scheduled to,” or other similar words, or the negative of these terms or other variations of these terms or comparable language, or by discussion of strategy or intentions.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2025, and in other securities filings by Great Lakes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“we,” “our,” “ours,” “us,” “Great Lakes”, “GLDD” and “Company” refer to Great Lakes Dredge &amp; Dock Corporation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 Lakes is the largest provider of dredging services in the United States which is complemented with a long history of performing significant international projects. The Company is also fully engaged in expanding its core business into the offshore energy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The Company now operates on the East and Gulf coastlines and throughout many inland U.S. waterways. Since its founding, Great Lakes has been a leader in the building and maintenance of the nation's navigation system, the protection of shore lines, the restoration of sensitive habitats and the creation of critical aquatic infrastructure.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in one operating segment, which is also the Company’s one reportable segment and reporting unit.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10, 2026, we entered into an Agreement and Plan of Merger (the “Merger Agreement”) with Saltchuk Resources, Inc. (“Saltchuk”) and Huron MergeCo. Inc. (“Merger Sub”). Pursuant to the Merger Agreement, on the terms and subject to the conditions set forth therein, Merger Sub will commence a tender offer to purchase any and all of the outstanding shares of the Company’s common stock at $17.00 per share (the “Offer”) and, following the consummation of the Offer, Merger Sub will be merged with and into the Company, with the Company continuing as the surviving corporation and a wholly owned subsidiary of Saltchuk (collectively with the Offer, the “Transaction”). The Transaction is expected to close in the second quarter of 2026, subject to customary closing conditions, including the tender of one share more than a majority of the outstanding shares of the Company’s common stock and receipt of required antitrust clearance. Upon closing of the Transaction, the Company’s common stock will be delisted from the Nasdaq Stock Market and deregistered under the Securities Exchange Act of 1934, as amended. See Part I, Item 1A, “Risk Factors,” Part II, Item 7, “Management's Discussion and Analysis of Financial Condition and Results of Operations,” and Note 1 of the Notes to Consolidated Financial Statements included in this Annual Report on Form 10-K for additional information regarding the Transaction.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Dredging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Dredging </w:t>
      </w:r>
      <w:r>
        <w:rPr>
          <w:rFonts w:ascii="Times New Roman" w:hAnsi="Times New Roman"/>
          <w:i/>
          <w:color w:val="000000"/>
          <w:sz w:val="20"/>
        </w:rPr>
        <w:t xml:space="preserve">(97% of 2025 revenue). </w:t>
      </w:r>
      <w:r>
        <w:rPr>
          <w:rFonts w:ascii="Times New Roman" w:hAnsi="Times New Roman"/>
          <w:color w:val="000000"/>
          <w:sz w:val="20"/>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three primary types of work: capital, coastal protection and maintenance including rivers &amp; lakes. Due to its lower materiality relative to the Company’s overall operations, projects previously presented as rivers &amp; lakes are now included in maintenance dredging throughout this Annual Report on Form 10-K. Prior periods presented herein have been updated to conform to the current presentation. These projects typically consist of lake and river dredging, inland levee and construction dredging, environmental restoration and habitat improvement and other marine construction projects. The Company’s “bid market” is defined as the aggregate dollar value of domestic dredging projects on which the Company bid or could have bid if not for capacity constraints or other considerations. The Company experienced an average combined bid market share in the U.S. of 29% over the three-year period ended December 31, 2025, including 36%, 46% and 15% of the domestic capital, coastal protection and maintenance sectors, respectively, exclusive of liquefied natural gas (“LNG”) projects.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Domestic Capital (51% of 2025 dredging revenues). </w:t>
      </w:r>
      <w:r>
        <w:rPr>
          <w:rFonts w:ascii="Times New Roman" w:hAnsi="Times New Roman"/>
          <w:color w:val="000000"/>
          <w:sz w:val="20"/>
        </w:rPr>
        <w:t>Capital dredging consists primarily of port expansion projects, which involve the deepening of channels and berthing basins to allow access by larger, deeper draft ships and the provision of land fill used to expand port facilities. This work also includes projects to prepare ports and channels for access by larger vessels into LNG terminals. In addition to port and LNG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Coastal protection (33% of 2025 dredging revenues).</w:t>
      </w:r>
      <w:r>
        <w:rPr>
          <w:rFonts w:ascii="Times New Roman" w:hAnsi="Times New Roman"/>
          <w:color w:val="000000"/>
          <w:sz w:val="20"/>
        </w:rPr>
        <w:t xml:space="preserve"> Coastal protection projects generally involve moving sand from the ocean floor to shoreline locations 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pStyle w:val="TextBody"/>
        <w:bidi w:val="0"/>
        <w:spacing w:before="240" w:after="283"/>
        <w:jc w:val="left"/>
        <w:rPr>
          <w:rFonts w:ascii="Times New Roman" w:hAnsi="Times New Roman"/>
          <w:sz w:val="20"/>
        </w:rPr>
      </w:pPr>
      <w:r>
        <w:rPr>
          <w:rFonts w:ascii="Times New Roman" w:hAnsi="Times New Roman"/>
          <w:i/>
          <w:color w:val="000000"/>
          <w:sz w:val="20"/>
        </w:rPr>
        <w:t>Maintenance (16% of 2025 dredging revenues).</w:t>
      </w:r>
      <w:r>
        <w:rPr>
          <w:rFonts w:ascii="Times New Roman" w:hAnsi="Times New Roman"/>
          <w:color w:val="000000"/>
          <w:sz w:val="20"/>
        </w:rPr>
        <w:t xml:space="preserve">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and drive the need for maintenance dredging.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Offshore energy</w:t>
      </w:r>
    </w:p>
    <w:p>
      <w:pPr>
        <w:pStyle w:val="TextBody"/>
        <w:bidi w:val="0"/>
        <w:spacing w:before="240" w:after="283"/>
        <w:jc w:val="left"/>
        <w:rPr>
          <w:rFonts w:ascii="Times New Roman" w:hAnsi="Times New Roman"/>
          <w:sz w:val="20"/>
        </w:rPr>
      </w:pPr>
      <w:r>
        <w:rPr>
          <w:rFonts w:ascii="Times New Roman" w:hAnsi="Times New Roman"/>
          <w:i/>
          <w:color w:val="000000"/>
          <w:sz w:val="20"/>
        </w:rPr>
        <w:t>Offshore energy (3% of 2025 revenue).</w:t>
      </w:r>
      <w:r>
        <w:rPr>
          <w:rFonts w:ascii="Times New Roman" w:hAnsi="Times New Roman"/>
          <w:color w:val="000000"/>
          <w:sz w:val="20"/>
        </w:rPr>
        <w:t xml:space="preserve"> Offshore energy consists of projects servicing the offshore wind, oil and gas, and power and telecommunication industries, both domestically and internationally.</w:t>
      </w:r>
    </w:p>
    <w:p>
      <w:pPr>
        <w:pStyle w:val="TextBody"/>
        <w:bidi w:val="0"/>
        <w:spacing w:before="360" w:after="283"/>
        <w:jc w:val="left"/>
        <w:rPr>
          <w:rFonts w:ascii="Times New Roman" w:hAnsi="Times New Roman"/>
          <w:sz w:val="20"/>
        </w:rPr>
      </w:pPr>
      <w:r>
        <w:rPr>
          <w:rFonts w:ascii="Times New Roman" w:hAnsi="Times New Roman"/>
          <w:b/>
          <w:i/>
          <w:color w:val="000000"/>
          <w:sz w:val="20"/>
        </w:rPr>
        <w:t>Offshore Energy Market</w:t>
      </w: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the Company continues to reinvest in our core dredging business and renew our dredging fleet, we remain steadfast in our commitment to executing a long-term strategy that maximizes growth opportunities for the Company.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Great Lakes has established a unique business position with our subsea rock installation (“SRI”) vessel, the </w:t>
      </w:r>
      <w:r>
        <w:rPr>
          <w:rFonts w:ascii="Times New Roman" w:hAnsi="Times New Roman"/>
          <w:i/>
          <w:color w:val="000000"/>
          <w:sz w:val="20"/>
        </w:rPr>
        <w:t>Acadia</w:t>
      </w:r>
      <w:r>
        <w:rPr>
          <w:rFonts w:ascii="Times New Roman" w:hAnsi="Times New Roman"/>
          <w:color w:val="000000"/>
          <w:sz w:val="20"/>
        </w:rPr>
        <w:t xml:space="preserve">, the first and only Jones Act SRI vessel being constructed in the United States, targeting the offshore wind, oil and gas and telecommunication industries, both domestically and internationally. In July 2025, the </w:t>
      </w:r>
      <w:r>
        <w:rPr>
          <w:rFonts w:ascii="Times New Roman" w:hAnsi="Times New Roman"/>
          <w:i/>
          <w:color w:val="000000"/>
          <w:sz w:val="20"/>
        </w:rPr>
        <w:t>Acadia</w:t>
      </w:r>
      <w:r>
        <w:rPr>
          <w:rFonts w:ascii="Times New Roman" w:hAnsi="Times New Roman"/>
          <w:color w:val="000000"/>
          <w:sz w:val="20"/>
        </w:rPr>
        <w:t xml:space="preserve"> was launched and is expected to be delivered and operational in the first half of 2026. The </w:t>
      </w:r>
      <w:r>
        <w:rPr>
          <w:rFonts w:ascii="Times New Roman" w:hAnsi="Times New Roman"/>
          <w:i/>
          <w:color w:val="000000"/>
          <w:sz w:val="20"/>
        </w:rPr>
        <w:t xml:space="preserve">Acadia </w:t>
      </w:r>
      <w:r>
        <w:rPr>
          <w:rFonts w:ascii="Times New Roman" w:hAnsi="Times New Roman"/>
          <w:color w:val="000000"/>
          <w:sz w:val="20"/>
        </w:rPr>
        <w:t xml:space="preserve">has secured offshore wind rock placement contracts for Equinor’s Empire Wind 1 and Ørsted’s Sunrise Wind projects to protect foundations and cables in the U.S., providing full utilization for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U.S. offshore wind projects under construction have resumed installation activities as a result of preliminary injunctions from U.S courts to lift pauses imposed by the Bureau of Ocean Energy Management in late 2025. Despite the headwinds in the U.S. domestic offshore wind market, we believe offshore wind remains an important part of the array of technologies required for the U.S. to meet the increasing demand for energy from the U.S. electrical grid. However, in anticipation of potential delays in U.S. offshore wind projects, we proactively expanded the </w:t>
      </w:r>
      <w:r>
        <w:rPr>
          <w:rFonts w:ascii="Times New Roman" w:hAnsi="Times New Roman"/>
          <w:i/>
          <w:color w:val="000000"/>
          <w:sz w:val="20"/>
        </w:rPr>
        <w:t>Acadia’s</w:t>
      </w:r>
      <w:r>
        <w:rPr>
          <w:rFonts w:ascii="Times New Roman" w:hAnsi="Times New Roman"/>
          <w:color w:val="000000"/>
          <w:sz w:val="20"/>
        </w:rPr>
        <w:t xml:space="preserve"> strategic target markets to include oil and gas pipeline protection, power and telecommunications cable protection, international offshore wind and critical subsea infrastructure protection.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international offshore wind and interconnector cable markets are strong. In January 2026, the United Kingdom (the “U.K.”) awarded 8.4 gigawatts (“GW”) of new offshore wind capacity in the largest offshore wind auction in European history. Closely following such U.K. Contracts for Difference (“CfD”) award, 10 countries in Europe and the U.K. signed the North Sea Summit “Investment Pact” to mobilize one trillion Euros in offshore wind investments for Europe. We secured our first two international offshore wind contracts in Europe with work expected to commence early in 2027, providing the </w:t>
      </w:r>
      <w:r>
        <w:rPr>
          <w:rFonts w:ascii="Times New Roman" w:hAnsi="Times New Roman"/>
          <w:i/>
          <w:color w:val="000000"/>
          <w:sz w:val="20"/>
        </w:rPr>
        <w:t>Acadia</w:t>
      </w:r>
      <w:r>
        <w:rPr>
          <w:rFonts w:ascii="Times New Roman" w:hAnsi="Times New Roman"/>
          <w:color w:val="000000"/>
          <w:sz w:val="20"/>
        </w:rPr>
        <w:t xml:space="preserve"> close to full utilization for the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build our offshore energy capabilities and position the Company for growth in the offshore energy markets, both domestically and internationally, as many of our European competitors have done in the international offshore energy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Dredging Demand Drivers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 following factors are important drivers of the demand for its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Deep port capital projects.</w:t>
      </w:r>
      <w:r>
        <w:rPr>
          <w:color w:val="000000"/>
        </w:rPr>
        <w:t xml:space="preserve"> </w:t>
      </w:r>
      <w:r>
        <w:rPr>
          <w:rFonts w:ascii="Times New Roman" w:hAnsi="Times New Roman"/>
          <w:color w:val="000000"/>
          <w:sz w:val="20"/>
        </w:rPr>
        <w:t xml:space="preserve">Since the Panama Canal Expansion project, the market for dredging has expanded as most of the East Coast and Gulf ports have deepening and widening projects that are required to better meet the needs of maritime trade and enhance the capabilities to compete for international trade. In addition, shipping line manufacturers continue to deploy larger and deeper ships which require greater channel depths for travel. Many U.S. ports are constrained due to the channel dimension requirements that are needed to accommodate these vessels. The Company has worked on several port deepenings along the East and Gulf coasts over the past years, including our current projects in Brownsville, Port Arthur, Freeport and Sabine. Funding for the Corps in 2025 was provided through continuing resolutions. On January 23,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Corps’ 2026 budget was signed into law by the President at a record $10.4 billion. Additional details will become available once the Corps releases its work plan. 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The WRDA of 2022 (“WRDA 2022”) included funding for deepening the New York and New Jersey shipping channels to 55 feet, as well as the Coastal Texas Protection and Restoration Program, which aims to protect the Texas Gulf Coast from hurricanes. On January 4, 2025, then President Biden signed the WRDA of 2024 (“WRDA 2024”) into law, which includes several capital projects and projects designed to enhance flood protection, improve coastal resilience and support ecosystem restoration. Port deepening projects are essential to maintaining safe and efficient navigation channels in ports and harbors along our coastlines. The Company believes that port deepening and expansion work authorized under current and anticipated future legislation will continue to provide significant opportunities for the domestic dredging industry. The annual bid market for domestic capital dredging, which includes deep port capital dredging and Gulf Coast restoration, excluding LNG projects, averaged $586 million over the three-year period ended December 31,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Substantial need for coastal protection.</w:t>
      </w:r>
      <w:r>
        <w:rPr>
          <w:color w:val="000000"/>
        </w:rPr>
        <w:t xml:space="preserve"> </w:t>
      </w:r>
      <w:r>
        <w:rPr>
          <w:rFonts w:ascii="Times New Roman" w:hAnsi="Times New Roman"/>
          <w:color w:val="000000"/>
          <w:sz w:val="20"/>
        </w:rPr>
        <w:t>Beach erosion is a recurring problem due to the normal ebb and flow of coastlines as well as the effects of severe storm activity. Growing populations in coastal communities and vital beach tourism are drawing attention to the importance of protecting beachfront assets. Over the past few years, both the federal government and state and local entities have funded beach projects recognizing the essential role these natural barriers play in absorbing storm energy and protecting public and private property. The 2023 Disaster Relief Supplemental Appropriations Act allocated $1.5 billion for infrastructure repairs and beach renourishment projects. This increased budget and additional funding resulted in a strong bid market in 2025 and we expect to see additional projects in 2026. The annual bid market for domestic coastal protection over the three-year period ended December 31, 2025 averaged $605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Required maintenance of U.S. ports.</w:t>
      </w:r>
      <w:r>
        <w:rPr>
          <w:color w:val="000000"/>
        </w:rPr>
        <w:t xml:space="preserve"> </w:t>
      </w:r>
      <w:r>
        <w:rPr>
          <w:rFonts w:ascii="Times New Roman" w:hAnsi="Times New Roman"/>
          <w:color w:val="000000"/>
          <w:sz w:val="20"/>
        </w:rPr>
        <w:t xml:space="preserve">The channels and waterways leading to U.S. ports have stated depths on which shippers rely when entering 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Additionally, on March 27, 2020, the U.S. government enacted the Coronavirus Aid, Relief and Economic Security Act (the “CARES Act”) which includes a provision that lifts caps on the Harbor Maintenance Trust Fund (“HMTF”), thereby allowing full access to future annual revenues. Additionally, Congress is utilizing the historically high level of the HMTF to support major maintenance dredging initiatives across the Corps’ projects involving deepening, maintenance and coastal dredging. The annual domestic bid market for maintenance dredging over the three-year period ended December 31, 2025 averaged $1,086 million.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Gulf coast restoration.</w:t>
      </w:r>
      <w:r>
        <w:rPr>
          <w:color w:val="000000"/>
        </w:rPr>
        <w:t xml:space="preserve"> </w:t>
      </w:r>
      <w:r>
        <w:rPr>
          <w:rFonts w:ascii="Times New Roman" w:hAnsi="Times New Roman"/>
          <w:color w:val="000000"/>
          <w:sz w:val="20"/>
        </w:rPr>
        <w:t>There has been continued focus on restoring the barrier islands and wetlands that provide natural protection from storms in the Gulf Coast area. Many restoration projects have commenced to repair coastal areas. Several additional projects are being planned by state and local governments to restore natural barriers. The State of Louisiana has proposed an update to its master plan calling for a $50 billion investment in its coastal infrastructure. By law, the Louisiana Coastal Protection and Restoration Authority (“CPRA”) must update its coastal master plan every six years and let the latest science guide each iteration. The 2023 plan marks the fourth released by the agency since it formed in 2005 following Hurricane Katrina. The 2023 plan contains 73 proposed projects aimed to lower the threat of storm surge and maintain as much of a natural buffer between communities and the Gulf of America as possible. Most of those specific projects are for coastal restoration, such as dredging sediment from water bottoms and pumping it elsewhere to create marsh, ridges or other natural features that provide habitat and storm protection. A handful of the projects involve diverting Mississippi River water into nearby bays to reconnect to a natural source of fresh water and sediment. Coastal restoration accounts for half the cost of the plan’s $50 billion aspirations. Many of the Gulf States, including Louisiana, have previously committed to spending a portion of the nearly $20 billion in fines received from the 2015 BP settlement of the Deepwater Horizon oil spill to repair the natural resources impacted by the event including coastal restoration projects that include dredging.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Energy projects.</w:t>
      </w:r>
      <w:r>
        <w:rPr>
          <w:color w:val="000000"/>
        </w:rPr>
        <w:t xml:space="preserve"> </w:t>
      </w:r>
      <w:r>
        <w:rPr>
          <w:rFonts w:ascii="Times New Roman" w:hAnsi="Times New Roman"/>
          <w:color w:val="000000"/>
          <w:sz w:val="20"/>
        </w:rPr>
        <w:t xml:space="preserve">The growth in demand for transportation of energy worldwide has driven the need for dredging to support new terminals, harbors, channels and pipelines. In turn, several LNG, petrochemical and crude oil projects are creating the need for port development in support of energy exports. Several North American LNG export projects have been delayed over the past couple of years since the pandemic. However, with the increase in LNG prices and sustained worldwide demand, additional LNG projects are expected to advance over the next several years. Additionally, as the offshore energy market develops in the U.S., port facilities will need to meet specific requirements to be able to service this industry. We anticipate these ports will require investments for port improvements that will include some dredging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order to serve as marshaling ports for various offshore energy projects. The Company continues to expect that future global energy demand will necessitate improvements in the energy infrastructure base and around sources of rich resources and in countries that import or export global energy.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details regarding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dredging industry’s customers include federal, state and local governments, foreign governments and both domestic and foreign private customers, such as utilities and oil and gas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2025, approximately 48% of the Company’s total revenues were generated from 29 different contracts with federal agencies or third parties operating under contracts with federal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Offshore energy customers include both domestic and foreign customers, such as utility companies, offshore wind developers, cable installers, offshore installation contractors and oil and gas companies.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Bidding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among other things, the contractor’s experience, equipment and schedule, safety record and contractual terms, as well as price. While substantially all of the Company’s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Offshore energy project bidding is generally available to contractors after going through a pre-qualification process and being invited to bid through a request for quotation process. The bidding process is competitive and may involve multiple stages and bids for a single project. Final selection is typically made based on various criteria, including schedule availability, price, and contractual terms and conditions, among others.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Bonding and Project 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Bid bonds are generally obtained for a percentage of bid value and amounts outstanding typically range from $1.0 million to $10.0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bonding agreements with Liberty Mutual Insurance Company, Philadelphia Indemnity Insurance Company, Ascot Surety and Casualty Company, Ascot Insurance Company, Endurance Assurance Company, Endurance American Insurance Company, Lexon Insurance Company, Bond Safeguard Insurance Company, AXIS Insurance Company and AXIS Reinsurance Company (collectively, the “Sureties”) under which the Company can obtain performance, bid and payment bonds. The Company has bonding agreements in place with Argonaut Insurance Company and Westchester Fire Insurance Company but does not currently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obtain new performance, bid, and payment bonds from these sureties. The Company also currently has outstanding bonds with AXIS Insurance Company, Liberty Mutual Insurance Company, Endurance Assurance Corporation, Westchester Fire Insurance Company, Travelers Casualty and Surety Company of America, Ascot Surety &amp; Casualty Company, and Philadelphia Indemnity Insurance Company. Great Lakes has never experienced difficulty in obtaining bonding for any of its projects and Great Lakes has never failed to complete a marine project in its 136 year history.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certain projects, including foreign, private and offshore energy projects, letters of credit or bank guarantees are required as security for the performance and, if applicable, bid or advance payment guarantees. The Company obtains its letters of credit under the ABL Amendment (as defined below). Bid guarantees are usually 2% to 5% of the service provider’s bid. Performance and advance payment guarantees are each typically 5% to 20% of the contract value.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dredging industry is highly fragmented, composed of many small operators, primarily in maintenance dredging. Most of these dredges are smaller and service the inland, as opposed to coastal waterways, and therefore do not generally compete with Great Lakes. Competition is determined by the size and complexity of the job, equipment bonding and certification requirements and government regulations. Great Lakes and two other companies comprised approximately 56% of the Company’s defined bid market related to domestic capital (excluding LNG), coastal protection and maintenance over the three-year period ended December 31, 2025. Within the Company’s bid market, competition is determined primarily on the basis of price. In addition, the Foreign Dredge Act of 1906 (the “Dredging Act”) and Section 27 of the Merchant Marine Act of 1920 (the “Jones Act”) provide significant barriers to entry with respect to foreign competition. Together these two laws prohibit foreign-built, chartered or operated vessels from competing in the U.S. See “Business—Government Regulations” below. The U.S. offshore energy competition, specifically for subsea rock installation, comes from international SRI vessels; however, the Jones Act provides significant barriers to international competition for certain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in the international market for both dredging and offshore energy is dominated by four large European companies all of which operate larger equipment and fleets that are more extensive than the Company’s fleet. Additionally, a large Chinese dredging company controls most of its local market and is a key player in the international market. There are also several governmentally supported dredging companies that operate on a local or regional basis. The Company targets opportunities that are well suited to its equipment and where it can be most competitive.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 Lakes’ fleet of dredges, material barges and other specialized equipment is the largest and most diverse in the U.S. The Company operates three principal types of dredging equipment: hopper dredges, hydraulic dredges and mechanical dredges.</w:t>
      </w:r>
    </w:p>
    <w:p>
      <w:pPr>
        <w:pStyle w:val="TextBody"/>
        <w:bidi w:val="0"/>
        <w:spacing w:before="240" w:after="283"/>
        <w:jc w:val="left"/>
        <w:rPr>
          <w:rFonts w:ascii="Times New Roman" w:hAnsi="Times New Roman"/>
          <w:sz w:val="20"/>
        </w:rPr>
      </w:pPr>
      <w:r>
        <w:rPr>
          <w:rFonts w:ascii="Times New Roman" w:hAnsi="Times New Roman"/>
          <w:i/>
          <w:color w:val="000000"/>
          <w:sz w:val="20"/>
        </w:rPr>
        <w:t>Hopper Dredges.</w:t>
      </w:r>
      <w:r>
        <w:rPr>
          <w:rFonts w:ascii="Times New Roman" w:hAnsi="Times New Roman"/>
          <w:color w:val="000000"/>
          <w:sz w:val="20"/>
        </w:rPr>
        <w:t xml:space="preserve"> Hopper dredges are typically self-propelled and have the general appearance of an ocean-going vessel. The dredge has hollow hulls, 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The Company took delivery of a 6,500 cubic yard trailing suction hopper dredge, the </w:t>
      </w:r>
      <w:r>
        <w:rPr>
          <w:rFonts w:ascii="Times New Roman" w:hAnsi="Times New Roman"/>
          <w:i/>
          <w:color w:val="000000"/>
          <w:sz w:val="20"/>
        </w:rPr>
        <w:t>Amelia Island</w:t>
      </w:r>
      <w:r>
        <w:rPr>
          <w:rFonts w:ascii="Times New Roman" w:hAnsi="Times New Roman"/>
          <w:color w:val="000000"/>
          <w:sz w:val="20"/>
        </w:rPr>
        <w:t xml:space="preserve">, which began operations in the third quarter of 2025. The </w:t>
      </w:r>
      <w:r>
        <w:rPr>
          <w:rFonts w:ascii="Times New Roman" w:hAnsi="Times New Roman"/>
          <w:i/>
          <w:color w:val="000000"/>
          <w:sz w:val="20"/>
        </w:rPr>
        <w:t>Galveston Island</w:t>
      </w:r>
      <w:r>
        <w:rPr>
          <w:rFonts w:ascii="Times New Roman" w:hAnsi="Times New Roman"/>
          <w:color w:val="000000"/>
          <w:sz w:val="20"/>
        </w:rPr>
        <w:t xml:space="preserve">, another 6,500 cubic yard trailing suction hopper dredge, began operations in the first quarter of 2024. The </w:t>
      </w:r>
      <w:r>
        <w:rPr>
          <w:rFonts w:ascii="Times New Roman" w:hAnsi="Times New Roman"/>
          <w:i/>
          <w:color w:val="000000"/>
          <w:sz w:val="20"/>
        </w:rPr>
        <w:t>Galveston Island</w:t>
      </w:r>
      <w:r>
        <w:rPr>
          <w:rFonts w:ascii="Times New Roman" w:hAnsi="Times New Roman"/>
          <w:color w:val="000000"/>
          <w:sz w:val="20"/>
        </w:rPr>
        <w:t xml:space="preserve"> and </w:t>
      </w:r>
      <w:r>
        <w:rPr>
          <w:rFonts w:ascii="Times New Roman" w:hAnsi="Times New Roman"/>
          <w:i/>
          <w:color w:val="000000"/>
          <w:sz w:val="20"/>
        </w:rPr>
        <w:t>Amelia Island</w:t>
      </w:r>
      <w:r>
        <w:rPr>
          <w:rFonts w:ascii="Times New Roman" w:hAnsi="Times New Roman"/>
          <w:color w:val="000000"/>
          <w:sz w:val="20"/>
        </w:rPr>
        <w:t xml:space="preserve"> hopper dredges have provided the Company with added capacity and the opportunity to potentially retire older dredges.</w:t>
      </w:r>
    </w:p>
    <w:p>
      <w:pPr>
        <w:pStyle w:val="TextBody"/>
        <w:bidi w:val="0"/>
        <w:spacing w:before="240" w:after="283"/>
        <w:jc w:val="left"/>
        <w:rPr>
          <w:rFonts w:ascii="Times New Roman" w:hAnsi="Times New Roman"/>
          <w:sz w:val="20"/>
        </w:rPr>
      </w:pPr>
      <w:r>
        <w:rPr>
          <w:rFonts w:ascii="Times New Roman" w:hAnsi="Times New Roman"/>
          <w:i/>
          <w:color w:val="000000"/>
          <w:sz w:val="20"/>
        </w:rPr>
        <w:t>Hydraulic Dredges.</w:t>
      </w:r>
      <w:r>
        <w:rPr>
          <w:rFonts w:ascii="Times New Roman" w:hAnsi="Times New Roman"/>
          <w:color w:val="000000"/>
          <w:sz w:val="20"/>
        </w:rPr>
        <w:t xml:space="preserve"> Hydraulic dredges remove material using a revolving cutterhead which cuts and churns the sediment on the channel or ocean floor 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Our smaller hydraulic dredges use pipe sizes ranging from 18” to 22” and operate at between 2,500 and 6,000 total horsepower, while the Company’s other hydraulic dredges use pipe sizes ranging from 18” to 30” and operate at between 1,900 and 16,650 total horsepower. During 2025, the Company sold one of its smaller hydraulic dredges as part of its ongoing fleet modernization program.</w:t>
      </w:r>
    </w:p>
    <w:p>
      <w:pPr>
        <w:pStyle w:val="TextBody"/>
        <w:bidi w:val="0"/>
        <w:spacing w:before="240" w:after="283"/>
        <w:jc w:val="left"/>
        <w:rPr>
          <w:rFonts w:ascii="Times New Roman" w:hAnsi="Times New Roman"/>
          <w:sz w:val="20"/>
        </w:rPr>
      </w:pPr>
      <w:r>
        <w:rPr>
          <w:rFonts w:ascii="Times New Roman" w:hAnsi="Times New Roman"/>
          <w:i/>
          <w:color w:val="000000"/>
          <w:sz w:val="20"/>
        </w:rPr>
        <w:t>Mechanical Dredges.</w:t>
      </w:r>
      <w:r>
        <w:rPr>
          <w:rFonts w:ascii="Times New Roman" w:hAnsi="Times New Roman"/>
          <w:color w:val="000000"/>
          <w:sz w:val="20"/>
        </w:rPr>
        <w:t xml:space="preserve"> There are two basic types of mechanical dredges: clamshell and backhoe. In both types, the dredge uses a bucket to excavate material from the channel or ocean floor. The dredged material is placed by the bucket into material barges, or “scows,” for transport to the designated disposal area. The scows are emptied by bottom-dumping, direct pump-out or removal by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crane with a bucket. The backhoe dredge is capable of removing hard-packed sediments, blasted rock and debris and can work in tight areas such as along docks or terminals. Clamshell dredges with specialized buckets are ideally suited to handle softer silts and maintenance material requiring environmentally controlled excavation and disposal. Additionally, the Company owns an electric clamshell dredge which provides an advantage in those markets with stringent emissions standards. During 2025, the Company sold one mechanical dredge as part of its ongoing fleet modernization program. </w:t>
      </w:r>
    </w:p>
    <w:p>
      <w:pPr>
        <w:pStyle w:val="TextBody"/>
        <w:bidi w:val="0"/>
        <w:spacing w:before="240" w:after="283"/>
        <w:jc w:val="left"/>
        <w:rPr>
          <w:rFonts w:ascii="Times New Roman" w:hAnsi="Times New Roman"/>
          <w:sz w:val="20"/>
        </w:rPr>
      </w:pPr>
      <w:r>
        <w:rPr>
          <w:rFonts w:ascii="Times New Roman" w:hAnsi="Times New Roman"/>
          <w:i/>
          <w:color w:val="000000"/>
          <w:sz w:val="20"/>
        </w:rPr>
        <w:t>Scows.</w:t>
      </w:r>
      <w:r>
        <w:rPr>
          <w:rFonts w:ascii="Times New Roman" w:hAnsi="Times New Roman"/>
          <w:color w:val="000000"/>
          <w:sz w:val="20"/>
        </w:rPr>
        <w:t xml:space="preserve"> The Company has the largest fleet of material barges in the domestic industry, which provides cost advantages when dredged material is required to be disposed far offshore or when material requires controlled disposal. The Company uses scows with its hydraulic dredges and mechanical dredges. Scows are an efficient and cost-effective way to move material and increase dredging production. The Company has thirteen scows in its fleet with a capacity ranging from 5,000 to 8,800 cubic yards. The Company placed into service three new scows during 2022, each 8,800 cubic yards in size. During 2023, the Company entered into a sale leaseback transaction for the three scows placed into service in 2022. The transaction generated gross cash proceeds of $29.5 million. Additionally in 2023, the Company retired three scows as part of its ongoing fleet modernization program. </w:t>
      </w:r>
    </w:p>
    <w:p>
      <w:pPr>
        <w:pStyle w:val="TextBody"/>
        <w:bidi w:val="0"/>
        <w:spacing w:before="240" w:after="283"/>
        <w:jc w:val="left"/>
        <w:rPr>
          <w:rFonts w:ascii="Times New Roman" w:hAnsi="Times New Roman"/>
          <w:sz w:val="20"/>
        </w:rPr>
      </w:pPr>
      <w:r>
        <w:rPr>
          <w:rFonts w:ascii="Times New Roman" w:hAnsi="Times New Roman"/>
          <w:i/>
          <w:color w:val="000000"/>
          <w:sz w:val="20"/>
        </w:rPr>
        <w:t>Multi Cats.</w:t>
      </w:r>
      <w:r>
        <w:rPr>
          <w:rFonts w:ascii="Times New Roman" w:hAnsi="Times New Roman"/>
          <w:color w:val="000000"/>
          <w:sz w:val="20"/>
        </w:rPr>
        <w:t xml:space="preserve"> In 2023, the Company took delivery of two Damen multifunctional all-purpose vessels (“Multi Cats”), the </w:t>
      </w:r>
      <w:r>
        <w:rPr>
          <w:rFonts w:ascii="Times New Roman" w:hAnsi="Times New Roman"/>
          <w:i/>
          <w:color w:val="000000"/>
          <w:sz w:val="20"/>
        </w:rPr>
        <w:t xml:space="preserve">Cape Hatteras </w:t>
      </w:r>
      <w:r>
        <w:rPr>
          <w:rFonts w:ascii="Times New Roman" w:hAnsi="Times New Roman"/>
          <w:color w:val="000000"/>
          <w:sz w:val="20"/>
        </w:rPr>
        <w:t xml:space="preserve">and the </w:t>
      </w:r>
      <w:r>
        <w:rPr>
          <w:rFonts w:ascii="Times New Roman" w:hAnsi="Times New Roman"/>
          <w:i/>
          <w:color w:val="000000"/>
          <w:sz w:val="20"/>
        </w:rPr>
        <w:t>Cape Canaveral</w:t>
      </w:r>
      <w:r>
        <w:rPr>
          <w:rFonts w:ascii="Times New Roman" w:hAnsi="Times New Roman"/>
          <w:color w:val="000000"/>
          <w:sz w:val="20"/>
        </w:rPr>
        <w:t>. These vessels greatly improve the safety and efficiency of pipe and anchor operations. The two vessels are the first Damen Multi Cats to be built in the U.S. and are fully compliant with the U.S. Coast Guard and the Corps stability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numerous pieces of smaller equipment that support its dredging operations. Great Lakes’ domestic dredging fleet is typically positioned on the East and Gulf Coasts, with certain of its dredges on inland rivers and lakes. The mobility of the fleet enables the Company to move equipment in response to changes in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continually assesses its need to upgrade and expand its dredging fleet to take advantage of improving technology, to address the changing needs of the dredging market and to retire older, less efficient dredges.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also committed to a reliability-assured maintenance program, which it believes is reflected in the long lives of most if its equipment and its low level of unscheduled downtime on jobs. To the extent that market conditions warrant the expenditures, Great Lakes can prolong the useful life of its vessels.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Seasonality generally does have a significant impact on the Company’s operations. Moreover,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Weather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experiences both positive and negative deviations from project weather allowances. Recent years have seen a marked change in weather patterns, particularly in the Northeastern U.S., which has adversely impacted some of our projects.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the Company employed 380 full-time salaried and non-exempt personnel in the U.S., including those in a corporate function. In addition, the Company employs U.S. hourly personnel, most of whom are unionized, on a project-by-project basis. Crews are generally available for hire on relatively short notice. During 2025, the Company employed an average of approximately 716 hourly personnel to meet domestic project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employees are based across the U.S. with several project locations on the coasts and office locations in Houston, Texas and Staten Island, New York.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the Company employed 15 foreign nationals and 3 local staff to manage and administer its Middle East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seeks to attract, select, hire, retain, incentivize and integrate our existing and future employees. To achieve our goal of attracting and retaining the most talented employees in the industry, we offer a respectful and safe work environment with competitive compensation and benefits that support employees’ physical, financial and emotional health. The principal objective of our equity incentive plans is to attract, retain and motivate executives and selected employees through the granting of stock-based compensation awards. We offer employees benefits including a 401(k) plan with employer contributions; health, life and disability insurance; additional voluntary insurance; paid time off; parental leave; and paid employee assistance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 a core value at GLDD, and our Incident &amp; Injury Free® (IIF®) safety approach management program is integrated into all aspects of our culture. The Company’s safety culture is committed to training, behavioral based awareness and mutual responsibility for the wellbeing of its employees. The Company’s goal is sustainable safety excellence. Incident prevention in all areas has top priority in the Company’s business planning, in the overall conduct of its business and in the operation and maintenance of our equipment (marine and land) and facilities.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Unions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(“SIU”). The Company’s master and ancillary contracts with IUOE Local 25 will expire on September 30, 2027. Our agreements with the SIU expire on February 28, 2029.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government regulations pursuant to the Dredging Act, the Jones Act, the Shipping Act, 1916 (the “Shipping Act”) and the vessel documentation laws set forth in Chapter 121 of Title 46 of the United States Code. These statutes require vessels engaged in dredging in the navigable waters of the United States to be documented with a coastwise endorsement, and, among other things, to be owned and controlled by U.S. citizens, to be manned by U.S. crews, and to be built in the United States.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citizen ownership and control standards require the vessel-owning entity to be at least 75% U.S. citizen owned and prohibit the chartering of the vessel to any entity that does not meet the 75% U.S. citizen ownership test.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facilities and vessels are subject to various environmental laws and regulations related to, among other things: dredging operations; the disposal of dredged material; protection of wetlands; storm water and waste water discharges; and air emissions.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environmental laws such as the U.S. Comprehensive Environmental Response, Compensation and Liability Act of 1980, the Clean Water Act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pStyle w:val="TextBody"/>
        <w:bidi w:val="0"/>
        <w:spacing w:before="360" w:after="283"/>
        <w:jc w:val="left"/>
        <w:rPr>
          <w:rFonts w:ascii="Times New Roman" w:hAnsi="Times New Roman"/>
          <w:sz w:val="20"/>
        </w:rPr>
      </w:pPr>
      <w:r>
        <w:rPr>
          <w:rFonts w:ascii="Times New Roman" w:hAnsi="Times New Roman"/>
          <w:b/>
          <w:color w:val="000000"/>
          <w:sz w:val="20"/>
        </w:rPr>
        <w:t>Information about our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names and ages of all of the Company’s executive officers and the positions and offices currently held by them.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1"/>
        <w:gridCol w:w="146"/>
        <w:gridCol w:w="436"/>
        <w:gridCol w:w="146"/>
        <w:gridCol w:w="746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6"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Johanson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Project Acquisition &amp; Operations</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G. Gunsten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Project Services &amp; Fleet Engineering</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Eleni Beyko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Offshore Energy</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Vivienne R. Schiffer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Legal Officer, Chief Compliance Officer &amp; Corporate Secretary</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H. Hanson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Market Development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Lasse J. Petterson, President, Chief Executive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Petterson has served as Chief Executive Officer (“CEO”) since May 2017, as a member of our board of directors since 2016 and was also named President in 2020. Mr. Petterson most recently had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 of 20 years. He spent the first nine years of his career in various positions at Norwegian Contractors,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offshore oil &amp; gas platform contractor. Mr. Petterson holds both master’s and bachelor’s degrees from the Norwegian University of Technology.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Scott Kornblau, Senior Vice President and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Kornblau was named Senior Vice President and Chief Financial Officer (“CFO”) when he joined the Company in October 2021, and also served as Treasurer of the Company from January 2022 through April 2024. In his over 25 years of professional experience prior, Mr. Kornblau has held various finance and leadership positions at Diamond Offshore Drilling, Inc. (“Diamond”), most recently as Senior Vice President and Chief Financial Officer since July 2018. Prior to Mr. Kornblau’s appointment as CFO, he held the roles of acting CFO since December 2017 in addition to his Vice President and Treasurer position at Diamond since January 2017. Mr. Kornblau earned a Bachelor of Arts degree in Accounting from the University of Texas at Austin. Mr. Kornblau is a certified public accountant.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David Johanson, Senior Vice President, Project Acquisition &amp;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Johanson was named Senior Vice President, Project Acquisition &amp; Operation in July 2022 after serving as Senior Vice President, Gulf Region. Before that, Mr. Johanson was promoted to Vice President and Hydraulic Division Manager in 2015 and served as Vice President Project Director of Charleston Deepening Projects from 2018-2020, which included the largest dredging contract ever awarded by the U.S. Army Corps of Engineers. He joined the Company in 1994 as a field engineer and has held positions of increasing responsibility in project management. Mr. Johanson earned a Bachelor of Science degree in Ocean Engineering from the Virginia Polytechnic Institute &amp; State University and a MBA with a finance specialization from the University of South Carolina. He is a current board member of the Western Dredging Association, a member of the Moles and a member of American Society of Civil Engineers.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Christopher G. Gunsten, Senior Vice President, Project Services &amp; Fleet Engineering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Gunsten was appointed to the position of Senior Vice President, Project Services &amp; Fleet Engineering in July 2022 after serving as Senior Vice President, Project Services. Previously he served as Vice President, International Operations with responsibility for acquiring projects, providing estimation data and leading field supervision of work in progress. Mr. Gunsten began his career with the Company as a field engineer in 1992. His career highlights include serving as Deputy Project Manager for Chevron’s Wheatstone LNG Project’s Engineering, Procure and Construct dredging subcontract in Onslow, WA, Australia valued at $1.2 billion AUD, as Project Manager executing a series of capital projects for the USACE New York District’s 45 and 50 Foot Harbor Deepening Programs and as Operations Manager for the Company's Øresund Fixed Link Project in Copenhagen, Denmark. He received his Bachelor of Science degree in Civil Engineering from Rutgers University and his MBA from Loyola University Chicago.</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Eleni Beyko, Senior Vice President, Offshore Energy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Beyko joined Great Lakes in January 2021 as Senior Vice President, Offshore Wind and currently serves as the Company’s Senior Vice President, Offshore Energy. She is responsible for offshore energy strategy, business development and operations. Dr. Beyko has over 30 years of experience in business and executive leadership for the automobile and offshore energy industries. In the last 5 years, she has organically built GLDD’s capability and team in offshore energy, developed the business and the client base in the US, and is now focusing on building GLDD’s capability for international operations in offshore energy, aiming to achieve international growth for Great Lakes. Before joining GLDD, she served as Director, Energy Transition for Americas at TechnipFMC. She was responsible for positioning TechnipFMC to support the transition into new and economically viable wind energy resources, and managing the Makani wind-borne energy spar offshore platform installation in partnership with Shell and Google X. Dr. Beyko graduated with a Diploma from the National Technical University Athens in Mechanical Engineering, Naval Architecture &amp; Marine Engineering. She attended the University of Michigan where she earned her MSE, Naval Architecture and Marine Engineering, MSE Applied Mechanics, Mechanical Engineering, Master of Business Administration (MBA) and Ph.D., Naval Architecture and Marine Engineering.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Vivienne R. Schiffer, Senior Vice President, Chief Legal Officer, Chief Compliance Officer and Corporate Secretary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Ms. Schiffer joined the Company in December 2020 as Senior Vice President, Chief Legal Officer, Chief Compliance Officer and Corporate Secretary. Ms. Schiffer leads the Company's legal, compliance and human resource organizations, providing legal and business counsel. Ms. Schiffer’s specific responsibilities include the oversight of corporate governance, policy and regulatory strategy development, litigation, environmental matters, intellectual property, global corporate compliance, cybersecurity and labor and employment laws. Ms. Schiffer was a corporate and securities partner in the global firm of Thompson &amp; Knight, LLP, now Holland &amp; Knight, LLP, from 2003 to 2010. She was of counsel in the firm’s corporate and securities section from 2011 until 2020. She has over 40 years of experience and has held significant legal, business and operational leadership roles in the industrials sector. Ms. Schiffer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earned a Bachelor of Science degree from the University of Central Arkansas and a Juris Doctor degree from Tulane University. A member of the Asian American Journalists Association, Ms. Schiffer holds a certification in sustainability from Stanford University Graduate School of Business and a certification in Cybersecurity Governance for the Board of Directors from the Massachusetts Institute of Technology Sloan School of Management.</w:t>
      </w:r>
    </w:p>
    <w:p>
      <w:pPr>
        <w:pStyle w:val="TextBody"/>
        <w:bidi w:val="0"/>
        <w:spacing w:before="360" w:after="283"/>
        <w:jc w:val="left"/>
        <w:rPr>
          <w:rFonts w:ascii="Times New Roman" w:hAnsi="Times New Roman"/>
          <w:sz w:val="20"/>
        </w:rPr>
      </w:pPr>
      <w:r>
        <w:rPr>
          <w:rFonts w:ascii="Times New Roman" w:hAnsi="Times New Roman"/>
          <w:i/>
          <w:color w:val="000000"/>
          <w:sz w:val="20"/>
        </w:rPr>
        <w:t>William</w:t>
      </w:r>
      <w:r>
        <w:rPr>
          <w:rFonts w:ascii="Times New Roman" w:hAnsi="Times New Roman"/>
          <w:color w:val="2E2E2E"/>
          <w:sz w:val="20"/>
        </w:rPr>
        <w:t xml:space="preserve"> </w:t>
      </w:r>
      <w:r>
        <w:rPr>
          <w:rFonts w:ascii="Times New Roman" w:hAnsi="Times New Roman"/>
          <w:i/>
          <w:color w:val="2E2E2E"/>
          <w:sz w:val="20"/>
        </w:rPr>
        <w:t xml:space="preserve">H. Hanson, Senior Vice President, Market </w:t>
      </w:r>
      <w:r>
        <w:rPr>
          <w:rFonts w:ascii="Times New Roman" w:hAnsi="Times New Roman"/>
          <w:i/>
          <w:color w:val="000000"/>
          <w:sz w:val="20"/>
        </w:rPr>
        <w:t>Development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Mr. </w:t>
      </w:r>
      <w:r>
        <w:rPr>
          <w:rFonts w:ascii="Times New Roman" w:hAnsi="Times New Roman"/>
          <w:color w:val="2E2E2E"/>
          <w:sz w:val="20"/>
        </w:rPr>
        <w:t xml:space="preserve">Hanson was named Senior Vice President, Market Development in January 2023 after serving as Senior Vice President - Government Relations &amp; Business Development, a position he had held since March 2020. He was named Vice President of the Company in 2004. Mr. Hanson worked for Connolly Pacific of Long Beach, California before joining GLDD in 1988. Prior to his work at Connolly Pacific, Mr. Hanson was with the U.S. Army Corps of Engineers. Mr. Hanson serves on several Federal Advisory Committees as well as on boards of groups with national and regional interest to the Company and several academic advisory boards related to ocean and coastal engineering. Mr. Hanson is an Ocean Engineering graduate of Texas A&amp;M University where he was named a distinguished alumnus in </w:t>
      </w:r>
      <w:r>
        <w:rPr>
          <w:rFonts w:ascii="Times New Roman" w:hAnsi="Times New Roman"/>
          <w:color w:val="000000"/>
          <w:sz w:val="20"/>
        </w:rPr>
        <w:t>2013.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Availability of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You may read and obtain copies of any materials Great Lakes files with the SEC, including without limitation, the Company’s Annual Report on Form 10-K, quarterly reports on Form 10-Q, current reports on Form 8-K, and amendments to those reports, free of charge, at the SEC’s website, </w:t>
      </w:r>
      <w:r>
        <w:rPr>
          <w:rFonts w:ascii="Times New Roman" w:hAnsi="Times New Roman"/>
          <w:color w:val="0000FF"/>
          <w:sz w:val="20"/>
        </w:rPr>
        <w:t>www.sec.gov</w:t>
      </w:r>
      <w:r>
        <w:rPr>
          <w:rFonts w:ascii="Times New Roman" w:hAnsi="Times New Roman"/>
          <w:color w:val="000000"/>
          <w:sz w:val="20"/>
        </w:rPr>
        <w:t xml:space="preserve">. Great Lakes’ SEC filings are also available to the public, free of charge, on our corporate website, </w:t>
      </w:r>
      <w:r>
        <w:rPr>
          <w:rFonts w:ascii="Times New Roman" w:hAnsi="Times New Roman"/>
          <w:color w:val="0000FF"/>
          <w:sz w:val="20"/>
        </w:rPr>
        <w:t>www.gldd.com</w:t>
      </w:r>
      <w:r>
        <w:rPr>
          <w:rFonts w:ascii="Times New Roman" w:hAnsi="Times New Roman"/>
          <w:color w:val="000000"/>
          <w:sz w:val="20"/>
        </w:rPr>
        <w:t>, at “Investors – Financials &amp; Filings”, as soon as reasonably practicable after Great Lakes electronically files such material with, or furnishes it to, the SEC. The reference to the Company’s website does not constitute incorporation by reference of information contained on or accessible through such website.</w:t>
      </w:r>
    </w:p>
    <w:p>
      <w:pPr>
        <w:pStyle w:val="TextBody"/>
        <w:bidi w:val="0"/>
        <w:spacing w:before="360" w:after="283"/>
        <w:jc w:val="left"/>
        <w:rPr>
          <w:rFonts w:ascii="Times New Roman" w:hAnsi="Times New Roman"/>
          <w:sz w:val="20"/>
        </w:rPr>
      </w:pPr>
      <w:bookmarkStart w:id="3" w:name="item_1a_risk_factors_1"/>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Risks not currently known to the Company or that the Company currently deems to be immaterial may also materially and adversely affect the Company's business, operating results, financial condition and the actual outcome of matters as to which forward-looking statements are made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grouped our Risk Factors under captions that we believe describe various categories of potential risk. For the reader’s convenience, we have not duplicated risk factors that could be considered to be included in more than one category.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principal risks that could adversely affect, or have adversely affected, the Company’s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satisfy the conditions to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associated with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complete the Transaction within the expected timeframe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the Merger Agreement limiting our ability to pursue alternatives to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conduct of our business under the Merger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lawsuits arising out of the proposed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inability to benefit from future Company growth if the Transaction is completed;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difficulties related to the Transaction and integration of both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reduction in government funding for dredging and other contracts, or government cancellation of such contracts, or the inability of the Corps to let bids to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qualify as an eligible bidder under government contract criteria and to compete successfully against other qualified bidders in order to obtain government dredging and other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political environment and governmental fiscal and monetary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over-runs, operating cost inflation and potential claims for liquidated damages, particularly with respect to our fixed-price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performance on contracts and new contracts being awarded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liabilities that could be imposed were we to fail to comply with government contracting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Project delays related to the increasingly negative impacts of climate change or other unusual, non-historical weather patterns;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necessary to operate and maintain our existing vessels and the construction of new vessels, including with respect to changes in applicable regulations or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or mechanical failures;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 epidemic or outbreak of an infectious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our supply chain for procurement of new vessel build materials or maintenance on our existing vessels;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and operational costs due to environmental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and regulatory responses to climate change, including proposed regulations concerning emissions reporting and future emissions reduction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penalties for any projects that are completed late;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Force majeure events, including natural disasters, war and terrorists’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amount of our estimated backlog;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negative changes attributable to large, single customer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financing for the construction of new vessels;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secure contracts to utilize our new offshore energy vessel;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delays and cost overruns related to the construction of our new vessels;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Any failure</w:t>
      </w:r>
      <w:r>
        <w:rPr>
          <w:color w:val="000000"/>
        </w:rPr>
        <w:t xml:space="preserve"> </w:t>
      </w:r>
      <w:r>
        <w:rPr>
          <w:rFonts w:ascii="Times New Roman" w:hAnsi="Times New Roman"/>
          <w:color w:val="000000"/>
          <w:sz w:val="20"/>
        </w:rPr>
        <w:t>to comply with the Jones Act provisions on coastwise trade, or if those provisions were modified, repealed or interpreted differently;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anti-discrimination laws, including those pertaining to diversity, equity and inclusion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fuel prices, particularly given our dependence on petroleum-based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nationwide inflation on procurement of new build and vessel maintenance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bonding or letters of credit and risks associated with draws by the surety on outstanding bonds or calls by the beneficiary on outstanding letters of credit;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 integration and consolidation, including transaction expenses, unexpected liabilities and operational challenges and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Divestitures and discontinued operations, including retained liabilities from businesses that we sell or discontinue;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penalties and reputational damage as a result of legal and regulatory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liabilities imposed on us for the obligations of joint ventures and similar arrangements and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of certain material used in our operations due to newly imposed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Unionized labor force work stoppages;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liabilities for job-related claims under federal law, which does not provide for the liability limitations typically present under state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Operational hazards, including any liabilities or losses relating to personal or property damage resulting from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substantial amount of indebtedness, which makes us more vulnerable to adverse economic and competitive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operation of our business imposed by financing terms and covenants;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adverse capital and credit market conditions on our ability to meet liquidity needs and access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hedging strategy imposed by statutory and regulatory requirements for derivative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risks, in particular, related to the new offshore energy vessel build;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attributable to our investments in privately financed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foreign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imposed by Delaware law and our charter on takeover transactions that stockholders may consider to be favorable;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declare dividends imposed by our financing agreements or Delaware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fluctuations in the market price of our common stock, which may make it difficult for holders to resell our common stock when they want or at prices that they find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implement our share repurchase program and whether such program will enhance long-term stockholder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previously recorded net revenue and profit as a result of the significant estimates made in connection with our methods of accounting for recognized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adequate level of insurance coverage;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find, attract and retain key personnel and skilled labor;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failures, data corruption, cyber-based attacks, security breaches, or regulatory non-compliance affecting our information technology and operational technology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Impairments of our goodwill or other intangible assets.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the Pending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Transaction is subject to a number of conditions, which may not be satisfied in a timely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2026, we entered into the Merger Agreement with Saltchuk and Merger Sub. Completion of the Transaction is subject to various closing conditions, including the tender of one share more than a majority of the outstanding shares of our common stock and receipt of required antitrust clearance. There can be no assurance that these conditions will be satisfied or that the Transaction will be completed within the expected timeframe or at all. In addition, the Transaction may fail to close for other reasons.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Uncertainties associated with the Transaction could adversely affect our business, results of operations,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announcement and pendency of the Transaction, as well as any delays in the expected timeframe, could cause disruption and create uncertainties, which could have an adverse effect on our business, results of operations financial condition and stock price, regardless of whether the Transaction is completed. These risks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adverse effect on our relationship with customers, suppliers, subcontractors and personnel, including if our customers, suppliers, subcontractors or others attempt to negotiate changes in existing business relationships, consider entering into business relationships with parties other than us, delay or defer decisions concerning their business with us, or terminate their existing business relationships with us during the pendency of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distraction of our current personnel as a result of the Transaction, which could result in a decline in their productivity or cause distractions in the workplace;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attracting and retaining key personnel, including departure of key personnel because of issues relating to uncertainty about their future with us or a desire not to remain with the Company following the completion of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a significant amount of management time and resources towards completion of the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being subject to certain restrictions on the conduct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possibly foregoing certain business opportunities or strategic transactions that we might otherwise pursue absent the pending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or unexpected costs, charges or expenses resulting from the proposed Transaction, including the requirement that we pay a termination fee of approximately $37 million if the Merger Agreement is validly terminated under certain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related to the continued availability of capital and financing and rating agency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litigation relating to the Transaction that could prevent or delay the Transaction or otherwise negatively impact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developments beyond our control, including, but not limited to, changes in domestic or global and general and industry-specific economic and market conditions that may affect the timing or success of the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complete the Transaction within the expected timeframe, or at all, could adversely affect our business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closing of the Transaction may not occur on the expected timeline or at all. While it is currently anticipated that the Transaction will be consummated in the second quarter of calendar year 2026, we cannot assure you that the conditions set forth in the Merger Agreement will be satisfied (or waived, if permitted by the Merger Agreement and applicable law) in a timely manner or at all, or that an effect, event, development, or change will not transpire that could delay or prevent these conditions from being satisfied (or waived, if permitted by the Merger Agreement and applicable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cannot assure you that the Company or Saltchuk will not terminate the Merger Agreement if entitled to do so. The Merger Agreement contains certain termination rights for the Company and Saltchuk, including, among others (i) if the Transaction is not consummated by June 10, 2026, subject to a potential extension, (ii) if the other party breaches its representations, warranties or covenants in a manner that would cause certain conditions to the closing set forth in the Merger Agreement to not be satisfied and fails to timely cure such breach within the period provided by the terms of the Merger Agreement, or (iii) if any judgment, law or order prohibiting the Transaction has become final and non-appealable.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Agreement is terminated and the Transaction is not consummated, the price of our common stock may decline and you may not recover your investment or receive a price for your shares similar to what has been offered pursuant to the Transaction. Such a decline could also make it difficult to find a party willing to offer equivalent or more attractive consideration than Saltchuk in the Transaction. In addition, upon termination of the Merger Agreement in specified circumstances, we may be required to pay Saltchuk (or one or more of its designees) a termination fee of approximately $37 million. If we are required to pay this termination fee, such fee, together with costs incurred to execute the Merger Agreement and pursue the Transaction, could have a material adverse effect on our financial condition, results of operations and stock price.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Merger Agreement contains provisions that limit our ability to pursue alternatives to the Transaction and may discourage other third parties from offering a favorable alternative transaction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Merger Agreement, we will be restricted from soliciting, initiating, or knowingly facilitating or encouraging the submission of, furnishing non-public information to any third party in connection with, entering into or participating in any discussions or negotiations with any third party with respect to, or entering into any agreement providing for, any alternative acquisition proposals from third parties or, with respect to certain of the foregoing restrictions, any inquiries, expressions of interest, proposals or offers that would reasonably be expected to lead to an alternative acquisition proposal, subject to certain limited exceptions. Upon termination of the Merger Agreement under certain circumstances we will be required to pay Saltchuk a termination fee of approximately $37 million, including if the Merger Agreement is terminated by Saltchuk following a change of recommendation by our board of directors, or by us to either enter into a superior proposal or if the offer is terminated under certain circumstances and following a change of recommendation by our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provisions could discourage a third party that may have an interest in acquiring all or a significant part of our business from considering or proposing that acquisition, even if such third party were prepared to pay consideration with a higher value than the value of the consideration in the Transaction. If the Merger Agreement is terminated and we decide to seek another business combination, we may not be able to negotiate or consummate a transaction with another party on terms comparable to, or better than, the terms of the Merger Agreement. In certain circumstances, we would be required to pay Saltchuk a termination fee of approximately $37 million if such a business combination is agreed to or consummated within 12 months after such termination.</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restrictions on the conduct of our business under the terms of the 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Merger Agreement, we have agreed to certain restrictions on the operations of our business. We have agreed to use our reasonable best efforts to limit the conduct of our business to those actions undertaken in the ordinary course of business consistent with past practice and to refrain from, among other things: incurring debt; establishing, adopting, entering into, negotiating or amending any material Company Benefit Plans (as defined in the Merger Agreement); increasing the compensation or benefits payable or to become payable to any director, employee or independent contractor, granting any rights to severance or termination pay or other material termination benefits, or hiring or terminating any employee (other than for cause) with annual base compensation equal to or greater than $200,000; entering into, amending or terminating certain contracts; settling certain legal proceedings; materially changing our methods, policies or procedures of financial accounting; and incurring certain capital expenditures, in each case, subject to certain exceptions set forth in the Merger Agreement. Because of these restrictions, we may be prevented from undertaking certain actions with respect to our strategic plans or the conduct of our business that we might otherwise have taken if not for the Merger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Lawsuits may be filed against us and the members of our board of directors arising out of the proposed Transaction, which may delay or prevent the proposed Transaction or otherwise negatively affect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Putative stockholder complaints, including stockholder class action complaints, and other complaints may be filed against us, our board of directors and others in connection with the transactions contemplated by the Merger Agreement. The outcome of litigation is uncertain, and we may not be successful in defending against any such future claims. Lawsuits that may be filed against us, our board of directors or others could delay or prevent the Transaction, divert the attention of our management and employees from our day-to-day business, and otherwise adversely affect our business, results of operations,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stockholders will not benefit from future growth opportunities as stockholders of the Company if the Transaction is completed.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Transaction is completed, our stockholders will receive cash for their shares of common stock and will no longer have the opportunity to participate in any future growth or potential appreciation in the value of the Company.</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 reduction in government funding for dredging or other contracts, or government cancellation of such contracts, or the inability of the Corps to let bids to market could materially adversely affect our business operations, revenues and profits.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2025, 2024 and 2023 were as follows:</w:t>
      </w:r>
    </w:p>
    <w:p>
      <w:pPr>
        <w:pStyle w:val="TextBody"/>
        <w:bidi w:val="0"/>
        <w:jc w:val="left"/>
        <w:rPr/>
      </w:pPr>
      <w:r>
        <w:rPr/>
        <w:t> </w:t>
      </w:r>
    </w:p>
    <w:tbl>
      <w:tblPr>
        <w:tblW w:w="7933" w:type="dxa"/>
        <w:jc w:val="left"/>
        <w:tblInd w:w="0" w:type="dxa"/>
        <w:tblLayout w:type="fixed"/>
        <w:tblCellMar>
          <w:top w:w="28" w:type="dxa"/>
          <w:left w:w="28" w:type="dxa"/>
          <w:bottom w:w="28" w:type="dxa"/>
          <w:right w:w="28" w:type="dxa"/>
        </w:tblCellMar>
      </w:tblPr>
      <w:tblGrid>
        <w:gridCol w:w="3661"/>
        <w:gridCol w:w="146"/>
        <w:gridCol w:w="211"/>
        <w:gridCol w:w="781"/>
        <w:gridCol w:w="271"/>
        <w:gridCol w:w="146"/>
        <w:gridCol w:w="211"/>
        <w:gridCol w:w="781"/>
        <w:gridCol w:w="271"/>
        <w:gridCol w:w="146"/>
        <w:gridCol w:w="211"/>
        <w:gridCol w:w="781"/>
        <w:gridCol w:w="31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government revenue (in US $1,000)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 of revenue from federal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projects for any specified period. In addition, Congress must approve budgets that govern spending by many of the federal agencies we support. When Congress is unable to agree on budget priorities, and thus is unable to pass the annual budget on a timely basis, Congress typically enacts a continuing resolution. A continuing resolution allows U.S. federal government agencies to operate at spending levels approved in the previous budget cycle. Under a continuing resolution, funding may not be available for new projects or may be delayed on current projects. Any such funding delays would likely result in new projects being delayed or canceled and could have a material adverse effect on our revenue and operating results. Furthermore, a failure to complete the budget process and fund government operations pursuant to a continuing resolution may result in a U.S. federal government shutdown. An extended shutdown may result in us incurring substantial costs without reimbursement under our contracts and the delay or cancellation of key projects, which could have a material adverse effect on our revenue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There is no guarantee that the current presidential administration or Congress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 not divert funds away from the Corps or from our other customers relying on funding from the federal government. There is also no guarantee that additional national emergencies will not be declared in the future. A significant reduction in government funding for dredging or remediation contracts could materially adversely affect our business, operations, revenues and profits.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qualify as an eligible bidder for government contracts or to compete successfully with other qualified bidders for certain contracts could materially adversely affect our business operations, revenues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Further, much of our work depends on our compliance with environmental and other regulations. Any claim by the government that we have violated any laws or regulations could result in our suspension or debarment from bidding for or being awarded government contracts.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operating results could be adversely affected by the political environment and governmental fiscal and monetary policies</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unpredictable or volatile political environment in the United States, including any social unrest, could negatively impact business and market conditions, economic growth, financial stability, and business, consumer, investor and regulatory sentiments, any one or more of which in turn could cause our business and financial results to be adversely impacted. It is difficult to predict the legislative and regulatory impacts that may result from the presidential administration or a change in the make-up of either the Senate or House of Representatives, and these may cause broader economic impacts due to shifts in governing ideology and governing style, and we may be subject to new or changing laws or regulations that may be promulgated in the future. There is no certainty that any presidential administration or Senate and/or the House of Representatives will maintain the level of federal spending and support for the dredging industry and offshore energy development. For example, in 2025 President Trump signed an Executive Order pausing the issuance of new or renewing offshore wind leases and permits that could have resulted in additional contracted work for the Company. A significant reduction in such funding or support could materially adversely affect our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significant number of fixed-price contracts subjects us to risks associated with cost over-runs, operating cost inflation and potential claims for liquidated damages. If we are unable to accurately estimate our project costs our profitability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 our business under various types of contracts where costs are estimated in advance of our performance. Most dredging contracts are fixed-price contracts where the customer pays a fixed price per unit (e.g., cubic yard) of material dredged. Fixed-price contracts carry inherent risks, including risks of losses from underestimating costs, weather delays,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If we were to significantly underestimate the costs on one or more significant contracts, the resulting losses could have a material adverse effect on our business, operating results, cash flows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vary significantly based on the timing of contract awards and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results of operations have fluctuated from period to period in the past and may continue to fluctuate in the future. Accordingly, the results of any past quarter or quarters are not an indication of future performance in our business operations or the valuation of our stock. Our operating results could vary greatly from period to period due to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contract awards and the commencement or progress of work under awarded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inclement or hazardous weather conditions, including non-historical weather patterns that may result in underestimated delays in dredging, disruption or early termination of projects, unanticipated recovery costs or liability exposure and additional contract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 conditions that differ from those presented by our customers, which results in delays or slower than anticipated progress on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planned and unplanned equipment downtime, or equipment mobilization to and from projects, including those due to the impacts of unplanned national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recognize revenue from pending change orders, which is recognized only when the parties to a contract approve a modification that either creates new, or changes existing, enforceable rights and obligations of the parties to the contract;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restrictions requiring that certain projects be performed in winter months to protect wildlife habitats.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government contracting regulations, we could be subject to significant potential liabilities and loss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pStyle w:val="TextBody"/>
        <w:bidi w:val="0"/>
        <w:spacing w:before="240" w:after="283"/>
        <w:jc w:val="left"/>
        <w:rPr>
          <w:rFonts w:ascii="Times New Roman" w:hAnsi="Times New Roman"/>
          <w:sz w:val="20"/>
        </w:rPr>
      </w:pPr>
      <w:r>
        <w:rPr>
          <w:rFonts w:ascii="Times New Roman" w:hAnsi="Times New Roman"/>
          <w:color w:val="000000"/>
          <w:sz w:val="20"/>
        </w:rPr>
        <w:t>In addition, we may be subject to litigation brought by private individuals on behalf of the government relating to our government contracts, referred to in this annual report as “</w:t>
      </w:r>
      <w:r>
        <w:rPr>
          <w:rFonts w:ascii="Times New Roman" w:hAnsi="Times New Roman"/>
          <w:i/>
          <w:color w:val="000000"/>
          <w:sz w:val="20"/>
        </w:rPr>
        <w:t>qui tam”</w:t>
      </w:r>
      <w:r>
        <w:rPr>
          <w:rFonts w:ascii="Times New Roman" w:hAnsi="Times New Roman"/>
          <w:color w:val="000000"/>
          <w:sz w:val="20"/>
        </w:rPr>
        <w:t xml:space="preserve"> actions, which could include claims for up to treble damages. </w:t>
      </w:r>
      <w:r>
        <w:rPr>
          <w:rFonts w:ascii="Times New Roman" w:hAnsi="Times New Roman"/>
          <w:i/>
          <w:color w:val="000000"/>
          <w:sz w:val="20"/>
        </w:rPr>
        <w:t>Qui tam</w:t>
      </w:r>
      <w:r>
        <w:rPr>
          <w:rFonts w:ascii="Times New Roman" w:hAnsi="Times New Roman"/>
          <w:color w:val="000000"/>
          <w:sz w:val="20"/>
        </w:rPr>
        <w:t xml:space="preserve"> actions are sealed by the court at the time of filing. The only parties privy to the information in the complaint are the complainant, the U.S. government and the court. Therefore, it is possible that </w:t>
      </w:r>
      <w:r>
        <w:rPr>
          <w:rFonts w:ascii="Times New Roman" w:hAnsi="Times New Roman"/>
          <w:i/>
          <w:color w:val="000000"/>
          <w:sz w:val="20"/>
        </w:rPr>
        <w:t xml:space="preserve">qui tam </w:t>
      </w:r>
      <w:r>
        <w:rPr>
          <w:rFonts w:ascii="Times New Roman" w:hAnsi="Times New Roman"/>
          <w:color w:val="000000"/>
          <w:sz w:val="20"/>
        </w:rPr>
        <w:t xml:space="preserve">actions have been filed against us and it is possible that we are subject to liability exposure arising out of </w:t>
      </w:r>
      <w:r>
        <w:rPr>
          <w:rFonts w:ascii="Times New Roman" w:hAnsi="Times New Roman"/>
          <w:i/>
          <w:color w:val="000000"/>
          <w:sz w:val="20"/>
        </w:rPr>
        <w:t>qui tam</w:t>
      </w:r>
      <w:r>
        <w:rPr>
          <w:rFonts w:ascii="Times New Roman" w:hAnsi="Times New Roman"/>
          <w:color w:val="000000"/>
          <w:sz w:val="20"/>
        </w:rPr>
        <w:t xml:space="preserve">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Project delays related to the increasingly negative impacts of climate change or other unusual, non-historical weather patterns have and may continue to impact our ability to perform projects on time and on budget and therefore could materially adversely affect our business operations, revenues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and efficient performance of our projects are dependent on weather conditions. Severe storms or other weather-related problems may deviate from expected historical weather patterns as a result of climate change or other factors, and can, and have, caused substantial delays on our projects. Delays may affect our ability to perform on our projects or increase the cost of our performing certain projects, and may result in our inability to perform certain projects on time and on budget. We attempt to plan for all scenarios and assign risk when bidding on projects. For example, we have updated our modeling for current and future weather patterns to better estimate those costs. We expect that the severity of unusual storms and weather patterns will continue to fluctuate and may continue to adversely impact our ability to complete projects on time and on budget and therefore could materially adversely affect our business operations, revenues and profits.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necessary to operate and maintain our vessels tend to increase with the age of the vessel, and costs of such maintenance, as well as costs associated with new build programs, may also increase due to changes in applicable regulations or standards, which could decrease our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and other costs necessary to operate and maintain our vessels tend to increase with the age of the vessel. Accordingly, it is likely that the operating costs of our vessels will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average age of our more significant vessels as of December 31, 2025, by equipment type, is as follows:</w:t>
      </w:r>
    </w:p>
    <w:p>
      <w:pPr>
        <w:pStyle w:val="TextBody"/>
        <w:bidi w:val="0"/>
        <w:jc w:val="left"/>
        <w:rPr/>
      </w:pPr>
      <w:r>
        <w:rPr/>
        <w:t> </w:t>
      </w:r>
    </w:p>
    <w:tbl>
      <w:tblPr>
        <w:tblW w:w="5196" w:type="dxa"/>
        <w:jc w:val="left"/>
        <w:tblInd w:w="0" w:type="dxa"/>
        <w:tblLayout w:type="fixed"/>
        <w:tblCellMar>
          <w:top w:w="28" w:type="dxa"/>
          <w:left w:w="28" w:type="dxa"/>
          <w:bottom w:w="28" w:type="dxa"/>
          <w:right w:w="28" w:type="dxa"/>
        </w:tblCellMar>
      </w:tblPr>
      <w:tblGrid>
        <w:gridCol w:w="1906"/>
        <w:gridCol w:w="146"/>
        <w:gridCol w:w="197"/>
        <w:gridCol w:w="569"/>
        <w:gridCol w:w="146"/>
        <w:gridCol w:w="146"/>
        <w:gridCol w:w="533"/>
        <w:gridCol w:w="1162"/>
        <w:gridCol w:w="3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Age 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Hopper Dredges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Hydraulic Dredges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Dredges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 Cats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Support Vessels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Remaining economic life has not been presented, because it is not reasonably quantifiable. That is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significant additional expenditures. For example, if the U.S. Coast Guard enacts new standards, we may be required to incur expenditures for alterations or the addition of new equipment (e.g., more fuel-efficient engines). In order to satisfy any such requirements, we may need to take our vessels out of service for extended periods of time, with corresponding losses of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Equipment or mechanical failures could result in increased costs, project delays and reduced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performance of contracts requires a high degree of reliability of our vessels, barges and other equipment. The average age of our marine fleet as of December 31, 2025 was 27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resulting in loss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A pandemic, epidemic or outbreak of an infectious disease affecting our markets or impacting our facilities or suppliers could adversely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another pandemic, epidemic or outbreak of an infectious disease or other public health crisis were to affect our markets or facilities or those of our suppliers, our business could be adversely affected. Another pandemic could cause disruptions in and restrictions on our ability to travel, and in the future these disruptions and restrictions could restrict our ability to perform work for future projects in different locations. If an infectious disease were to have a widespread outbreak at one or more of our vessels or 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and our ability to perform our projects on time may be adversely affected. In addition, we may experience difficulties with certain suppliers or with vendors in their supply chains, and our business could be affected if we become unable to procure essential supplies or services in adequate quantities and at acceptable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clients, which are the Corps, private clients and other federal, state or local agencies, may be impacted by a pandemic, and if prolonged, these impacts may lead to cancelations or delays in projects. Funds for dredging projects may also be diverted for public health, economic or other priorities. Overall, the potential impact of a pandemic, epidemic or outbreak of an infectious disease with respect to our markets or our facilities is difficult to predict and could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to our supply chain affecting our markets or impacting our facilities or suppliers could prohibit procurement of materials necessary for maintenance of our existing vessels and new vessel build materials and adversely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Supply chain issues could cause disruptions that restrict our ability to perform work for future projects. Our ability to complete projects in accordance with our contractual obligations may be affected, and we may incur increased labor and materials costs. If the shipyards with which we contract are affected, regulatory dry docking and repairs and general maintenance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Environmental regulations could force us to incur capital and operational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industries, and more specifically, our operations, facilities, vessels and equipment, are subject to various environmental laws and regulations relating to, among other things: dredging operations; the disposal of dredged material; protection of wetlands; storm water and waste water discharges;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 and suspension or debarment from future government contracting.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environmental laws such as the U.S. Comprehensive Environmental Response, Compensation and Liability Act of 1980, the Marine Protection, Research and Sanctuaries Act,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Environmental requirements have generally become more stringent over time, for example in the areas of air emissions controls for vessels and ballast treatment and handling. New laws or stricter enforcement of existing laws or the discovery of currently unknown conditions or accidental discharges of regulated materials in the future could cause us to incur additional costs for environmental matters which might be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affected by market or regulatory responses to climate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jurisdictions, including the European Union and California, have regulations which would require us to report emissions data from our operations. If we were to perform projects in jurisdictions with emissions reporting requirements, it may require a substantial outlay of capital by the Company, as well as management time and attention to ensure the Company's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Penalties for late completion of contracts could reduce our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pStyle w:val="TextBody"/>
        <w:bidi w:val="0"/>
        <w:spacing w:before="360" w:after="283"/>
        <w:jc w:val="left"/>
        <w:rPr>
          <w:rFonts w:ascii="Times New Roman" w:hAnsi="Times New Roman"/>
          <w:sz w:val="20"/>
        </w:rPr>
      </w:pPr>
      <w:r>
        <w:rPr>
          <w:rFonts w:ascii="Times New Roman" w:hAnsi="Times New Roman"/>
          <w:b/>
          <w:i/>
          <w:color w:val="000000"/>
          <w:sz w:val="20"/>
        </w:rPr>
        <w:t>Force majeure events could negatively impact our business, operations, revenues, cash flows and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amount of our estimated backlog may change and may not be indicative of future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 backlog represents our estimate of the revenues that we will realize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these factors, as well as factors affecting the time required to complete each job, backlog is not necessarily indicative of future revenues or profitability. In addition, a significant amount of our total backlog (51% as of December 31, 2025) relates to federal government contracts, which can be canceled at any time without penalty to the government, subject, in most cases, to our contractual right to recover our actual committed costs and profit on work performed up to the date of cancellation.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our backlog from federal government contracts as of December 31, 2025, 2024, and 2023 and the percentage of those contracts to total backlog as of the same date.</w:t>
      </w:r>
    </w:p>
    <w:p>
      <w:pPr>
        <w:pStyle w:val="TextBody"/>
        <w:bidi w:val="0"/>
        <w:jc w:val="left"/>
        <w:rPr/>
      </w:pPr>
      <w:r>
        <w:rPr/>
        <w:t> </w:t>
      </w:r>
    </w:p>
    <w:tbl>
      <w:tblPr>
        <w:tblW w:w="8653" w:type="dxa"/>
        <w:jc w:val="left"/>
        <w:tblInd w:w="0" w:type="dxa"/>
        <w:tblLayout w:type="fixed"/>
        <w:tblCellMar>
          <w:top w:w="28" w:type="dxa"/>
          <w:left w:w="28" w:type="dxa"/>
          <w:bottom w:w="28" w:type="dxa"/>
          <w:right w:w="28" w:type="dxa"/>
        </w:tblCellMar>
      </w:tblPr>
      <w:tblGrid>
        <w:gridCol w:w="4381"/>
        <w:gridCol w:w="146"/>
        <w:gridCol w:w="211"/>
        <w:gridCol w:w="781"/>
        <w:gridCol w:w="271"/>
        <w:gridCol w:w="146"/>
        <w:gridCol w:w="211"/>
        <w:gridCol w:w="781"/>
        <w:gridCol w:w="271"/>
        <w:gridCol w:w="146"/>
        <w:gridCol w:w="211"/>
        <w:gridCol w:w="781"/>
        <w:gridCol w:w="316"/>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government backlog (in US $1,000)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backlog from federal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engage in a new foreign project, we may have backlog with foreign governments that use local laws and regulations to change the terms of a contract in backlog or to limit our ability to receive payment on a timely basis. In addition to our United States federal contracts, our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 As of December 31, 2025, approximately 41% of the Company’s total backlog is from five private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of a single customer contract could significantly decrease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individual customer contracts may relate to large-scale projects that can be responsible for a significant portion of our revenue and/or backlog. Loss of any current customer contract could significantly decrease our revenue or expected revenue. Lower utilization, workforce reductions or asset relocations, resulting from the loss of a customer contract or otherwise, could have a material adverse effect on our business, operating results,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Inability to obtain secure financing or financing on favorable terms for any future new vessels could negatively impact our business, financial position and/or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Unforeseen issues could arise in our ability to obtain secure financing or to obtain secure financing on terms favorable to us for building any future new vessels. The inability to obtain favorable financing may also impact our ability to bring future new vessels into service within the timeline anticipated by the Company, which may have an adverse effect on our business, financial position and/or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Inability to secure contracts to utilize our new offshore energy vessel could adversely impact our business strategy and have a material adverse effect on our operating results, cash flows or financial condition.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ability to obtain contracts on terms favorable to the Company to utilize the </w:t>
      </w:r>
      <w:r>
        <w:rPr>
          <w:rFonts w:ascii="Times New Roman" w:hAnsi="Times New Roman"/>
          <w:i/>
          <w:color w:val="000000"/>
          <w:sz w:val="20"/>
        </w:rPr>
        <w:t>Acadia,</w:t>
      </w:r>
      <w:r>
        <w:rPr>
          <w:rFonts w:ascii="Times New Roman" w:hAnsi="Times New Roman"/>
          <w:color w:val="000000"/>
          <w:sz w:val="20"/>
        </w:rPr>
        <w:t xml:space="preserve"> our new vessel for subsea rock installation, could be impacted by unforeseen market conditions or changing political climates. As the costs to build this new vessel have already been incurred, the lack of a favorable secure contracts could have a material adverse effect on the Company’s business, financial position and results of operations. On January 20, 2025, President Trump issued an Executive Order that temporarily prevents consideration of any area in the Outer Continental Shelf for any new or renewed wind energy leasing for the purposes of generation of electricity until the Executive Order is revoked. The Executive Order also requires an immediate review of federal wind leasing and permitting practices. The inability or unwillingness of our clients and potential clients to commit to or invest in new or existing offshore wind projects in the U.S. due to this policy change could have a material adverse effect on the Company’s business, financial position and results of operations. Further, the possibility of future changes to environmental requirements and regulations and changes in the policies of the U.S. presidential administration could delay or halt plans for U.S. offshore wind projects, which would adversely impact our business strategy and could have a material adverse effect on the Company’s operating results,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Unforeseen delays and cost overruns could postpone delivery of or halt plans to build new vessels and, as a result, negatively impact our business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previously disclosed new build program has largely been completed, we may plan new vessels in the future. Unknown mechanical or engineering issues involving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Delays may also occur as a result of a shipyard giving priority to other customers.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For example, the Company has experienced delays from the shipyard in the build of its soon to be completed SRI vessel, now expected to be operational in the first half of 2026. The Company is in discussions with the shipyard to limit any additional delays and are working with our customers to evaluate and limit any potential negative impacts of such delays, which may include loss of revenues, delays in completion of Company work under previously negotiated contracts, or increased costs to the Company. Our future revenues and profitability will also be impacted to some extent if we are unable to bring any new ordered vessels into service within the timeline anticipated by the Company as a result of an inability to obtain favorable steel prices or secure appropriate financing.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would be adversely affected if we failed to comply with Jones Act provisions on coastwise trade, or if those provisions were modified, repealed or interpreted differently.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Customs and Border Protection (“CBP”), the federal agency that interprets the Jones Act, may issue letter rulings which adversely impact our business. In the past, CBP has issued letter rulings which have the potential to adversely impact Jones Act qualified vessels to be the exclusive operators in certain sectors of the new United States offshore energy industry. The Company challenged these CBP letter rulings in federal court in Houston, Texas, citing the “Plain Language” of the Jones Act. The challenge was rejected at the District Court level and at the 5th Circuit based upon the courts’ findings that the Company lacked standing. These adverse rulings, as well as other adverse letter rulings by CBP, may adversely impact our competitive advantage in the United States offshore energy industry, which could have a material adverse effect on our business, results of operations, cash flows or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anti-discrimination laws, including those pertaining to diversity, equity and inclusion programs, we could be subject to legal action and reputational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21, 2025, President Trump issued an Executive Order prohibiting diversity, equity and inclusion initiatives at companies that are party to federal contracts to the extent that such initiatives violate applicable federal anti-discrimination laws. The Executive Order requires federal contractors, including the Company, to agree that such federal contractor’s compliance with federal anti-discrimination laws is material to the government’s payment decisions and to certify that such federal contractor does not operate any illegal programs promoting diversity, equity and inclusion that violate any applicable federal anti-discrimination laws. The Executive Order also provides that the Office of Federal Contract Compliance Programs within the Department of Labor may not allow federal contractors, including the Company, to engage in workforce balancing on the basis of certain protected characteristics. Recently, the Equal Employment Opportunity Commission signaled that it will be aggressively enforcing the Executive Order by filing a lawsuit against a high-profile publicly traded company for alleged violations. While we believe we are in compliance with the Executive Order, if we are not, or if the federal government believes we are not in compliance, then we could be subject to legal action, including under the False Claims Act, or debarment. Any such action could have a material adverse effect on our business, results of operations, cash flows or financial condition, as well as impact our ability to secure contracts with our customers and to hire and retain employees, distract our management team and negatively impact our reputation in the market and our industry.</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costs depend significantly on the price of petroleum-based products, and price increases could adversely affect our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Fuel prices fluctuate based on market events outside of our control. We use diesel fuel and other petroleum-based products to operate our equipment used in our dredging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In addition, the International Maritime Organization issued regulations regarding use of low sulfur fuel, which has increased the demand for low sulfur fuel. We use low sulfur fuel in many of our domestic operations, and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investing and operating costs depend significantly on the prices of new build and general maintenance and repair materials, and price increases due to high nationwide inflation could adversely affect our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prices of steel and other materials to build and develop new vessels, as well as to maintain and/or repair our existing vessels, fluctuate based on market events outside of our control. An increase in the cost of steel and other materials may adversely impact the cost to build new vessels and the cost of general maintenance and/or repairs of our existing vessels.</w:t>
      </w:r>
    </w:p>
    <w:p>
      <w:pPr>
        <w:pStyle w:val="TextBody"/>
        <w:bidi w:val="0"/>
        <w:spacing w:before="240" w:after="283"/>
        <w:jc w:val="left"/>
        <w:rPr>
          <w:rFonts w:ascii="Times New Roman" w:hAnsi="Times New Roman"/>
          <w:sz w:val="20"/>
        </w:rPr>
      </w:pPr>
      <w:r>
        <w:rPr>
          <w:rFonts w:ascii="Times New Roman" w:hAnsi="Times New Roman"/>
          <w:b/>
          <w:i/>
          <w:color w:val="000000"/>
          <w:sz w:val="20"/>
        </w:rPr>
        <w:t>An inability to obtain bonding or letters of credit would limit our ability to obtain future contracts, which could, along with any draws on existing arrangements, adversely affect our business, operating results, cash flows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generally required to post bonds in connection with our domestic dredging contracts and bonds or letters of credit with our foreign dredging contracts, certain private domestic dredging contracts, and offshore energy contracts to ensure job completion if we ever fail to finish a project. We have entered into bonding agreements with various surety companies (the “Sureties”) pursuant to which the Sureties issue bid bonds, performance bonds and payment bonds, and provide guarantees required by us in the day-to-day operations of our dredging business. Historically, we have had a strong bonding capacity, but surety companies issue bonds on a project-by-project basis and can decline to issue bonds at any time or require the posting of collateral as a condition to issuing any bonds. With respect to our foreign dredging, certain private domestic dredging and our offshore energy business, we generally obtain letters of credit under our ABL Credit Agreement. However, access to our senior credit facility under our ABL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 involve integration, consolidation and strategic risks and may involve significant transaction expenses and unexpected liabilities, which could adversely affect our business and results of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seek business acquisition activities in the future as a means of broadening our offerings and capturing additional market opportunities by our business units. We may be exposed to certain additional risks resulting from these activities. Acquisitions may expose us to operational challenges and risks,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effects of valuation methodologies which may not accurately capture the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management of the growth resulting from acquisition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capitalize on expected synergies;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unprofitable projects that pose future risks to our working capital needs, cash flows and the profitability of related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associated with entering new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our existing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retain key personnel, customers or contracts of any acquired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adverse effects on our ability to comply with terms and covenants in our existing debt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impairment of acquired intangible assets;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debt financing, which may not be available on attractive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appropriate management, financial or other resources needed to integrate any businesses that we acquire. Any future acquisitions may result in significant transaction expenses and unexpected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Divestitures and discontinued operations could negatively impact our business, and any retained liabilities could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strategic process, we review our operations for assets and businesses which may no longer be aligned with our strategic initiatives and long-term objectives. For example, we have divested our historical environmental &amp; infrastructure business and historical demolition business. We continue to review our assets and strategy and may pursue additional divestitures.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or fail to close a transaction at all. Dispositions may also involve continued financial involvement, as we may be required to retain responsibility for, or agree to indemnify buyers against contingent liabilities related to businesses sold, such as lawsuits, surety obligations, tax liabilities or environmental matters. It may also be difficult to determine whether a claim from a third party stemmed from actions taken by us or by another party and we may expend substantial resources trying to determine which party has responsibility for the claim. Under these types of arrangements, performance by the divested businesses or other conditions outside of our control could affect future financial results and such claims or conditions may divert management attention from our continuing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realize the expected benefits or synergies of any divestiture transaction or if we underestimated the valuation of the charge related to placing an asset held for sale in discontinued operations, our consolidated financial position, results of operations and cash flows could be negatively impacted. Any divestiture may result in a dilutive impact to our future earnings if we are unable to offset the dilutive impact from the loss of revenue associated with the divestiture, as well as significant write-offs, including those related to goodwill and other intangible assets, which could have a material adverse effect on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face liabilities and/or damage to our reputation as a result of legal and regulatory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in a highly regulated environment with constantly evolving legal and regulatory frameworks. From time to time, we are subject to legal and regulatory proceedings in the ordinary course of our business. These include proceedings relating to aspects of our businesses that are specific to us and proceedings that are typical in the businesses in which we operate.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a defendant in a number of litigation matters, including those described in Item 3. “Legal Proceedings” of this Annual Report on Form 10-K. In certain of these matters, the plaintiffs are seeking large and/or indeterminate amounts of damages. These matters are also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whether the ultimate outcomes are favorable or unfavorable, these matters can also have significant adverse reputational impacts, including negative publicity and press speculation about us, whether valid or not, which may be damaging to our business, results of operations,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Liabilities for the obligations of our joint ventures and similar arrangements and subcontractors could materially decrease our profitability and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the nature of work required to complete the project, we may choose to subcontract a portion of the project. In our industries, the prime contractor is often responsible for the performance of the entire contract, including subcontract work. Thus, we are subject to risks associated with the failure of one or more subcontractors to perform as anticipated. In addition, in some cases, we pay our subcontractors before our customers pay us for the related services. If we choose, or are required, to pay our subcontractors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work performed for customers who fail to pay, or delay paying us for the related work, we could experience a material decrease in profitability and liquidity.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tariffs have increased our costs and could adversely affect our business operations, revenues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United States has imposed Section 232 tariffs and other import taxes on certain steel and aluminum products, such as imported dredge-related machinery and pipes. These tariffs and other import taxes have increased the prices of these inputs. Increased prices for imported steel and aluminum products have led domestic sellers to respond with market-based increases to prices for such inputs as well. We cannot be sure of the ultimate effect such tariffs or any additional import taxes will have on our operating profits. If we are not able to pass these price increases on to our customers or to secure adequate alternative sources for such inputs on a timely basis, the tariffs and other import taxes may have a material adverse effect on our business operations, revenues and profits. The current U.S. presidential administration has increased tariffs on certain imported products and generally on imports from certain countries. For example, in February 2025, President Trump imposed a 25% tariff on imported steel and aluminum and in June 2025 he raised this tariff to 50%. The Company does not currently, has not had and does not expect a material adverse impact to its operating results, cash flows or financial condition from the tariffs imposed during the first few weeks of President Trump’s administration. However, any future tariffs imposed could have a material adverse impact to our operating results,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suffer in the event of a work stoppage by our unionized labor 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numerous collective bargaining agreements in the U.S. that govern our industry’s relationships with our unionized hourly workforce. Two unions represent approximately 67% of our hourly dredging employees—the IUOE Local 25 and the Seafarers International Union. The Company’s master and ancillary contracts with IUOE Local 25 expire on September 30, 2027. Our agreements with the Seafarers International Union expire on February 28, 2029. The inability to successfully renegotiate contracts with these unions as they expire, or any future strikes, employee slowdowns or similar actions by one or more unions could have a material adverse effect on our ability to operate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Liabilities imposed by federal laws for job-related claims by seagoing employees could increase our costs and reduce our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 Successful claims could materially increase our costs and reduce our profitability. Further, the number and resolution of these claims could increase our insurance costs.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significant operating risks and hazards inherent in the operation of our business could result in personal or property damage, which could result in losses or liabilities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dredging business is generally subject to a number of risks and hazards, including environmental hazards, industrial accidents, encountering unusual or unexpected geological formations, cave-ins below water levels, collisions, disruption of transportation services, flooding and unexploded ordnance.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were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Risks Related to our Financing</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substantial indebtedness, which makes us more vulnerable to adverse economic and competitive conditions.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currently have a substantial amount of indebtedness. As of December 31, 2025, we had indebtedness of $380.0 million, consisting of our senior subordinated notes and borrowings on our revolving credit facility. As of December 31, 2025, we had approximately $57.9 million of undrawn letters of credit, leaving $316.7 million of additional borrowing capacity under our revolving credit facility. These figures exclude contingent obligations, including $1.3 billion of performance bonds outstanding under the Company’s agreements with the Sureties and other bonding agreements. Our level of indebtedness could: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require us to dedicate a portion of our cash flow from operations to payments on our indebtedness, thereby reducing the availability of our cash flow to fund working capital and capital expenditures, pay dividends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our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affect our competitiveness compared to our less leveraged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exposure to both general and industry-specific adverse economic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among other things, our ability to borrow additional funds and issue performance letters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subsidiaries also may be able to incur substantial additional indebtedness in the future. The terms of our revolving credit facility and the indenture under which our senior subordinated notes are issued limit, but do not prohibit, us or our subsidiaries from incurring additional indebtedness. If new indebtedness is added to our current debt levels, the related risks that we and our subsidiaries now face could intensify.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Terms and covenants in our financing arrangements limit, and other future financing agreements may limit, our ability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agreements governing our senior revolving credit facility, as well as the indenture governing our senior notes, contain, and any of our other future financing agreements may contain, terms and covenants imposing operating and financial restrictions on our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example, the maximum borrowing capacity under the ABL Amendment is determined by a formula and may fluctuate depending on the value of the collateral included in such formula at the time of determination. If the value of our collateral were to decrease, our borrowing capacity on which we are able to draw additional funds or issue letters of credit could be limited. In addition, the credit agreement governing our senior revolving credit facility requires us to satisfy a fixed charge coverage ratio under certain circumstances. If we fail to satisfy such covenant, we would be in default and the lenders (through the administrative agent or collateral agent, as applicable) could elect to declare all amounts outstanding to be immediately due and payable, enforce their interests in the collateral pledged and/or restrict our ability to make additional borrowings, as applicable. The covenants in the credit agreements governing our senior revolving credit facility, as well as the indenture governing our senior notes, subject to specified exceptions and to varying degrees, restrict our ability to,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incur, assume or permit to exist any liens;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sale and leaseback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operating and finance 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investments, loans and advancements;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merge, consolidate or reorganize with, or dispose of all or substantially all assets to, a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prepay or redeem other indebtedness;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certain types of capital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restrictions may interfere with our ability to obtain financings or to engage in other business activities, which could have a material adverse effect on our results of operations,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capital and credit market conditions may affect our ability to access capital and meet liquidity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or refinancing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need liquidity to pay our operating and capital expenses, interest on our debt and remaining obligations on our new build program.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in the future require us to borrow on our line of credit from time to time to meet the needs of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 During the second quarter of 2024, Moody’s Investor Services changed our outlook from negative to stable and reaffirmed our corporate credit rating at B2. In the fourth quarter of 2025, S&amp;P Global Ratings (“S&amp;P”) upgraded our corporate credit rating from B- to B and reaffirmed our outlook as stable. On February 11, 2026, S&amp;P placed their rating of the Company on a credit watch with positive implication, reflecting that the credit quality will likely strengthen and upon close of the Transaction could result in a one-notch upgrade, or withdrawal of the rating with the repayment of the debt. This credit watch is expected to be resolved at close of the Transaction.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requirements for derivative transactions could adversely impact our ability to hedge interest rate, currency or commodity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foreign exchange risks, which could result in large cash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market risk associated with changes in foreign currency exchange rates. The primary foreign currencies to which the Company has exposure are the Bahraini Dinar and the Euro. We have unhedged foreign currency exposure related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inclined fall-pipe vessel for subsea rock installation build.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investments in, and extensions of payment terms for, privately financed projects could result in significant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participated and may continue to participate in privately financed projects that enable state and local governments and other customers to finance dredging, such as dredging of local navigable waterways and lakes, coastal protection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common stock is subject to restrictions on foreign ownership.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they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Delaware law and our charter documents may impede or discourage a takeover that our stockholders may consider favorable.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provisions of our certificate of incorporation and bylaws may deter, delay or prevent a third-party from acquiring us.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the ability of stockholders to amend our charter documents, including stockholder supermajority voting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stockholders to call special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nominations for election to the board of directors and for stockholder proposals;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our board of directors to issue, without stockholder approval, up to 1,000,000 shares of preferred stock with such terms as the board of directors may determine and to issue additional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the board of directors or stockholder approval was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stockholders may not receive dividends because of restrictions in our debt agreements or 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pay dividends is restricted by the agreements governing our debt, including our ABL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fluctuations in the market price of our common stock may affect the ability of holders to resell our common stock at prices that they find attractive.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quarterly variations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results that vary from the expectations of management, securities analysts and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expectations as to our future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strategic developments, significant contracts, acquisitions and other material events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operating and securities price performance of other companies that investors believe are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equity or equity-related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economy and the financial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governmental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conditions, such as acts or threats of terrorism, political instability, civil unrest or military conflicts.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 Additionally, volatility or a lack of positive performance in our stock price may adversely affect our ability to retain key employees, many of whom are awarded equity securities, the value of which is dependent on the performance of our stock price.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cannot guarantee that our share repurchase program will be fully implemented or that it will enhance long-term stockholder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14, 2025, our board of directors approved a new share repurchase program authorizing the repurchase of up to $50 million of our common stock from time to time before March 14, 2026. We are not obligated to repurchase a specified number or dollar value of shares, on any particular timetable or at all. There can be no assurance that we will repurchase stock at favorable prices. The repurchase program may be suspended or terminated at any time and, even if fully implemented, may not enhance long-term stockholder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methods of accounting for recognized revenue involve significant estimates and could result in a change in previously recorded revenue and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revenue on our projects using generally accepted accounting principles in the United States (“GAAP”) including guidance from Revenue from Contracts with Customers, as amended (commonly referred to as ASC 606). The majority of our work is performed on a fixed-price basis. Contract revenue is recorded over time based on estimates which we develop from information known to us at the time of recording, but which may change.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insurance coverage may not be adequate, and we may not be able to obtain insurance at acceptable rates,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third parties for personal injuries, as well as commercial or property damage claims.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find, attract and retain skilled labor and key personnel, including governance personnel, our business, results of operations, cash flows or financial condition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We have experienced, and may continue to experience, some difficulty finding skilled labor in the current labor shortage market.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of directors could be time-consuming, result in significant additional costs to us and could be disruptive of our operations and divert the time and attention of management and our employees away from our business operations and executing on our strategic plan. The unexpected loss of members of our board of directors or senior management team could be disruptive to our operations, jeopardize our ability to raise additional funding and have an adverse effect on our business. The failure of our directors or any new members of our board of directors or management to perform effectively could have a significant negative impact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failures, data corruption, cyber-based attacks, security breaches, or regulatory non-compliance affecting our information technology and operational technology systems could materially adversely affect our operations, project execution, regulatory standing,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extensively on information technology (“IT”) and operational technology (“OT”) systems to conduct business operations, including financial and operational processes, communications, procurement, and the collection and analysis of operational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data. These systems support vessel navigation, positioning, propulsion monitoring, maintenance diagnostics, environmental reporting, and coordination with ports and customers. Disruptions or compromises of these systems could impair vessel operations, delay project execution, affect safety and environmental compliance, disrupt customer service, or impair financial and operational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systems may be affected by events beyond our control, such as power outages, natural disasters, catastrophic events, and network failures. They are also subject to evolving cybersecurity threats, including malware, ransomware, phishing, spoofing, unauthorized access attempts, supply chain compromises, data corruption, data exfiltration, denial-of-service attacks, zero-day vulnerabilities, and emerging attack techniques leveraging artificial intelligence. Threat actors may target both corporate IT systems and vessel-based or remote operational environments.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federal contractor, we are subject to cybersecurity and information security requirements under applicable federal standards, including those issued by National Institute of Standards and Technology (“NIST”) cybersecurity framework and the Cybersecurity Maturity Model Certification framework. In addition, we operate vessels subject to U.S. Coast Guard jurisdiction and are required to comply with maritime cybersecurity regulations applicable to U.S.-flagged vessels, including requirements related to cybersecurity planning, designated accountability, incident reporting, system protection, and capabilities intended to detect, respond to, and recover from cybersecurity incidents affecting maritime operations. We also operate in jurisdictions with differing privacy, data protection, and cybersecurity laws, including cross-border data transfer restrictions such as those under the General Data Protection Regulation. Regulatory requirements and interpretations continue to evolve, and compliance may require operational, technical, and contractual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disruption or failure of our IT or OT systems, whether resulting from operational issues, cybersecurity incidents, regulatory non-compliance, third-party failures, or other causes, could materially adversely affect our operations and business performance. Potential impacts include vessel downtime, project delays, safety incidents, data loss, transaction errors, environmental compliance issues, increased remediation and recovery costs, litigation, penalties, operational restrictions, loss of customers or suppliers, reputational harm, increased insurance costs, and heightened regulatory scrutiny or enforcement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Impairments to our goodwill or other intangible assets could negatively affect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or financial condition.</w:t>
      </w:r>
    </w:p>
    <w:p>
      <w:pPr>
        <w:pStyle w:val="TextBody"/>
        <w:bidi w:val="0"/>
        <w:spacing w:before="360" w:after="283"/>
        <w:jc w:val="left"/>
        <w:rPr>
          <w:rFonts w:ascii="Times New Roman" w:hAnsi="Times New Roman"/>
          <w:b/>
          <w:color w:val="000000"/>
          <w:sz w:val="20"/>
        </w:rPr>
      </w:pPr>
      <w:bookmarkStart w:id="4" w:name="item_1b_unresolved_staff_comments_1"/>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 w:name="item_1c_cybersecurity_1"/>
      <w:bookmarkEnd w:id="5"/>
      <w:r>
        <w:rPr>
          <w:rFonts w:ascii="Times New Roman" w:hAnsi="Times New Roman"/>
          <w:b/>
          <w:color w:val="000000"/>
          <w:sz w:val="20"/>
        </w:rPr>
        <w:t>Item 1C. Cybersecurity.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process for assessing, identifying, and managing material risk from cybersecurity threats is integrated into our enterprise risk management framework and encompasses risks associated with both IT and OT systems, including systems supporting vessels operations, remote monitoring, navigation, positioning, engine performance, maintenance diagnostics, and our integrated operations center.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of directors oversees enterprise risk management, including cybersecurity, IT and OT risks, and receives updates from the Director of Internal Audit on the enterprise risk management risk register, including cybersecurity risks, at least three times per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cybersecurity risk management program includes managed threat intelligence, endpoint vulnerability scanning, network segmentation and segregation between IT and OT environments, security assessments, continuous monitoring tools, and incident response capabilities designed to identify, evaluate, and mitigate cybersecurity risks. We engage third-party cybersecurity service providers, including extended managed detection and response providers and specialized security firms, to support monitoring and response across cloud services, networks, endpoints, and hybrid IT/OT environments. The program is informed by NIST and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periodically reviewed and updated through internal assessments, penetration testing, targeted testing, tabletop exercises, and external reviews.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Cybersecurity leadership is provided by the Chief Information Security Officer (“CISO”) and the Chief Legal Officer. The CISO has a comprehensive background in various enterprise-wide information technology and cybersecurity leadership roles within the global energy and oil and gas sectors and strategy consulting. The Chief Legal Officer has specific training in cybersecurity awareness and holds a certificate of Cybersecurity Governance for the Board of Directors from the Massachusetts Institute of Technology Sloan School of Management. The CISO is responsible for cybersecurity strategy, protection of IT and OT systems, business continuity, threat assessment, cybersecurity governance, and maintenance of the cybersecurity risk register. The CISO reports to the Chief Financial Officer and provides cybersecurity updates to the Audit Committee and the full board of directors at least annually. The Chief Legal Officer reports to the Chief Executive Officer and oversees regulatory compliance and disclosure obligations related to cybersecurity incidents and reports significant incidents to the Audit Committee and the board of directors. A cross-functional cybersecurity risk management team led by the CISO meets bi-weekly to review mitigation activities, cybersecurity metrics, emerging threat developments, and the security posture of both corporate and vessel-based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business continuity and disaster recovery plans designed to support the resilience of critical business and vessel operations. These plans include defined recovery time and recovery point objectives, business impact analyses, escalation procedures, crisis management protocols, and coordination across operational, legal, financial, and executive functions. Periodic training and exercises are conducted to enhance preparedness for both IT and OT-related disruption scenarios. In addition, we engage consultants to assess our resilience against applicable practices and standards for our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processes to address cybersecurity risks associated with third-party service providers and suppliers, including contractual security requirements, due diligence assessments, and implementation of enhanced supplier security expectations. These measures are intended to address evolving regulatory and operational requirements relating to security management practices, information handling, asset management, workforce training, incident notification, and subcontractor oversight. However, third-party controls may not prevent all future incidents or compliance failures.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support regulatory compliance and certain customer requirements, we are implementing segmented and access-controlled data environments, including protected enclaves, for designated sensitive data sets. Despite these safeguards, we may face regulatory scrutiny, enforcement actions, contractual claims, penalties, or reputational harm if our cybersecurity controls are determined to be inadequate or if a material incident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Cybersecurity matters are reported to senior management as appropriate. Incidents with potential business, operational, regulatory, or financial impact may be escalated on a 24/7 basis under established incident response and continuity procedures to an incident response team led by the appropriate Business Continuity Coordinator (“BCC”). Management prepares analyses and reports to support operational decision-making, regulatory compliance, and disclosure determinations. The BCC provides information to the Chief Legal Officer for evaluation and, where appropriate, reporting to the Audit Committee and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experienced any material cybersecurity incidents to date, cybersecurity threats and regulatory expectations continue to evolve. Future incidents or compliance failures could materially adversely affect our business strategy, operating results, cash flows, or financial condition, as further described in the risk factor titled “Disruptions, failures, data corruption, cyber-based attacks, security breaches, or regulatory non-compliance affecting our information technology and operational technology systems could materially adversely affect our operations, project execution, regulatory standing, and financial condition.” included in Part I, Item 1A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2_properties_1"/>
      <w:bookmarkEnd w:id="6"/>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owns or leases the properties described below. The Company believes that its existing facilities are adequate for its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headquarters are located at 9811 Katy Freeway, Suite 1200, Houston, Texas 77024 with approximately 33,630 square feet of office space that it leases with a term expiring in 2030. As of December 31, 2025, the Company owns or leases the following additional facilities, as well as other less material owned or leased facilities:</w:t>
      </w:r>
    </w:p>
    <w:p>
      <w:pPr>
        <w:pStyle w:val="TextBody"/>
        <w:bidi w:val="0"/>
        <w:jc w:val="left"/>
        <w:rPr/>
      </w:pPr>
      <w:r>
        <w:rPr/>
        <w:t> </w:t>
      </w:r>
    </w:p>
    <w:tbl>
      <w:tblPr>
        <w:tblW w:w="6965" w:type="dxa"/>
        <w:jc w:val="left"/>
        <w:tblInd w:w="0" w:type="dxa"/>
        <w:tblLayout w:type="fixed"/>
        <w:tblCellMar>
          <w:top w:w="28" w:type="dxa"/>
          <w:left w:w="28" w:type="dxa"/>
          <w:bottom w:w="28" w:type="dxa"/>
          <w:right w:w="28" w:type="dxa"/>
        </w:tblCellMar>
      </w:tblPr>
      <w:tblGrid>
        <w:gridCol w:w="1786"/>
        <w:gridCol w:w="146"/>
        <w:gridCol w:w="1261"/>
        <w:gridCol w:w="146"/>
        <w:gridCol w:w="146"/>
        <w:gridCol w:w="571"/>
        <w:gridCol w:w="246"/>
        <w:gridCol w:w="1106"/>
        <w:gridCol w:w="146"/>
        <w:gridCol w:w="14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Size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Leased or Owned</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Staten Island, 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Morgan City, 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Norfolk, VA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Chesapeake,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Little Rock, 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Cape Girardeau, 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Square feet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Cape Girardeau, MO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Square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Cape Girardeau, 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 Genevieve, MO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Square feet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7" w:name="item_3_legal_proceedings_1"/>
      <w:bookmarkEnd w:id="7"/>
      <w:r>
        <w:rPr>
          <w:rFonts w:ascii="Times New Roman" w:hAnsi="Times New Roman"/>
          <w:b/>
          <w:color w:val="000000"/>
          <w:sz w:val="20"/>
        </w:rPr>
        <w:t>Item 3.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discussion of certain litigation involving the Company, see the disclosures under “Legal proceedings and other contingencies” included within Note 12, “Commitments and contingencies,” to the Company’s consolidated financial statements.</w:t>
      </w:r>
    </w:p>
    <w:p>
      <w:pPr>
        <w:pStyle w:val="TextBody"/>
        <w:bidi w:val="0"/>
        <w:spacing w:before="360" w:after="283"/>
        <w:jc w:val="left"/>
        <w:rPr>
          <w:rFonts w:ascii="Times New Roman" w:hAnsi="Times New Roman"/>
          <w:b/>
          <w:color w:val="000000"/>
          <w:sz w:val="20"/>
        </w:rPr>
      </w:pPr>
      <w:bookmarkStart w:id="8" w:name="item_4_mine_safety_disclosures_1"/>
      <w:bookmarkEnd w:id="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part_ii"/>
      <w:bookmarkEnd w:id="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0" w:name="item_5_market_for_registrants_common_equ"/>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traded under the symbol “GLDD” on the NASDAQ Global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graph below shows the cumulative total return to stockholders of the Company’s common stock during a five year period ended December 31, 2025, the last trading day of our 2025 fiscal year, compared with the return on the NASDAQ Composite Index and a group of our peers which we use internally as a benchmark for our performance. The graph assumes initial investments of $100 each on December 31, 2020, in GLDD stock (assuming reinvestment of all dividends paid during the period), the NASDAQ Composite Index and the peer group companies, collectively.</w:t>
      </w:r>
    </w:p>
    <w:p>
      <w:pPr>
        <w:pStyle w:val="TextBody"/>
        <w:bidi w:val="0"/>
        <w:spacing w:before="240" w:after="283"/>
        <w:jc w:val="left"/>
        <w:rPr/>
      </w:pPr>
      <w:r>
        <w:rPr/>
        <w:drawing>
          <wp:inline distT="0" distB="0" distL="0" distR="0">
            <wp:extent cx="6858000" cy="4972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4972050"/>
                    </a:xfrm>
                    <a:prstGeom prst="rect">
                      <a:avLst/>
                    </a:prstGeom>
                  </pic:spPr>
                </pic:pic>
              </a:graphicData>
            </a:graphic>
          </wp:inline>
        </w:drawing>
      </w:r>
    </w:p>
    <w:p>
      <w:pPr>
        <w:pStyle w:val="TextBody"/>
        <w:bidi w:val="0"/>
        <w:jc w:val="center"/>
        <w:rPr/>
      </w:pPr>
      <w:r>
        <w:rPr/>
        <w:t> </w:t>
      </w:r>
    </w:p>
    <w:p>
      <w:pPr>
        <w:pStyle w:val="TextBody"/>
        <w:bidi w:val="0"/>
        <w:jc w:val="center"/>
        <w:rPr/>
      </w:pPr>
      <w:r>
        <w:rPr/>
        <w:t> </w:t>
      </w:r>
    </w:p>
    <w:tbl>
      <w:tblPr>
        <w:tblW w:w="10123" w:type="dxa"/>
        <w:jc w:val="left"/>
        <w:tblInd w:w="0" w:type="dxa"/>
        <w:tblLayout w:type="fixed"/>
        <w:tblCellMar>
          <w:top w:w="28" w:type="dxa"/>
          <w:left w:w="28" w:type="dxa"/>
          <w:bottom w:w="28" w:type="dxa"/>
          <w:right w:w="28" w:type="dxa"/>
        </w:tblCellMar>
      </w:tblPr>
      <w:tblGrid>
        <w:gridCol w:w="2836"/>
        <w:gridCol w:w="146"/>
        <w:gridCol w:w="217"/>
        <w:gridCol w:w="698"/>
        <w:gridCol w:w="146"/>
        <w:gridCol w:w="146"/>
        <w:gridCol w:w="217"/>
        <w:gridCol w:w="698"/>
        <w:gridCol w:w="146"/>
        <w:gridCol w:w="146"/>
        <w:gridCol w:w="247"/>
        <w:gridCol w:w="668"/>
        <w:gridCol w:w="146"/>
        <w:gridCol w:w="146"/>
        <w:gridCol w:w="217"/>
        <w:gridCol w:w="698"/>
        <w:gridCol w:w="146"/>
        <w:gridCol w:w="146"/>
        <w:gridCol w:w="217"/>
        <w:gridCol w:w="698"/>
        <w:gridCol w:w="146"/>
        <w:gridCol w:w="146"/>
        <w:gridCol w:w="217"/>
        <w:gridCol w:w="698"/>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Peer Average (see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Composite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peer group in the graph above is composed of the following member companies:</w:t>
      </w:r>
    </w:p>
    <w:tbl>
      <w:tblPr>
        <w:tblW w:w="4104" w:type="dxa"/>
        <w:jc w:val="left"/>
        <w:tblInd w:w="0" w:type="dxa"/>
        <w:tblLayout w:type="fixed"/>
        <w:tblCellMar>
          <w:top w:w="28" w:type="dxa"/>
          <w:left w:w="28" w:type="dxa"/>
          <w:bottom w:w="28" w:type="dxa"/>
          <w:right w:w="28" w:type="dxa"/>
        </w:tblCellMar>
      </w:tblPr>
      <w:tblGrid>
        <w:gridCol w:w="3046"/>
        <w:gridCol w:w="146"/>
        <w:gridCol w:w="72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Ticker</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AMRC</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Argan,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AGX</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Badger Infrastructure Solutions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BADFF</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Partners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ROAD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Forum Energy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Helix Energy Solutions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HLX</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KLX Energy Services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KLXE</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Limbach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LMB</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Matrix Service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MTRX</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Mistras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NV5 Global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NVEE</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NWPX Infrastructure,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NWPX</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States International,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Group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ProPetro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Pump</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Southland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SLND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Infrastructure,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STRL</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Team,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TISI</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Tidewater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TDW</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Given the usage of this peer group for compensation purposes and the fact that each peer is a capital-intensive business, the Company deems it appropriate to also use this peer group for showing the comparative cumulative total return to stockholders of Great Lakes.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20, 2026, the Company had approximately 15 shareholders of record of the Company’s common stock. A substantial number of holders of the Company’s common stock are “street name” or beneficial holders, whose shares are held of record by banks, brokers and other financial institutions.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repurchases of the Company’s common stock during the quarter ended December 31, 2025.</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18"/>
        <w:gridCol w:w="146"/>
        <w:gridCol w:w="414"/>
        <w:gridCol w:w="982"/>
        <w:gridCol w:w="146"/>
        <w:gridCol w:w="146"/>
        <w:gridCol w:w="445"/>
        <w:gridCol w:w="733"/>
        <w:gridCol w:w="146"/>
        <w:gridCol w:w="146"/>
        <w:gridCol w:w="673"/>
        <w:gridCol w:w="1602"/>
        <w:gridCol w:w="146"/>
        <w:gridCol w:w="146"/>
        <w:gridCol w:w="443"/>
        <w:gridCol w:w="2178"/>
        <w:gridCol w:w="195"/>
      </w:tblGrid>
      <w:tr>
        <w:trPr/>
        <w:tc>
          <w:tcPr>
            <w:tcW w:w="1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Aggregate Dollar Value That May Yet Be Purchased Under the Plans or Programs (1)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2025 - October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2025 - November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2025 -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38,406,008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(1) - On March 14, 2025, the Company announced that its board of directors approved a share repurchase program, authorizing, but not obligating, the repurchase of up to an aggregate amount of $50.0 million of its common stock from time to time through March 14, 2026.</w:t>
      </w:r>
    </w:p>
    <w:p>
      <w:pPr>
        <w:pStyle w:val="TextBody"/>
        <w:bidi w:val="0"/>
        <w:jc w:val="left"/>
        <w:rPr/>
      </w:pPr>
      <w:r>
        <w:rPr/>
        <w:t> </w:t>
      </w:r>
    </w:p>
    <w:p>
      <w:pPr>
        <w:pStyle w:val="TextBody"/>
        <w:bidi w:val="0"/>
        <w:jc w:val="left"/>
        <w:rPr>
          <w:rFonts w:ascii="Times New Roman" w:hAnsi="Times New Roman"/>
          <w:sz w:val="20"/>
        </w:rPr>
      </w:pPr>
      <w:bookmarkStart w:id="11" w:name="item_6_reserved"/>
      <w:bookmarkEnd w:id="11"/>
      <w:r>
        <w:rPr>
          <w:rFonts w:ascii="Times New Roman" w:hAnsi="Times New Roman"/>
          <w:b/>
          <w:color w:val="000000"/>
          <w:sz w:val="20"/>
        </w:rPr>
        <w:t xml:space="preserve">Item 6. </w:t>
      </w:r>
      <w:bookmarkStart w:id="12" w:name="item_6_selected_financial_data"/>
      <w:bookmarkEnd w:id="12"/>
      <w:r>
        <w:rPr>
          <w:rFonts w:ascii="Times New Roman" w:hAnsi="Times New Roman"/>
          <w:b/>
          <w:color w:val="000000"/>
          <w:sz w:val="20"/>
        </w:rPr>
        <w:t>[Reserved]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 Lakes is the largest provider of dredging services in the United States which is complemented with a long history of performing significant international projects. The Company is also fully engaged in expanding its core business into the offshore energy industry. The Company operates in one operating segment, which is also the Company’s one reportable segment and reporting unit.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and maintenance</w:t>
      </w:r>
      <w:r>
        <w:rPr>
          <w:rFonts w:ascii="Times New Roman" w:hAnsi="Times New Roman"/>
          <w:color w:val="0000FF"/>
          <w:sz w:val="20"/>
        </w:rPr>
        <w:t xml:space="preserve">. </w:t>
      </w:r>
      <w:r>
        <w:rPr>
          <w:rFonts w:ascii="Times New Roman" w:hAnsi="Times New Roman"/>
          <w:color w:val="000000"/>
          <w:sz w:val="20"/>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generally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or severe erosion and drive the need for maintenance and coastal protection dredging.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bid market is defined as the aggregate dollar value of domestic dredging projects on which we bid or could have bid if not for capacity constraints or other considerations (“bid market”). We experienced an average combined bid market share in the U.S. of 29% over the three-year period ended December 31, 2025, including 36%, 46% and 15% of the domestic capital, coastal protection and maintenance sectors,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largest domestic customer is the U.S. Army Corps of Engineers (the “Corps”), which has responsibility for federally funded projects related to navigation and flood control of U.S. waterways. Multi-jurisdictional cost sharing arrangements allow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our customer. In 2025, our revenues earned from contracts with federal government agencies were approximately 48% of total revenue, down from the average of the three-year period ended December 31, 2024 of 65%. The decrease in the federal government revenue percentage is a result of additional revenues from state and local governments and private customers during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fleet, which includes 16 dredges, 13 material transportation barges, 2 multi cats, and numerous other support vessels, is the largest and most diverse fleet of any U.S. dredging company. Our fleet of dredging equipment can be utilized on one or many types of work and in various geographic locations. This flexible approach to our fleet utilization, driven by the project scope and equipment, enables us to move equipment in response to changes in demand for dredging services to take advantage of the most attractive opportunities.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and/or repairs. The Company did not commence any regulatory dry dock inspections during the fourth quarter of 2025, but did return to work the vessel that was dry docked for regulatory inspections as of September 30, 2025. During the fourth quarter of 2024, the Company returned to work the vessel that was dry docked for regulatory inspections as of September 30, 2024. The Company experienced regulatory dry dock inspections on 6 and 4 dredges in 2025 and 2024,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end of the fourth quarter of 2025, the Company had no dredges cold stacked. During 2025, the Company began the activation of a previously cold stacked dredge and it commenced operations in the fourth quarter of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the Company continues to reinvest in our core dredging business and renew our dredging fleet, we remain steadfast in our commitment to executing a long-term strategy that maximizes growth opportunities for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Great Lakes has established a unique business position with our subsea rock installation (“SRI”) vessel, the Acadia, the first and only Jones Act SRI vessel being constructed in the United States, targeting the offshore wind, oil and gas and telecommunication industries, both domestically and internationally. In July 2025, the Acadia was launched and is expected to be delivered and operational in the first half of 2026. The Acadia has secured offshore wind rock placement contracts for Equinor’s Empire Wind 1 and Ørsted’s Sunrise Wind projects to protect foundations and cables in the U.S., providing full utilization for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offshore wind projects under construction have resumed installation activities as a result of preliminary injunctions from U.S courts to lift pauses imposed by the Bureau of Ocean Energy Management in late 2025. Despite the headwinds in the U.S. domestic offshore wind market, we believe offshore wind remains an important part of the array of technologies required for the U.S. to meet the increasing demand for energy from the U.S. electrical grid. However, in anticipation of potential delays in U.S. offshore wind projects, we proactively expanded the Acadia’s strategic target markets to include oil and gas pipeline protection, power and telecommunications cable protection, international offshore wind and critical subsea infrastructure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international offshore wind and interconnector cable markets are strong. In January 2026, the United Kingdom (the “U.K.”) awarded 8.4 GW of new offshore wind capacity in the largest offshore wind auction in European history. Closely following such U.K. CfD award, 10 countries in Europe and the U.K. signed the North Sea Summit “Investment Pact” to mobilize one trillion Euros in offshore wind investments for Europe. We secured our first two international offshore wind contracts in Europe with work expected to commence early in 2027, providing the Acadia close to full utilization for the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build our offshore energy capabilities and position the Company for growth in the offshore energy markets, both domestically and internationally, as many of our European competitors have done in the international offshore energy markets.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Pending Transaction with Saltchuk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10, 2026, we entered into the Merger Agreement with Saltchuk and Merger Sub. Pursuant to the Merger Agreement, on the terms and subject to the conditions set forth therein, Merger Sub will commence a tender offer to purchase any and all of the outstanding shares of the Company’s common stock at $17.00 per share and, following the consummation of the Offer, Merger Sub will be merged with and into the Company, with the Company continuing as the surviving corporation and a wholly owned subsidiary of Saltchuk.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is expected to close in the second quarter of 2026, subject to customary closing conditions, including the tender of one share more than a majority of the outstanding shares of the Company’s common stock and receipt of required antitrust clearance. Upon closing of the Transaction, the Company’s common stock will be delisted from the Nasdaq Stock Market and deregistered under the Securities Exchange Act of 1934, as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Merger Agreement also contains certain termination rights for the Company and Saltchuk and further provides that, upon termination of the Merger Agreement under specified circumstances, including certain terminations in connection with an alternative acquisition proposal as permitted by the terms of the Merger Agreement, the Company will be required to pay Saltchuk a termination fee of approximately $37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Part I, Item 1A, “Risk Factors,” Part II, Item 7, “Management's Discussion and Analysis of Financial Condition and Results of Operations,” and Note 1 of the Notes to Consolidated Financial Statements included in this Annual Report on Form 10-K for additional information regarding the transaction.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We capitalize certain pre-contract and pre-construction costs, and defer recognition over the life of the contract. Our performance obligations are satisfied over time and revenue is recognized using contract fulfillment costs incurred to date compared to total estimated costs at completion, also known as cost-to-cost, to measure progress towards completion. Contract modifications are changes in the scope or price (or both) of a contract that are approved by the parties to the contract. We recognize a contract modification when the parties to a contract approve a modification that either creates new, or changes existing, enforceable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our contracts are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our relationships with our unionized hourly workforce.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Primary Factors that Determine Operating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results of operations for an annual or quarterly period are generally determined by the following three factors: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Bid wins and dredge employment</w:t>
      </w:r>
      <w:r>
        <w:rPr>
          <w:color w:val="000000"/>
        </w:rPr>
        <w:t xml:space="preserve">— </w:t>
      </w:r>
      <w:r>
        <w:rPr>
          <w:rFonts w:ascii="Times New Roman" w:hAnsi="Times New Roman"/>
          <w:color w:val="000000"/>
          <w:sz w:val="20"/>
        </w:rPr>
        <w:t>The Company recognizes backlog upon a project being awarded. We begin to recognize revenues when a dredging contract commences a major activity on the project. The period prior to the commencement of a major activity for dredging projects can range from 45 days to six months depending on the complexity of the project and environmental work windows. Although our dredging fleet is subject to downtime for scheduled periodic maintenance and regulatory dry dockings, we seek to maximize our revenues by employing our dredging fleet on a full-time basis. If a dredge is idle (i.e., the dredge is not employed on a dredging project or undergoing scheduled periodic maintenance and repair), we do not earn revenue with respect to that dredge during the time period for which it is idle.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Project and dredge mix</w:t>
      </w:r>
      <w:r>
        <w:rPr>
          <w:color w:val="000000"/>
        </w:rPr>
        <w:t xml:space="preserve"> — </w:t>
      </w:r>
      <w:r>
        <w:rPr>
          <w:rFonts w:ascii="Times New Roman" w:hAnsi="Times New Roman"/>
          <w:color w:val="000000"/>
          <w:sz w:val="20"/>
        </w:rPr>
        <w:t>The Company’s domestic dredging projects generally involve capital, maintenance and coastal protection work, while our foreign dredging projects generally involve capital work. In addition, our projects vary in duration which is generally driven by the type of work undertaken. In general, projects of longer duration result in less dredge downtime in a given period. For example, capital deepening projects generally span several years due to their complexity and environmental windows. Moreover, our dredges have different physical performance capabilities and typically work on certain types of dredging projects. Accordingly, our dredges have different daily revenue generating capacities.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expect to achieve different levels of gross profit margin (i.e., gross profit divided by revenues) for work performed on the different types of dredging projects and for work performed by different types of dredges. Our expected gross margin for a project is based upon our estimates at the time of the bid. Although we seek to bid on and win projects that will maximize our gross margin, we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we work on a mix of dredging projects that, in the aggregate, have relatively low expected gross margins (based on project type and dredges employed).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Project execution</w:t>
      </w:r>
      <w:r>
        <w:rPr>
          <w:color w:val="000000"/>
        </w:rPr>
        <w:t>—</w:t>
      </w:r>
      <w:r>
        <w:rPr>
          <w:rFonts w:ascii="Times New Roman" w:hAnsi="Times New Roman"/>
          <w:color w:val="000000"/>
          <w:sz w:val="20"/>
        </w:rPr>
        <w:t>The Company seeks to execute all of our projects consistent with or at a higher production than our as-bid project estimates. In general, our ability to achieve our project estimates depends upon many factors including soil conditions, weather, variances from estimated project conditions, equipment mobilization time periods, unplanned equipment downtime or other events or circumstances beyond our control. If we experience any of these events and circumstances, the completion of a project will often be accelerated or delayed, as applicable, and, consequently, we will experience project results that are better or worse than our as-bid project estimates. We do our best to estimate for events and circumstances that are not within our control; however, these situations are inherent in dredging.</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significant accounting policies are discussed in the Notes to the consolidated financial statements included in Item 15 of this Annual Report on Form 10-K. The application of certain of these policies requires significant judgments or an estimation process that can affect our results of operations, financial position and cash flows, as well as the related footnote disclosures. We base our estimates on historical experience and other assumptions that we believe are reasonable. If actual amounts are ultimately different from previous estimates, the revisions are included in our results of operations for the period in which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amounts become known. The following accounting policies comprise those that management believes are the most critical to aid in fully understanding and evaluating our reported financial results.</w:t>
      </w:r>
    </w:p>
    <w:p>
      <w:pPr>
        <w:pStyle w:val="TextBody"/>
        <w:bidi w:val="0"/>
        <w:spacing w:before="240" w:after="283"/>
        <w:jc w:val="left"/>
        <w:rPr>
          <w:rFonts w:ascii="Times New Roman" w:hAnsi="Times New Roman"/>
          <w:sz w:val="20"/>
        </w:rPr>
      </w:pPr>
      <w:r>
        <w:rPr>
          <w:rFonts w:ascii="Times New Roman" w:hAnsi="Times New Roman"/>
          <w:i/>
          <w:color w:val="000000"/>
          <w:sz w:val="20"/>
        </w:rPr>
        <w:t>Cost-to-cost method of revenue recognition</w:t>
      </w:r>
      <w:r>
        <w:rPr>
          <w:rFonts w:ascii="Times New Roman" w:hAnsi="Times New Roman"/>
          <w:color w:val="000000"/>
          <w:sz w:val="20"/>
        </w:rPr>
        <w:t>— Revenue is recognized using contract fulfillment costs incurred to date compared to total estimated costs at completion, also known as cost-to-cost, to measure progress towards completion. Additionally, we capitalize certain pre-contract and pre-construction costs and defer recognition over the life of the contract. In preparing estimates, we draw on our extensive experience in the dredging businesses. We use this experience in conjunction with the project specifications to select equipment and to design a production technique for a project. We also utilize our database of historical dredging information which includes daily costs, mobilization and dredge production references on the same or similar projects to ensure that our estimates are as accurate as possible, given current circumstances. The daily costs and project duration are significant factors in our cost estimates to complete the project. Weather events, mechanical delays or other unplanned downtime instances may cause the actual costs to complete the project to differ from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Impairment of goodwill</w:t>
      </w:r>
      <w:r>
        <w:rPr>
          <w:rFonts w:ascii="Times New Roman" w:hAnsi="Times New Roman"/>
          <w:color w:val="000000"/>
          <w:sz w:val="20"/>
        </w:rPr>
        <w:t xml:space="preserve">—Goodwill is tested for impairment at the reporting unit level on an annual basis and between annual tests if an event occurs or 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We perform our annual impairment test as of July 1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2025, the Company performed a qualitative goodwill impairment test. The Company performed its annual test of impairment as of August 1, 2025 with no indication of impairment as of the test date. The 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test of goodwill in the third quarter of 2026 should no triggering events occur which would require a test prior to the next annual test. At December 31, 2025 and 2024, our goodwill was $76.6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Operations—Fiscal Years Ended December 31, 2025,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components of net income (loss) from continuing operations and Adjusted EBITDA, as defined below, as a percentage of contract revenues for the years ended December 31 2025, 2024 and 2023. The selected financial data presented below have been derived from the Company’s consolidated financial statements; items may not sum due to rounding.</w:t>
      </w:r>
    </w:p>
    <w:p>
      <w:pPr>
        <w:pStyle w:val="TextBody"/>
        <w:bidi w:val="0"/>
        <w:jc w:val="left"/>
        <w:rPr/>
      </w:pPr>
      <w:r>
        <w:rPr/>
        <w:t> </w:t>
      </w:r>
    </w:p>
    <w:tbl>
      <w:tblPr>
        <w:tblW w:w="6819" w:type="dxa"/>
        <w:jc w:val="left"/>
        <w:tblInd w:w="0" w:type="dxa"/>
        <w:tblLayout w:type="fixed"/>
        <w:tblCellMar>
          <w:top w:w="28" w:type="dxa"/>
          <w:left w:w="28" w:type="dxa"/>
          <w:bottom w:w="28" w:type="dxa"/>
          <w:right w:w="28" w:type="dxa"/>
        </w:tblCellMar>
      </w:tblPr>
      <w:tblGrid>
        <w:gridCol w:w="3091"/>
        <w:gridCol w:w="146"/>
        <w:gridCol w:w="146"/>
        <w:gridCol w:w="571"/>
        <w:gridCol w:w="166"/>
        <w:gridCol w:w="271"/>
        <w:gridCol w:w="146"/>
        <w:gridCol w:w="571"/>
        <w:gridCol w:w="166"/>
        <w:gridCol w:w="271"/>
        <w:gridCol w:w="146"/>
        <w:gridCol w:w="571"/>
        <w:gridCol w:w="1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bookmarkStart w:id="14" w:name="adjusted_ebitda_definition"/>
      <w:bookmarkEnd w:id="14"/>
      <w:r>
        <w:rPr>
          <w:rFonts w:ascii="Times New Roman" w:hAnsi="Times New Roman"/>
          <w:color w:val="000000"/>
          <w:sz w:val="20"/>
        </w:rPr>
        <w:t>Adjusted EBITDA, as provided herein, represents net income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as an additional measure by which to evaluate our operating trends. We believe that Adjusted EBITDA is a measure frequently used to evaluate performance of companies with substantial leverage and that our primary stakeholders (i.e., its stockholders, bondholders and banks) use Adjusted EBITDA to evaluate our period to period performance. Additionally, management believes that Adjusted EBITDA provides a transparent measure of our recurring operating performance and allows management to readily view operating trends, perform analytical comparisons and identify strategies to improve operating performance. For this reason, we use a measure based upon Adjusted EBITDA to assess performance for purposes of determining compensation under our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our business. For these reasons, we use net income (loss) to measure our operating performance and use Adjusted EBITDA only as a supplement. The following is a reconciliation of net income of Great Lakes Dredge &amp; Dock Corporation to Adjusted EBITDA (in thousands):</w:t>
      </w:r>
    </w:p>
    <w:p>
      <w:pPr>
        <w:pStyle w:val="TextBody"/>
        <w:bidi w:val="0"/>
        <w:spacing w:before="120" w:after="283"/>
        <w:jc w:val="left"/>
        <w:rPr/>
      </w:pPr>
      <w:r>
        <w:rPr/>
        <w:t> </w:t>
      </w:r>
    </w:p>
    <w:tbl>
      <w:tblPr>
        <w:tblW w:w="6878" w:type="dxa"/>
        <w:jc w:val="left"/>
        <w:tblInd w:w="0" w:type="dxa"/>
        <w:tblLayout w:type="fixed"/>
        <w:tblCellMar>
          <w:top w:w="28" w:type="dxa"/>
          <w:left w:w="28" w:type="dxa"/>
          <w:bottom w:w="28" w:type="dxa"/>
          <w:right w:w="28" w:type="dxa"/>
        </w:tblCellMar>
      </w:tblPr>
      <w:tblGrid>
        <w:gridCol w:w="2886"/>
        <w:gridCol w:w="146"/>
        <w:gridCol w:w="211"/>
        <w:gridCol w:w="781"/>
        <w:gridCol w:w="146"/>
        <w:gridCol w:w="146"/>
        <w:gridCol w:w="211"/>
        <w:gridCol w:w="781"/>
        <w:gridCol w:w="146"/>
        <w:gridCol w:w="146"/>
        <w:gridCol w:w="211"/>
        <w:gridCol w:w="676"/>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and adjusted diluted earnings per share, as provided herein, represents net income and diluted earnings per share of Great Lakes Dredge &amp; Dock Corporation, adjusted for loss on extinguishment of debt, net of tax. We believe adjusted net income and adjusted diluted earnings per share provide useful information about the Company’s operating performance. We believe excluding the non-recurring loss on extinguishment of debt provides investors with an alternative and supplemental understanding of our core business. The following is a reconciliation of net income and diluted earnings per share to adjusted net income and adjusted diluted earnings per share of Great Lakes Dredge &amp; Dock Corporation (in thousands, except per share amounts).</w:t>
      </w:r>
    </w:p>
    <w:p>
      <w:pPr>
        <w:pStyle w:val="TextBody"/>
        <w:bidi w:val="0"/>
        <w:spacing w:before="120" w:after="283"/>
        <w:jc w:val="left"/>
        <w:rPr/>
      </w:pPr>
      <w:r>
        <w:rPr/>
        <w:t> </w:t>
      </w:r>
    </w:p>
    <w:tbl>
      <w:tblPr>
        <w:tblW w:w="8568" w:type="dxa"/>
        <w:jc w:val="left"/>
        <w:tblInd w:w="0" w:type="dxa"/>
        <w:tblLayout w:type="fixed"/>
        <w:tblCellMar>
          <w:top w:w="28" w:type="dxa"/>
          <w:left w:w="28" w:type="dxa"/>
          <w:bottom w:w="28" w:type="dxa"/>
          <w:right w:w="28" w:type="dxa"/>
        </w:tblCellMar>
      </w:tblPr>
      <w:tblGrid>
        <w:gridCol w:w="4786"/>
        <w:gridCol w:w="146"/>
        <w:gridCol w:w="211"/>
        <w:gridCol w:w="676"/>
        <w:gridCol w:w="146"/>
        <w:gridCol w:w="146"/>
        <w:gridCol w:w="211"/>
        <w:gridCol w:w="676"/>
        <w:gridCol w:w="146"/>
        <w:gridCol w:w="146"/>
        <w:gridCol w:w="211"/>
        <w:gridCol w:w="676"/>
        <w:gridCol w:w="3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Components of Contract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by type of work, the Company’s contract revenues for the years ended December 31, 2025, 2024 and 2023 (in thousands):</w:t>
      </w:r>
    </w:p>
    <w:p>
      <w:pPr>
        <w:pStyle w:val="TextBody"/>
        <w:bidi w:val="0"/>
        <w:spacing w:before="120" w:after="283"/>
        <w:jc w:val="left"/>
        <w:rPr/>
      </w:pPr>
      <w:r>
        <w:rPr/>
        <w:t> </w:t>
      </w:r>
    </w:p>
    <w:tbl>
      <w:tblPr>
        <w:tblW w:w="6198" w:type="dxa"/>
        <w:jc w:val="left"/>
        <w:tblInd w:w="0" w:type="dxa"/>
        <w:tblLayout w:type="fixed"/>
        <w:tblCellMar>
          <w:top w:w="28" w:type="dxa"/>
          <w:left w:w="28" w:type="dxa"/>
          <w:bottom w:w="28" w:type="dxa"/>
          <w:right w:w="28" w:type="dxa"/>
        </w:tblCellMar>
      </w:tblPr>
      <w:tblGrid>
        <w:gridCol w:w="2101"/>
        <w:gridCol w:w="146"/>
        <w:gridCol w:w="211"/>
        <w:gridCol w:w="781"/>
        <w:gridCol w:w="146"/>
        <w:gridCol w:w="146"/>
        <w:gridCol w:w="211"/>
        <w:gridCol w:w="781"/>
        <w:gridCol w:w="146"/>
        <w:gridCol w:w="146"/>
        <w:gridCol w:w="211"/>
        <w:gridCol w:w="781"/>
        <w:gridCol w:w="3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858,048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Year Ended December 31, 2025 Compared to Year Ended December 31,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Total revenue was $888.3 million in 2025, an increase of $125.6 million, or 16%, from 2024 total revenue of $762.7 million. The increase in revenues from the prior year was largely attributable to a significant increase in domestic capital and coastal protection project revenues, the delivery of the </w:t>
      </w:r>
      <w:r>
        <w:rPr>
          <w:rFonts w:ascii="Times New Roman" w:hAnsi="Times New Roman"/>
          <w:i/>
          <w:color w:val="000000"/>
          <w:sz w:val="20"/>
        </w:rPr>
        <w:t>Amelia Island</w:t>
      </w:r>
      <w:r>
        <w:rPr>
          <w:rFonts w:ascii="Times New Roman" w:hAnsi="Times New Roman"/>
          <w:color w:val="000000"/>
          <w:sz w:val="20"/>
        </w:rPr>
        <w:t>, the Company’s newest hopper dredge which began operations in the third quarter of 2025 and offshore energy revenue earned on projects in New York following no offshore energy projects in 2024. These increases were partially offset by decreases in maintenance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Domestic capital dredging revenues increased $93.0 million, or 27%, to $441.1 million in 2025 when compared to 2024 revenues of $348.1 million. The increase in domestic capital dredging revenues was mostly due to a higher amount of revenue earned on projects in Alabama, Texas, Florida and Louisiana in the current year when compared to prior year. These increases were partially offset by lower revenue earned on projects in Virginia in the current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Coastal protection revenues were $281.6 million in 2025, an increase of $28.2 million, or 11%, from $253.4 million in 2024. The increase in coastal protection revenues for the year ended December 31, 2025 was mainly attributable to an increase in revenue earned on projects in New Jersey, South Carolina, Delaware and New York in the current year when compared to the prior year. This increase was partially offset by lower revenue earned on projects in Alabama, Florida and Maryland in the current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Revenues from maintenance dredging projects in 2025 were $135.4 million, a decrease of $25.8 million, or 16%, from $161.2 million in 2024. The decrease in maintenance revenues during the current year was primarily attributable to a decrease in revenue earned on projects in Florida, Mississippi, Puerto Rico and Texas when compared with prior year. This decrease was offset by an increase in revenue earned on projects in Virginia, New York, South Carolina, Louisiana and Arkansas in the current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offshore energy projects in 2025 were $30.2 million. Offshore energy revenues during the current year were attributable to revenue earned on projects in New York. The Company did not earn revenues from offshore energy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Consolidated gross profit for the year ended December 31, 2025 increased by $42.9 million, or 27%, to $203.5 million from $160.6 million for the year ended December 31, 2024. Gross profit margin (gross profit divided by revenue) for the full year 2025 increased to 22.9%, compared to the prior year's gross profit margin of 21.1%. The higher gross profit and gross profit margin for 2025</w:t>
      </w:r>
      <w:r>
        <w:rPr>
          <w:rFonts w:ascii="Times New Roman" w:hAnsi="Times New Roman"/>
          <w:color w:val="FF0000"/>
          <w:sz w:val="20"/>
        </w:rPr>
        <w:t xml:space="preserve"> </w:t>
      </w:r>
      <w:r>
        <w:rPr>
          <w:rFonts w:ascii="Times New Roman" w:hAnsi="Times New Roman"/>
          <w:color w:val="000000"/>
          <w:sz w:val="20"/>
        </w:rPr>
        <w:t xml:space="preserve">were driven by increased revenues as well as improved utilization and project performance in the current year. Additionally, the project mix during the current year include a larger proportion of higher margin capital projects than prior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totaled $78.0 million for the year ended December 31, 2025, up from $70.8 million for the year ended December 31, 2024. The increase was primarily attributable to higher incentive compensation and employee benefit expenses incurred in 2025 as compared to prior year, as well as Transaction related expenses incurred in the current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extinguishment of debt totaled $10.8 million for the year ended December 31, 2025. The loss was attributable to expensing the remaining outstanding deferred debt issuance costs of $7.7 million and the payment of the call premium of $3.1 million, inclusive of fees, upon the repayment of the Second Lien Credit Agreement (as defined below) during the fourth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gains for the year ended December 31, 2025 was a gain of $2.3 million, as compared to a gain of $3.0 million for the year ended December 31, 2024. The gain in 2025 was mainly attributable to gains on disposals of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income was $127.8 million and $92.8 million for the years ended December 31, 2025 and 2024, respectively. The $35.0 million increase was a result of higher gross profit in the current year when compared to prior year, partially offset by higher general and administrative expenses in the current year when compared to prior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interest expense for 2025 totaled $16.8 million compared to $17.9 million in 2024. The decrease in net interest expense was primarily due to the repayment of the Second Lien Credit Agreement during the fourth quarter of 2025, partially offset by an increase in interest expense from higher borrowings under the revolver.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provision in 2025 was $26.9 million, compared to $18.1 million in 2024. The increased expense was due to the increase in pretax net income. The effective tax rate for the year ended December 31, 2025 was 26.8% compared to 24.0% for the year ended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net income was $73.5 million compared to $57.3 million for the year ended December 31, 2024. The increase in net income of $16.2 million, or 28% from 2024, was primarily driven by the substantial improvement to operating income in the current year when compared to prior year, partially offset by an increase in the income tax provision and the loss on extinguishment of debt in the current year when compared to prior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(as defined and reconciled on page 41) was $171.3 million and $136.0 million for the years ended December 31, 2025 and 2024, respectively. The increase in Adjusted EBITDA of $35.3 million, or 26% from 2024, was driven by the increase in gross profit, excluding depreciation, partially offset by an increase in general and administrative expense.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Year Ended December 31, 2024 Compared to Year Ended December 31,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 discussion comparing our consolidated operating results from the year ended December 31, 2024 with the year ended December 31, 2023, refer to Part II, Item 7. “Management’s Discussion and Analysis of Financial Condition and Results of Operation – Year Ended December 31, 2024 Compared to Year Ended December 31, 2023” in our Annual Report on Form 10-K for the year ended December 31, 2024, which was filed with the Commission on February 20, 2025.</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Bidding Activity and Backlog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by type of work, the Company’s backlog as of the dates indicated (in thousands):</w:t>
      </w:r>
    </w:p>
    <w:p>
      <w:pPr>
        <w:pStyle w:val="TextBody"/>
        <w:bidi w:val="0"/>
        <w:spacing w:before="120" w:after="283"/>
        <w:jc w:val="left"/>
        <w:rPr/>
      </w:pPr>
      <w:r>
        <w:rPr/>
        <w:t> </w:t>
      </w:r>
    </w:p>
    <w:tbl>
      <w:tblPr>
        <w:tblW w:w="6438" w:type="dxa"/>
        <w:jc w:val="left"/>
        <w:tblInd w:w="0" w:type="dxa"/>
        <w:tblLayout w:type="fixed"/>
        <w:tblCellMar>
          <w:top w:w="28" w:type="dxa"/>
          <w:left w:w="28" w:type="dxa"/>
          <w:bottom w:w="28" w:type="dxa"/>
          <w:right w:w="28" w:type="dxa"/>
        </w:tblCellMar>
      </w:tblPr>
      <w:tblGrid>
        <w:gridCol w:w="2041"/>
        <w:gridCol w:w="146"/>
        <w:gridCol w:w="211"/>
        <w:gridCol w:w="781"/>
        <w:gridCol w:w="146"/>
        <w:gridCol w:w="146"/>
        <w:gridCol w:w="211"/>
        <w:gridCol w:w="931"/>
        <w:gridCol w:w="146"/>
        <w:gridCol w:w="146"/>
        <w:gridCol w:w="211"/>
        <w:gridCol w:w="931"/>
        <w:gridCol w:w="3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Dredging: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1,194,199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1,039,102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1,239,144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Total backlog does not include $200.2 million of domestic low bids pending formal award and additional phases (“options”) pending on projects currently in dredging backlog or $2.9 million of options pending award related to offshore energy contracts at December 31, 2025. The Company expects to perform on its offshore energy contracts using the </w:t>
      </w:r>
      <w:r>
        <w:rPr>
          <w:rFonts w:ascii="Times New Roman" w:hAnsi="Times New Roman"/>
          <w:i/>
          <w:color w:val="000000"/>
          <w:sz w:val="20"/>
        </w:rPr>
        <w:t>Acadia</w:t>
      </w:r>
      <w:r>
        <w:rPr>
          <w:rFonts w:ascii="Times New Roman" w:hAnsi="Times New Roman"/>
          <w:color w:val="000000"/>
          <w:sz w:val="20"/>
        </w:rPr>
        <w:t xml:space="preserve">, an inclined fall-pipe vessel for subsea rock installation currently under construction, which is expected to be delivered and operational in the first half of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59% of our December 31, 2025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Approximately 90% of the Company’s dredging backlog and 40% of the Company’s offshore energy backlog at December 31, 2025 are expected to be completed and converted to revenue in 2026 with the remainder to be completed in 2027. This amount may fluctuate as vessel schedules are adjusted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domestic dredging bid market, excluding LNG projects, totaled $1.7 billion, a decrease of $1.2 billion, or 43%, compared to the 2024 bid market total of $2.9 billion. The total domestic dredging bid market for the current year period included awards for two domestic capital projects in Virginia and Texas, fifteen coastal protection projects in Delaware, Florida, Louisiana and North Carolina, and twenty four maintenance projects in Alabama, Connecticut, Delaware, Florida, Georgia, Louisiana, Maryland, Mississippi, New York, North Carolina, Oregon, Pennsylvania, South Carolina, Texas, Virginia. The Company won 14% of the overall 2025 domestic bid market, lower than the 33% win rate of the overall 2024 domestic bid market and lower than the win rate of 29% over the three-year period ended December 31, 2025. Variability in contract wins from period to period is not unusual. We believe trends in our win rate over the prior three-year periods provide a historical background against which current year results can be compared.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December 31, 2025 contracted dredging backlog was $0.8 billion. This represents a decrease of $431 million, or 36%, over our December 31, 2024 dredging backlog of $1.2 billion. Total dredging backlog at the end of 2025 does not reflect approximately $124.8 million of performance obligations related to offshore energy contracts or approximately $200.2 million of domestic low bids pending formal award and additional phases (“options”) pending on projects currently in dredging backlog or $2.9 million of options pending award related to offshore energy contracts at December 31, 2025. Included in the Company’s backlog at December 31, 2025 are three LNG projects, including the Brownsville Ship Channel project for Next Decade Corporation’s Rio Grande LNG project, the Port Arthur LNG Phase 1 project for Marine Dredging and Disposal and Woodside Louisiana LNG project.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WRDA 2022 included funding for deepening the New York and New Jersey shipping channels to 55 feet, as well as the Coastal Texas Protection and Restoration Program, which aims to protect the Texas Gulf Coast from hurricanes. On January 4, 2025, then President Biden signed the WRDA of 2024 (“WRDA 2024”) into law, which includes several capital projects and projects designed to enhance flood protection, improve coastal resilience and support ecosystem restoration.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Energy and Water Appropriations Bill provided a record $8.7 billion in total funding to the Corps. Additionally, the 2023 Disaster Relief Supplemental Appropriations Act allocated $1.5 billion for infrastructure repairs and beach renourishment projects. This increased budget and additional funding have supported a record bid market in 2024 of $2.9 billion, which included a robust beach renourishment market and thirteen capital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Funding for the Corps in 2025 was provided through continuing resolutions. In addition, the 2023 Disaster Relief Supplemental Appropriations Act allocated $1.5 billion for infrastructure repairs and beach renourishment projects. These funds primarily support maintenance activities and beach renourishment efforts. On January 23, 2026 the Corps’ 2026 budget was signed by the President at a record $10.4 billion. Additional details will become available once the Corps releases its work plan, but one key highlight is Congress utilizing the historically high level of the HMTF to support major maintenance dredging initiatives across the United States. </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did not win either of the two domestic capital dredging projects awarded in 2025, compared to 37%, or $389.1 million, in the prior year. Domestic capital dredging work made up $549.9 million, or 72%, of our December 31, 2025 contracted dredging backlog.</w:t>
      </w:r>
      <w:r>
        <w:rPr>
          <w:rFonts w:ascii="Times New Roman" w:hAnsi="Times New Roman"/>
          <w:color w:val="FF0000"/>
          <w:sz w:val="20"/>
        </w:rPr>
        <w:t xml:space="preserve"> </w:t>
      </w:r>
      <w:r>
        <w:rPr>
          <w:rFonts w:ascii="Times New Roman" w:hAnsi="Times New Roman"/>
          <w:color w:val="000000"/>
          <w:sz w:val="20"/>
        </w:rPr>
        <w:t>During 2025, the Company continued to earn revenue from deepening projects in Texas, Alabama and Florida, which were in dredging backlog at December 31, 2024. These deepenings continue the trend of ensuring all East Coast and Gulf of America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 We expect approximately 89% of our domestic capital dredging backlog at December 31, 2025 to be performed in 2026, with the remainder performed in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won 11%, or $57.2 million, of the coastal protection projects awarded in 2025, compared to 63%, or $557.8 million, in the prior year. During 2025, the Company was awarded four coastal protection projects in Delaware and Florida. We have contracted dredging backlog related to coastal protection of $128.3 million at December 31, 2025 compared to $328.1 million at the end of 2024. During the year ended December 31, 2025, the Company continued to earn revenue on coastal protection projects in New Jersey, Florida, South Carolina and New York, which were in dredging backlog at December 31, 2024. We expect 100% of our coastal protection dredging backlog at December 31, 2025 to be performed in 2026.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won 16%, or $179.9 million, of the maintenance dredging projects awarded in 2025 compared to 2%, or $18.1 million, in 2024.</w:t>
      </w:r>
      <w:r>
        <w:rPr>
          <w:rFonts w:ascii="Times New Roman" w:hAnsi="Times New Roman"/>
          <w:color w:val="FF0000"/>
          <w:sz w:val="20"/>
        </w:rPr>
        <w:t xml:space="preserve"> </w:t>
      </w:r>
      <w:r>
        <w:rPr>
          <w:rFonts w:ascii="Times New Roman" w:hAnsi="Times New Roman"/>
          <w:color w:val="000000"/>
          <w:sz w:val="20"/>
        </w:rPr>
        <w:t>The decrease in the Company’s maintenance project awards in 2024 is primarily the result of the increase in capital and coastal protection projects awarded to the Company during the same period. During 2025 the Company was awarded seven maintenance projects in Georgia, Louisiana, North Carolina, New York, Texas and Virginia. During the year ended December 31, 2025, the Company continued to earn revenue on projects in Puerto Rico, Virginia, Arkansas, Mississippi and Texas, which were in dredging backlog at December 31, 2024. Our contracted maintenance dredging backlog at December 31, 2025 of $85.0 million is $18.4 million higher than the backlog of $66.6 million at December 31, 2024.</w:t>
      </w:r>
      <w:r>
        <w:rPr>
          <w:rFonts w:ascii="Times New Roman" w:hAnsi="Times New Roman"/>
          <w:color w:val="FF0000"/>
          <w:sz w:val="20"/>
        </w:rPr>
        <w:t xml:space="preserve"> </w:t>
      </w:r>
      <w:r>
        <w:rPr>
          <w:rFonts w:ascii="Times New Roman" w:hAnsi="Times New Roman"/>
          <w:color w:val="000000"/>
          <w:sz w:val="20"/>
        </w:rPr>
        <w:t>We expect 100% of our maintenance dredging backlog at December 31, 2025 to be performed in 2026.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has seen increased funding for harbor maintenance projects let for bid throughout 2025 and expects this trend to continue in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principal sources of liquidity are net cash flows provided by operating activities, availability under our revolving credit facility and proceeds from issuances of long-term debt. See Note 6, “Long-term debt,” to our consolidated financial statements included in Item 15 of this Annual Report on Form 10-K. Our principal uses of cash are to meet debt service requirements, finance capital expenditures, and provide working capital and other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cash provided by operating activities for the years ended December 31, 2025, 2024 and 2023 totaled $246.7 million, $70.1 million and $47.4 million, respectively. Normal increases or decreases in the level of working capital relative to the level of operational activity impact cash flow from operating activities. The increase in cash provided by operating activities during 2025 relates primarily to higher earnings in 2025, as well as a significant reduction in accounts receivables, increase in billings in excess of contract revenues, increase in deferred income taxes and other changes in working capital, partially offset by increases in prepaid expenses and other assets and contract revenues in excess of billings compared to 2024. The increase in cash provided by operating activities during 2024 relates primarily to significantly higher earnings in 2024, as well as increases in deferred income taxes, amortization of capitalized contract costs and a decrease in prepaid expenses and other current assets, partially offset by the increases in accounts receivable and decreases in billings in excess of contract revenues and other changes in working capital compared to 2023.</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Company’s net cash flows used in investing activities for the years ended December 31, 2025, 2024 and 2023 totaled $144.6 million, $115.7 million and $120.1 million, respectively. Investing activities in all periods primarily relate to investments in our new build program, normal course upgrades and capital maintenance of our dredging fleet. The Company took delivery of the a 6,500 cubic yard trailing suction hopper dredge, the </w:t>
      </w:r>
      <w:r>
        <w:rPr>
          <w:rFonts w:ascii="Times New Roman" w:hAnsi="Times New Roman"/>
          <w:i/>
          <w:color w:val="000000"/>
          <w:sz w:val="20"/>
        </w:rPr>
        <w:t>Amelia Island</w:t>
      </w:r>
      <w:r>
        <w:rPr>
          <w:rFonts w:ascii="Times New Roman" w:hAnsi="Times New Roman"/>
          <w:color w:val="000000"/>
          <w:sz w:val="20"/>
        </w:rPr>
        <w:t xml:space="preserve">, which began operations in the third quarter of 2025. The </w:t>
      </w:r>
      <w:r>
        <w:rPr>
          <w:rFonts w:ascii="Times New Roman" w:hAnsi="Times New Roman"/>
          <w:i/>
          <w:color w:val="000000"/>
          <w:sz w:val="20"/>
        </w:rPr>
        <w:t>Galveston Island</w:t>
      </w:r>
      <w:r>
        <w:rPr>
          <w:rFonts w:ascii="Times New Roman" w:hAnsi="Times New Roman"/>
          <w:color w:val="000000"/>
          <w:sz w:val="20"/>
        </w:rPr>
        <w:t xml:space="preserve">, another 6,500 cubic yard trailing suction hopper dredge, began operations in the first quarter of 2024. The delivery of the new </w:t>
      </w:r>
      <w:r>
        <w:rPr>
          <w:rFonts w:ascii="Times New Roman" w:hAnsi="Times New Roman"/>
          <w:i/>
          <w:color w:val="000000"/>
          <w:sz w:val="20"/>
        </w:rPr>
        <w:t>Galveston Island</w:t>
      </w:r>
      <w:r>
        <w:rPr>
          <w:rFonts w:ascii="Times New Roman" w:hAnsi="Times New Roman"/>
          <w:color w:val="000000"/>
          <w:sz w:val="20"/>
        </w:rPr>
        <w:t xml:space="preserve"> and </w:t>
      </w:r>
      <w:r>
        <w:rPr>
          <w:rFonts w:ascii="Times New Roman" w:hAnsi="Times New Roman"/>
          <w:i/>
          <w:color w:val="000000"/>
          <w:sz w:val="20"/>
        </w:rPr>
        <w:t>Amelia Island</w:t>
      </w:r>
      <w:r>
        <w:rPr>
          <w:rFonts w:ascii="Times New Roman" w:hAnsi="Times New Roman"/>
          <w:color w:val="000000"/>
          <w:sz w:val="20"/>
        </w:rPr>
        <w:t xml:space="preserve"> hopper dredges provide the Company with added capacity and the opportunity to potentially retire older dredges. In November 2021, the Company entered into a $197 million contract with Philly Shipyard to build the </w:t>
      </w:r>
      <w:r>
        <w:rPr>
          <w:rFonts w:ascii="Times New Roman" w:hAnsi="Times New Roman"/>
          <w:i/>
          <w:color w:val="000000"/>
          <w:sz w:val="20"/>
        </w:rPr>
        <w:t xml:space="preserve">Acadia, </w:t>
      </w:r>
      <w:r>
        <w:rPr>
          <w:rFonts w:ascii="Times New Roman" w:hAnsi="Times New Roman"/>
          <w:color w:val="000000"/>
          <w:sz w:val="20"/>
        </w:rPr>
        <w:t xml:space="preserve">the first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U.S. flagged Jones Act compliant, inclined fall-pipe subsea rock installation vessel to support the offshore energy industry, which is expected to be delivered and operational in the first half of 2026. During the year ended December 31, 2025, the Company invested $32.3 million and $69.1 million in the </w:t>
      </w:r>
      <w:r>
        <w:rPr>
          <w:rFonts w:ascii="Times New Roman" w:hAnsi="Times New Roman"/>
          <w:i/>
          <w:color w:val="000000"/>
          <w:sz w:val="20"/>
        </w:rPr>
        <w:t>Amelia Island</w:t>
      </w:r>
      <w:r>
        <w:rPr>
          <w:rFonts w:ascii="Times New Roman" w:hAnsi="Times New Roman"/>
          <w:color w:val="000000"/>
          <w:sz w:val="20"/>
        </w:rPr>
        <w:t xml:space="preserve"> and the </w:t>
      </w:r>
      <w:r>
        <w:rPr>
          <w:rFonts w:ascii="Times New Roman" w:hAnsi="Times New Roman"/>
          <w:i/>
          <w:color w:val="000000"/>
          <w:sz w:val="20"/>
        </w:rPr>
        <w:t>Acadia</w:t>
      </w:r>
      <w:r>
        <w:rPr>
          <w:rFonts w:ascii="Times New Roman" w:hAnsi="Times New Roman"/>
          <w:color w:val="000000"/>
          <w:sz w:val="20"/>
        </w:rPr>
        <w:t xml:space="preserve">, respectively. The Company anticipates that remaining new build program payments will be made with cash on hand, future cash flows generated from operations, revolver availability, and possible future financing transactions. In 2025, 2024 and 2023, we received $2.6 million, $9.5 million and $30.7 million, respectively, in proceeds from dispositions of property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cash flows used in financing activities for the year ended December 31, 2025 totaled $98.9 million. The Company’s net cash flows provided by financing activities for the years ended December 31, 2024 and 2023 totaled $32.1 million and $89.9 million, respectively. The increase in net cash flows used in financing activities during 2025 is primarily due to payment of the Second Lien Credit Agreement discussed below of $100.0 million along with the prepayment penalty associated with it of $3.1 million and the repurchase of the Company’s common stock of $11.6 million, partially offset by net borrowing under the Company’s revolving credit debt facility of $20 million during 2025. On October 24, 2025 the Company completed an amendment to its existing revolving debt facility, upsizing the facility by $100 million to $430 million and extending its maturity to the earlier of October 24, 2030 and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 As of February 20, 2026, the Company had $50 million in borrowings under its revolving debt facility. The decrease in net cash flows used in financing activities during 2024, as compared to 2023, is primarily due to net borrowings under the Company’s revolving debt facility and Second Lien Credit Agreement during 2024 of $45.0 million, compared to net borrowings of $90.0 million on the Company’s revolving debt facility during 2023. On April 24, 2024, the Company and certain of its subsidiaries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The Company borrowed $100.0 million under the Second Lien Credit Agreement on the closing date. The net proceeds from the Second Lien Credit Agreement were used to repay amounts outstanding under the ABL Credit Agreement, to pay fees and expenses associated with the Second Lien Credit Agreement and ABL Amendment and for general corporate purposes, including to fund new build payments. Additionally, the deferred financing fees associated with the Second Lien Credit Agreement of approximately $11.6 million increased the net cash flows used in financing activities during 2024. The cash provided by financing activities in 2023 primarily relates to $208.0 million of revolving debt facility borrowings, partially offset by $118.0 million of revolving debt facility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spend between approximately $65 million and $75 million on capital expenditures in 2026, inclusive of capitalized interest, which is comprised of vessels in our new build program and maintenance capital expenditures. The Company anticipates that remaining new build program payments will be made with cash on hand, future cash flows generated from operations, revolver availability and potential new sources of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 During the second quarter of 2024, Moody’s Investor Services changed our outlook from negative to stable and reaffirmed our corporate credit rating at B2. In the fourth quarter of 2025, S&amp;P upgraded our corporate credit rating from B- to B and reaffirmed our outlook as stable. On February 11, 2026, S&amp;P placed their rating of the Company on a credit watch with positive implication, reflecting that the credit quality will likely strengthen and upon close of the Transaction could result on a one-notch upgrade, or withdrawal of the rating with the repayment of the debt. This credit watch is expected to be resolved at close of the Transaction.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Commitments, contingencies and liquidity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Refer to Note 6, “Long-term debt,” in the Company’s consolidated financial statements for discussion of the Company’s ABL Credit Agreement and Senior Notes. Refer to Note 4, “Leases,” in the Company’s consolidated financial statements for discussion of the Company’s leases. Additionally, refer to Note 12, “Commitments and contingencies,” in the consolidated financial statements for discussion of the Company’s surety agreements.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future declaration and payment of dividends will be at the discretion of the Company’s board of directors and will depend on many factors, including general economic and business conditions, our strategic plans, our financial results and condition and legal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requirements, including restrictions and limitations contained in the ABL Credit Agreement, surety bonding agreement and the indenture relating to our senior notes. Accordingly, we cannot make any assurances as to the size of any such dividend or that it will pay any such dividend in future quarters.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terms and covenants required under the ABL Amendment and bonding agreements, depends on its future operating performance and cash flows, which in turn are subject to prevailing economic conditions and to financial, business and other factors, some of which are beyond the Company’s control.</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related to contractual obligations can be found within this Item 7 in our “Liquidity and Capital Resources” section and also in Note 6, “Long-term debt,” and Note 4, “Leases” and Note 12, “Commitments and contingencies,” to our consolidated financial statements.</w:t>
      </w:r>
    </w:p>
    <w:p>
      <w:pPr>
        <w:pStyle w:val="TextBody"/>
        <w:bidi w:val="0"/>
        <w:jc w:val="left"/>
        <w:rPr>
          <w:rFonts w:ascii="Times New Roman" w:hAnsi="Times New Roman"/>
          <w:sz w:val="20"/>
        </w:rPr>
      </w:pPr>
      <w:r>
        <w:rPr>
          <w:rFonts w:ascii="Times New Roman" w:hAnsi="Times New Roman"/>
          <w:b/>
          <w:i/>
          <w:color w:val="000000"/>
          <w:sz w:val="20"/>
        </w:rPr>
        <w:t>Other Off-Balance Sheet and Contingent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outstanding letters of credit relating to contract guarantees and insurance payment liabilities totaling $57.9 million at December 31, 2025. We have granted liens on a substantial portion of the owned operating equipment as security for borrowings and letter of credits under the ABL Credit Agreement and other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the Company had outstanding performance bonds with a notional amount of $1.3 billion. The revenue value remaining in backlog related to the projects totaled $554.4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foreign projects performed by the Company have warranty periods, typically spanning no more than one to three years beyond project completion, whereby we retain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it unlikely that it would have to perform under any of its contingent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sold $325.0 million of unsecured 5.25% Senior Notes due June 1, 2029 pursuant to a private offering. The Company used the net proceeds from the offering, together with cash on hand, to redeem all $325.0 million aggregate principal amount of its prior outstanding 8% Notes. The 2029 Notes were priced to investors at par and will mature on June 1, 2029. At December 31, 2025, the Company had long-term senior notes outstanding with a recorded face value of $325.0 million. The fair value of these existing notes, which bear interest at a fixed rate of 5.25%, was $317.0 million at December 31, 2025 based on market prices. Assuming a 10% decrease in interest rates from the rates at December 31, 2025 the fair value of this fixed rate debt would have increased to $323.0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exposed to market risks related to fluctuations in interest rates on our outstanding variable rate indebtedness. As of December 31, 2025 we had $55.0 million of variable rate indebtedness, $50 million of which is hedged by interest rate swaps to convert a portion of our variable rate debt into fixed-rate debt. All of the outstanding borrowings under the revolving credit facility are at variable rates based on the Secured Overnight Financing Rate (“SOFR”). At December 31, 2025 our weighted average interest rate on our variable rate indebtedness, </w:t>
      </w:r>
      <w:r>
        <w:rPr>
          <w:rFonts w:ascii="Times New Roman" w:hAnsi="Times New Roman"/>
          <w:color w:val="212121"/>
          <w:sz w:val="20"/>
        </w:rPr>
        <w:t xml:space="preserve">after adjusting for the effects of interest rate swaps, </w:t>
      </w:r>
      <w:r>
        <w:rPr>
          <w:rFonts w:ascii="Times New Roman" w:hAnsi="Times New Roman"/>
          <w:color w:val="000000"/>
          <w:sz w:val="20"/>
        </w:rPr>
        <w:t>was 5.7%. A hypothetical 10% increase in the weighted average interest rate on our variable rate indebtedness as of December 31, 2025 would increase our annual interest cost by approximately $28.5 thousand. A 10% increase in interest rate would result in $0.1 million change in the fair value of the Interest Rate Swaps outstanding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significant operating cost for the Company is diesel fuel, which represents approximately 10% of our costs of contract revenues. We use fuel commodity forward contracts, typically with durations of less than one year, to reduce the impacts of changing fuel prices on operations. We do not purchase fuel hedges for trading purposes. Based on our 2026 projected domestic fuel consumption, an approximate 10% increase in the average price per gallon of fuel would have a $0.2 million effect on fuel expense, after the effect of fuel commodity contracts in place at December 31, 2025. At December 31, 2025 we had outstanding arrangements to hedge the price of a portion of our fuel purchases related to domestic dredging work in backlog, representing approximately 90% of its anticipated domestic fuel requirements through May 2027. As of December 31, 2025, there were 14.4 million gallons remaining on these contracts. Under these agreements, we will pay fixed prices ranging from $2.03 to $2.47 per gallon. At December 31, 2025, the fair value liabilities on these contracts was $1.3 million, based on quoted market prices and is recorded in accrued liabilities. A 10% change in forward fuel prices would result in a $2.8 million change in the fair value of fuel hedges outstanding at December 31, 2025.</w:t>
      </w:r>
    </w:p>
    <w:p>
      <w:pPr>
        <w:pStyle w:val="TextBody"/>
        <w:bidi w:val="0"/>
        <w:spacing w:before="360" w:after="283"/>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(including financial statement schedules listed under Item 15 of this Report) of the Company called for by this Item, together with the Report of Independent Registered Public Accounting Firm dated February 23, 2026, are set forth on pages 56 to 82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pStyle w:val="TextBody"/>
        <w:bidi w:val="0"/>
        <w:spacing w:before="360" w:after="283"/>
        <w:jc w:val="left"/>
        <w:rPr>
          <w:rFonts w:ascii="Times New Roman" w:hAnsi="Times New Roman"/>
          <w:b/>
          <w:color w:val="000000"/>
          <w:sz w:val="20"/>
        </w:rPr>
      </w:pPr>
      <w:bookmarkStart w:id="17" w:name="item_9_changes_in_disagreements_with_acc"/>
      <w:bookmarkEnd w:id="17"/>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FF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2025.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that evaluation, the Chief Executive Officer and the Chief Financial Officer have concluded that the Company’s disclosure controls and procedures, as designed and implemented, were effective as of December 31, 2025.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our periodic reports.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13a-15(f) under the Exchange Act) during the fiscal quarter ended December 31, 2025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Times New Roman" w:hAnsi="Times New Roman"/>
          <w:i/>
          <w:color w:val="000000"/>
          <w:sz w:val="20"/>
        </w:rPr>
        <w:t>Internal Control—Integrated Framework</w:t>
      </w:r>
      <w:r>
        <w:rPr>
          <w:rFonts w:ascii="Times New Roman" w:hAnsi="Times New Roman"/>
          <w:color w:val="000000"/>
          <w:sz w:val="20"/>
        </w:rPr>
        <w:t xml:space="preserve"> </w:t>
      </w:r>
      <w:r>
        <w:rPr>
          <w:rFonts w:ascii="Times New Roman" w:hAnsi="Times New Roman"/>
          <w:i/>
          <w:color w:val="000000"/>
          <w:sz w:val="20"/>
        </w:rPr>
        <w:t>(2013)</w:t>
      </w:r>
      <w:r>
        <w:rPr>
          <w:rFonts w:ascii="Times New Roman" w:hAnsi="Times New Roman"/>
          <w:color w:val="000000"/>
          <w:sz w:val="20"/>
        </w:rPr>
        <w:t xml:space="preserve"> published by the Committee of Sponsoring Organizations of the Treadway Commission (“COSO”) to evaluate the effectiveness of the Company’s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the assets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concluded that our internal control over financial reporting was effective as of December 31, 2025.</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 the stockholders and the Board of Directors of Great Lakes Dredge &amp; Dock Corporation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We have audited the internal control over financial reporting of Great Lakes Dredge &amp; Dock Corporation and subsidiaries (the “Company”)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pStyle w:val="TextBody"/>
        <w:bidi w:val="0"/>
        <w:spacing w:before="0" w:after="24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 xml:space="preserve">Definition and Limitations of Internal Control over Financial Reporting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jc w:val="left"/>
        <w:rPr>
          <w:rFonts w:ascii="Times New Roman" w:hAnsi="Times New Roman"/>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r>
        <w:rPr>
          <w:rFonts w:ascii="Times New Roman" w:hAnsi="Times New Roman"/>
          <w:b/>
          <w:color w:val="000000"/>
          <w:sz w:val="20"/>
        </w:rPr>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Deloitte &amp; Touche LLP </w:t>
        <w:br/>
        <w:br/>
        <w:t xml:space="preserve">Houston, Texas </w:t>
        <w:br/>
        <w:t>February 23,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9b_or_information"/>
      <w:bookmarkEnd w:id="19"/>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Executive Officers and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4, 2025, Lasse Petterson, Director and President and Chief Executive Officer, adopted a Rule 10b5-1 trading arrangement that is intended to satisfy the affirmative defense of Rule 10b5-1 (c) and provides for the sale of up to 592,652 shares of our common stock by May 27, 2026. On October 27, 2025, Mr. Petterson terminated this Rule 10b5-1 trading arrangement with no shares sold under the arrangement. </w:t>
      </w:r>
    </w:p>
    <w:p>
      <w:pPr>
        <w:pStyle w:val="TextBody"/>
        <w:bidi w:val="0"/>
        <w:spacing w:before="240" w:after="283"/>
        <w:jc w:val="left"/>
        <w:rPr>
          <w:rFonts w:ascii="Times New Roman" w:hAnsi="Times New Roman"/>
          <w:sz w:val="20"/>
        </w:rPr>
      </w:pPr>
      <w:r>
        <w:rPr>
          <w:rFonts w:ascii="Times New Roman" w:hAnsi="Times New Roman"/>
          <w:color w:val="000000"/>
          <w:sz w:val="20"/>
        </w:rPr>
        <w:t>During the quarterly period ended December 31, 2025, none of our other officers (as defined in Rule 16a-1(f) under the Exchange Act) or directors adopted or terminated a Rule 10b5-1 trading plan or adopted or terminated a non-Rule 10b5-1 trading arrangement (as defined in Item 408(c) of Regulation S-K).</w:t>
      </w:r>
      <w:r>
        <w:rPr>
          <w:rFonts w:ascii="Times New Roman" w:hAnsi="Times New Roman"/>
          <w:color w:val="212529"/>
          <w:sz w:val="20"/>
        </w:rPr>
        <w:t xml:space="preserve"> </w:t>
      </w:r>
    </w:p>
    <w:p>
      <w:pPr>
        <w:pStyle w:val="TextBody"/>
        <w:bidi w:val="0"/>
        <w:spacing w:before="240" w:after="283"/>
        <w:jc w:val="left"/>
        <w:rPr>
          <w:rFonts w:ascii="Times New Roman" w:hAnsi="Times New Roman"/>
          <w:b/>
          <w:color w:val="000000"/>
          <w:sz w:val="20"/>
        </w:rPr>
      </w:pPr>
      <w:bookmarkStart w:id="20" w:name="item_9c_disclosure_regarding_foreign_jur"/>
      <w:bookmarkEnd w:id="20"/>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22" w:name="item_10_directors_executive_ficers_corpo"/>
      <w:bookmarkEnd w:id="22"/>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regarding our executive officers is incorporated by reference herein from the discussion under Item 1. “Business—Information about our Executive Officers” in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a written code of business conduct and ethics that applies to all of our employees, including our principal executive officer, principal financial officer, principal accounting officer, controller, and persons performing similar functions. The Company’s code of business conduct and ethics can be found on our website at www.gldd.com. We will post on our website any amendments to or waivers of the code of business conduct and ethics for executive officers or directors, in accordance with applicable laws and regulations.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statement of policy concerning securities trading and disclosure of confidential information (the “Insider Trading Policy”) governing the purchase and sale and other disposition of GLDD common stock and the disclosure of confidential information, in each case, by our directors, executive officers and certain non-executive officers, key employees and associated family members, and has implemented related processes for the Company and its subsidiaries. The Company believes that the Insider Trading Policy and the Company’s processes are reasonably designed to promote compliance with insider trading laws, rules and regulations, and the Nasdaq listing standards. The foregoing summary of the Insider Trading Policy is not complete and is qualified in its entirety by reference to the Insider Trading Policy attached hereto as Exhibit 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information called for by this Item 10 is incorporated by reference herein from the discussions under the principal headings “Election of Directors,” “Corporate Governance,” “Security Ownership of Certain Beneficial Owners and Management” and “Delinquent Section 16(a) Reports” in the definitive Proxy Statement for the 2026 Annual Meeting of Stockholders.</w:t>
      </w:r>
    </w:p>
    <w:p>
      <w:pPr>
        <w:pStyle w:val="TextBody"/>
        <w:bidi w:val="0"/>
        <w:spacing w:before="360" w:after="283"/>
        <w:jc w:val="left"/>
        <w:rPr>
          <w:rFonts w:ascii="Times New Roman" w:hAnsi="Times New Roman"/>
          <w:b/>
          <w:color w:val="000000"/>
          <w:sz w:val="20"/>
        </w:rPr>
      </w:pPr>
      <w:bookmarkStart w:id="23" w:name="item_11_executive_compensation"/>
      <w:bookmarkEnd w:id="23"/>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11 of Form 10-K including information about the Company’s executive and director compensation and certain related matters is incorporated by reference herein from the discussions under the principal headings “Corporate Governance” and “Compensation Discussion and Analysis,” including under the subheadings “Executive Compensation Tables” and “CEO Pay Ratio” in the definitive Proxy Statement for the 2026 Annual Meeting of Stockholders.</w:t>
      </w:r>
    </w:p>
    <w:p>
      <w:pPr>
        <w:pStyle w:val="TextBody"/>
        <w:bidi w:val="0"/>
        <w:spacing w:before="360" w:after="283"/>
        <w:jc w:val="left"/>
        <w:rPr>
          <w:rFonts w:ascii="Times New Roman" w:hAnsi="Times New Roman"/>
          <w:b/>
          <w:color w:val="000000"/>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12 of Form 10-K including with respect to the security ownership of certain beneficial owners and management and certain equity compensation plan information is incorporated by reference herein from the discussion under the principal headings “Security Ownership of Certain Beneficial Owners and Management” and “Equity Compensation Plan Information” in our definitive Proxy Statement for the 2026 Annual Meeting of Stockholders.</w:t>
      </w:r>
    </w:p>
    <w:p>
      <w:pPr>
        <w:pStyle w:val="TextBody"/>
        <w:bidi w:val="0"/>
        <w:spacing w:before="360" w:after="283"/>
        <w:jc w:val="left"/>
        <w:rPr>
          <w:rFonts w:ascii="Times New Roman" w:hAnsi="Times New Roman"/>
          <w:b/>
          <w:color w:val="000000"/>
          <w:sz w:val="20"/>
        </w:rPr>
      </w:pPr>
      <w:bookmarkStart w:id="25" w:name="item_13_certain_relationships_related_tr"/>
      <w:bookmarkEnd w:id="25"/>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13 of Form 10-K is incorporated by reference herein from the discussions under the principal headings “Corporate Governance,” “Certain Relationships and Related Transactions” and “Compensation Discussion and Analysis,” including under subheading “Potential Payments Upon Termination or Change in Control” in the definitive Proxy Statement for the 2026 Annual Meeting of Stockholders.</w:t>
      </w:r>
    </w:p>
    <w:p>
      <w:pPr>
        <w:pStyle w:val="TextBody"/>
        <w:bidi w:val="0"/>
        <w:spacing w:before="360" w:after="283"/>
        <w:jc w:val="left"/>
        <w:rPr>
          <w:rFonts w:ascii="Times New Roman" w:hAnsi="Times New Roman"/>
          <w:b/>
          <w:color w:val="000000"/>
          <w:sz w:val="20"/>
        </w:rPr>
      </w:pPr>
      <w:bookmarkStart w:id="26" w:name="item_14_principal_accounting_fees_servic"/>
      <w:bookmarkEnd w:id="26"/>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Deloitte &amp; Touche LLP (PCAOB ID No. 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14 of Form 10-K is incorporated by reference herein from the discussion under the principal heading “Ratification of Independent Registered Public Accounting Firm,” including under subheading “Matters Related to Independent Registered Public Accounting Firm” in the definitive Proxy Statement for the 2026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v"/>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sz w:val="20"/>
        </w:rPr>
      </w:pPr>
      <w:bookmarkStart w:id="28" w:name="item_15_exhibits_financial_statement_sch"/>
      <w:bookmarkEnd w:id="28"/>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color w:val="000000"/>
          <w:sz w:val="20"/>
        </w:rPr>
        <w:t>Exhibits, Financial Statement Schedules.</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Documents filed as part of this report</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The financial statements are set forth on pages</w:t>
      </w:r>
      <w:r>
        <w:rPr>
          <w:rFonts w:ascii="Times New Roman" w:hAnsi="Times New Roman"/>
          <w:color w:val="FF0000"/>
          <w:sz w:val="20"/>
        </w:rPr>
        <w:t xml:space="preserve"> </w:t>
      </w:r>
      <w:r>
        <w:rPr>
          <w:rFonts w:ascii="Times New Roman" w:hAnsi="Times New Roman"/>
          <w:color w:val="000000"/>
          <w:sz w:val="20"/>
        </w:rPr>
        <w:t>56 to 82 of this Report and are incorporated by reference in Item 8 of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schedules, except Schedule II—Valuation and Qualifying Accounts on page 83, are omitted because they are not required or the required information is shown in the financial statements or notes thereto.</w:t>
      </w:r>
    </w:p>
    <w:p>
      <w:pPr>
        <w:pStyle w:val="TextBody"/>
        <w:bidi w:val="0"/>
        <w:spacing w:before="36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required to be filed by Item 601 of Regulation S-K are listed in the “Exhibit Index” which is attached hereto and incorporated by reference herein.</w:t>
      </w:r>
    </w:p>
    <w:p>
      <w:pPr>
        <w:pStyle w:val="TextBody"/>
        <w:bidi w:val="0"/>
        <w:jc w:val="left"/>
        <w:rPr/>
      </w:pPr>
      <w:r>
        <w:rPr/>
        <w:t> </w:t>
      </w:r>
    </w:p>
    <w:p>
      <w:pPr>
        <w:pStyle w:val="TextBody"/>
        <w:bidi w:val="0"/>
        <w:spacing w:before="160" w:after="283"/>
        <w:jc w:val="left"/>
        <w:rPr>
          <w:rFonts w:ascii="Times New Roman" w:hAnsi="Times New Roman"/>
          <w:sz w:val="20"/>
        </w:rPr>
      </w:pPr>
      <w:bookmarkStart w:id="29" w:name="item_16_form_10k_summary"/>
      <w:bookmarkEnd w:id="29"/>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70"/>
        <w:gridCol w:w="635"/>
      </w:tblGrid>
      <w:tr>
        <w:trPr/>
        <w:tc>
          <w:tcPr>
            <w:tcW w:w="957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9570"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w:t>
            </w:r>
          </w:p>
        </w:tc>
        <w:tc>
          <w:tcPr>
            <w:tcW w:w="6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70"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CONSOLIDATED FINANCIAL STATEMENTS AS OF DECEMBER 31, 2025 AND 2024, AND FOR THE YEARS ENDED DECEMBER 31, 2025, 2024 AND 2023</w:t>
            </w:r>
          </w:p>
        </w:tc>
        <w:tc>
          <w:tcPr>
            <w:tcW w:w="635"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5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balance_sheets">
              <w:r>
                <w:rPr>
                  <w:rStyle w:val="InternetLink"/>
                  <w:rFonts w:ascii="Times New Roman" w:hAnsi="Times New Roman"/>
                  <w:color w:val="0000FF"/>
                  <w:sz w:val="20"/>
                  <w:u w:val="single"/>
                </w:rPr>
                <w:t>Consolidated Balance Sheets</w:t>
              </w:r>
            </w:hyperlink>
          </w:p>
        </w:tc>
        <w:tc>
          <w:tcPr>
            <w:tcW w:w="635"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58</w:t>
            </w:r>
          </w:p>
        </w:tc>
      </w:tr>
      <w:tr>
        <w:trPr/>
        <w:tc>
          <w:tcPr>
            <w:tcW w:w="95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635"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59</w:t>
            </w:r>
          </w:p>
        </w:tc>
      </w:tr>
      <w:tr>
        <w:trPr/>
        <w:tc>
          <w:tcPr>
            <w:tcW w:w="95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comprehensive_in">
              <w:r>
                <w:rPr>
                  <w:rStyle w:val="InternetLink"/>
                  <w:rFonts w:ascii="Times New Roman" w:hAnsi="Times New Roman"/>
                  <w:color w:val="0000FF"/>
                  <w:sz w:val="20"/>
                  <w:u w:val="single"/>
                </w:rPr>
                <w:t>Consolidated Statements of Comprehensive Income (Loss)</w:t>
              </w:r>
            </w:hyperlink>
          </w:p>
        </w:tc>
        <w:tc>
          <w:tcPr>
            <w:tcW w:w="635"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60</w:t>
            </w:r>
          </w:p>
        </w:tc>
      </w:tr>
      <w:tr>
        <w:trPr/>
        <w:tc>
          <w:tcPr>
            <w:tcW w:w="95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equity">
              <w:r>
                <w:rPr>
                  <w:rStyle w:val="InternetLink"/>
                  <w:rFonts w:ascii="Times New Roman" w:hAnsi="Times New Roman"/>
                  <w:color w:val="0000FF"/>
                  <w:sz w:val="20"/>
                  <w:u w:val="single"/>
                </w:rPr>
                <w:t>Consolidated Statements of Equity</w:t>
              </w:r>
            </w:hyperlink>
          </w:p>
        </w:tc>
        <w:tc>
          <w:tcPr>
            <w:tcW w:w="635"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61</w:t>
            </w:r>
          </w:p>
        </w:tc>
      </w:tr>
      <w:tr>
        <w:trPr/>
        <w:tc>
          <w:tcPr>
            <w:tcW w:w="95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635"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62</w:t>
            </w:r>
          </w:p>
        </w:tc>
      </w:tr>
      <w:tr>
        <w:trPr/>
        <w:tc>
          <w:tcPr>
            <w:tcW w:w="95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bookmarkStart w:id="30" w:name="report_of_independent_public_accounting"/>
      <w:bookmarkEnd w:id="30"/>
      <w:r>
        <w:rPr>
          <w:rFonts w:ascii="Times New Roman" w:hAnsi="Times New Roman"/>
          <w:b/>
          <w:color w:val="000000"/>
          <w:sz w:val="20"/>
        </w:rPr>
        <w:t>REPORT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shareholders and the Board of Directors of Great Lakes Dredge &amp; Dock Corporation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audited the accompanying consolidated balance sheets of Great Lakes Dredge &amp; Dock Corporation and subsidiaries (the "Company") as of December 31, 2025 and 2024, the related consolidated statements of operations, comprehensive income,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issued by the Committee of Sponsoring Organizations of the Treadway Commission and our report dated December 31, 2025, expressed an unqualified opinion on the Company's internal control over financial reporting.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Revenue Recognition – Estimated Costs at Completion— Refer to Notes 1 and 10 to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Critical Audit Matter Description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During 2025, the Company’s contract revenues were $888.3 million, all of which represented revenue recognized over time as work progressed on individual contracts. The Company recognizes revenue on its contracts utilizing the cost-to-cost method for determining progress toward completion of each contract. Revenue is recognized using contract fulfillment costs incurred to date compared to total estimated fulfillment costs at completion. Daily costs and project duration are significant factors in the estimates of fulfillment costs at completion to complete the project.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identified estimated contract fulfillment costs at completion used in revenue recognition as a critical audit matter because of the judgments inherent in management’s estimates related to contracts that were in progress at December 31, 2025. This required extensive audit effort and a high degree of auditor judgment when performing audit procedures on the total estimated contract fulfillment costs which underlie management’s determination of revenue on contracts in progress.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How the Critical Audit Matter Was Addressed in the Audit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procedures related to management's total estimated contract fulfillment costs at completion for contracts in progress included the following,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tested the effectiveness of internal controls over revenue recognition, including management's internal controls over estimated revenue and estimated contract fulfillment costs at completion.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selected a sample of contracts with customers, and we performed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Tested management's process of determining the estimated contract revenue and estimated contract fulfillment costs at completion and evaluated management's ability to achieve the total estimated contract fulfillment costs by obtaining relevant support and inquiring with the Company's project managers and engineers, comparing the estimates to management's work plans, and comparing expected profit margins to those achieved on similar contracts to evaluate whether the estimates were within an acceptable range, a range developed for further investigation considering the historical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selection of contracts, we performed in-person site visits and held meetings with the project site managers and others who are part of the Company's operations responsible for execution of the projects and outside of the accounting and finance function, to evaluate the contract status against assumptions used by management to develop its estimated revenue and fulfillment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management’s ability to accurately estimates contract fulfillment costs at completion by performing a hindsight analysis using historical projects and comparing the margin at contract inception compared to margin at completion.</w:t>
      </w:r>
    </w:p>
    <w:p>
      <w:pPr>
        <w:pStyle w:val="TextBody"/>
        <w:bidi w:val="0"/>
        <w:jc w:val="left"/>
        <w:rPr>
          <w:rFonts w:ascii="Times New Roman" w:hAnsi="Times New Roman"/>
          <w:color w:val="000000"/>
          <w:sz w:val="20"/>
        </w:rPr>
      </w:pPr>
      <w:r>
        <w:rPr>
          <w:rFonts w:ascii="Times New Roman" w:hAnsi="Times New Roman"/>
          <w:color w:val="000000"/>
          <w:sz w:val="20"/>
        </w:rPr>
        <w:t>Houston Texas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February 23,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served as the Company's auditor since 1991.</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1" w:name="consolidated_balance_sheets"/>
      <w:bookmarkEnd w:id="31"/>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As of December 31, 2025 and 2024</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652"/>
        <w:gridCol w:w="146"/>
        <w:gridCol w:w="211"/>
        <w:gridCol w:w="931"/>
        <w:gridCol w:w="166"/>
        <w:gridCol w:w="146"/>
        <w:gridCol w:w="211"/>
        <w:gridCol w:w="931"/>
        <w:gridCol w:w="811"/>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revenues in excess of billings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703,252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1,255,103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 in excess of 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806,193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stock—$.0001 par value; 170,000 shares authorized, 68,087 and 67,280 shares issued at December 31, 2025 and December 31, 2024, respectively, and 66,775 and 67,280 shares outstanding at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1,312 and zero shares at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448,910</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1,255,103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2" w:name="consolidated_statements_operations"/>
      <w:bookmarkEnd w:id="32"/>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2024 and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7248" w:type="dxa"/>
        <w:jc w:val="left"/>
        <w:tblInd w:w="0" w:type="dxa"/>
        <w:tblLayout w:type="fixed"/>
        <w:tblCellMar>
          <w:top w:w="28" w:type="dxa"/>
          <w:left w:w="28" w:type="dxa"/>
          <w:bottom w:w="28" w:type="dxa"/>
          <w:right w:w="28" w:type="dxa"/>
        </w:tblCellMar>
      </w:tblPr>
      <w:tblGrid>
        <w:gridCol w:w="3091"/>
        <w:gridCol w:w="146"/>
        <w:gridCol w:w="211"/>
        <w:gridCol w:w="781"/>
        <w:gridCol w:w="166"/>
        <w:gridCol w:w="146"/>
        <w:gridCol w:w="211"/>
        <w:gridCol w:w="781"/>
        <w:gridCol w:w="166"/>
        <w:gridCol w:w="146"/>
        <w:gridCol w:w="211"/>
        <w:gridCol w:w="781"/>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3" w:name="consolidated_statements_comprehensive_in"/>
      <w:bookmarkEnd w:id="33"/>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2024 and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8393" w:type="dxa"/>
        <w:jc w:val="left"/>
        <w:tblInd w:w="0" w:type="dxa"/>
        <w:tblLayout w:type="fixed"/>
        <w:tblCellMar>
          <w:top w:w="28" w:type="dxa"/>
          <w:left w:w="28" w:type="dxa"/>
          <w:bottom w:w="28" w:type="dxa"/>
          <w:right w:w="28" w:type="dxa"/>
        </w:tblCellMar>
      </w:tblPr>
      <w:tblGrid>
        <w:gridCol w:w="4771"/>
        <w:gridCol w:w="146"/>
        <w:gridCol w:w="211"/>
        <w:gridCol w:w="676"/>
        <w:gridCol w:w="166"/>
        <w:gridCol w:w="146"/>
        <w:gridCol w:w="211"/>
        <w:gridCol w:w="676"/>
        <w:gridCol w:w="146"/>
        <w:gridCol w:w="146"/>
        <w:gridCol w:w="211"/>
        <w:gridCol w:w="676"/>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hedges—net of tax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Net of income tax benefit of $112</w:t>
      </w:r>
      <w:r>
        <w:rPr>
          <w:color w:val="000000"/>
        </w:rPr>
        <w:t xml:space="preserve"> </w:t>
      </w:r>
      <w:r>
        <w:rPr>
          <w:rFonts w:ascii="Times New Roman" w:hAnsi="Times New Roman"/>
          <w:color w:val="000000"/>
          <w:sz w:val="20"/>
        </w:rPr>
        <w:t>for the year ended December 31, 2025, net of income tax provision of $(355)</w:t>
      </w:r>
      <w:r>
        <w:rPr>
          <w:color w:val="000000"/>
        </w:rPr>
        <w:t xml:space="preserve"> </w:t>
      </w:r>
      <w:r>
        <w:rPr>
          <w:rFonts w:ascii="Times New Roman" w:hAnsi="Times New Roman"/>
          <w:color w:val="000000"/>
          <w:sz w:val="20"/>
        </w:rPr>
        <w:t>for the year ended December 31, 2024</w:t>
      </w:r>
      <w:r>
        <w:rPr>
          <w:color w:val="000000"/>
        </w:rPr>
        <w:t xml:space="preserve"> </w:t>
      </w:r>
      <w:r>
        <w:rPr>
          <w:rFonts w:ascii="Times New Roman" w:hAnsi="Times New Roman"/>
          <w:color w:val="000000"/>
          <w:sz w:val="20"/>
        </w:rPr>
        <w:t>and net of income tax benefit of $616</w:t>
      </w:r>
      <w:r>
        <w:rPr>
          <w:color w:val="000000"/>
        </w:rPr>
        <w:t xml:space="preserve"> </w:t>
      </w:r>
      <w:r>
        <w:rPr>
          <w:rFonts w:ascii="Times New Roman" w:hAnsi="Times New Roman"/>
          <w:color w:val="000000"/>
          <w:sz w:val="20"/>
        </w:rPr>
        <w:t>for the year ended December 31, 2023.</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4" w:name="consolidated_statements_equity"/>
      <w:bookmarkEnd w:id="34"/>
      <w:r>
        <w:rPr>
          <w:rFonts w:ascii="Times New Roman" w:hAnsi="Times New Roman"/>
          <w:b/>
          <w:color w:val="000000"/>
          <w:sz w:val="20"/>
        </w:rPr>
        <w:t>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2024 and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p>
      <w:pPr>
        <w:pStyle w:val="TextBody"/>
        <w:bidi w:val="0"/>
        <w:spacing w:before="240" w:after="283"/>
        <w:jc w:val="center"/>
        <w:rPr/>
      </w:pPr>
      <w:r>
        <w:rPr/>
        <w:t> </w:t>
      </w:r>
    </w:p>
    <w:tbl>
      <w:tblPr>
        <w:tblW w:w="10667" w:type="dxa"/>
        <w:jc w:val="left"/>
        <w:tblInd w:w="0" w:type="dxa"/>
        <w:tblLayout w:type="fixed"/>
        <w:tblCellMar>
          <w:top w:w="28" w:type="dxa"/>
          <w:left w:w="28" w:type="dxa"/>
          <w:bottom w:w="28" w:type="dxa"/>
          <w:right w:w="28" w:type="dxa"/>
        </w:tblCellMar>
      </w:tblPr>
      <w:tblGrid>
        <w:gridCol w:w="1451"/>
        <w:gridCol w:w="246"/>
        <w:gridCol w:w="146"/>
        <w:gridCol w:w="676"/>
        <w:gridCol w:w="166"/>
        <w:gridCol w:w="146"/>
        <w:gridCol w:w="290"/>
        <w:gridCol w:w="476"/>
        <w:gridCol w:w="146"/>
        <w:gridCol w:w="146"/>
        <w:gridCol w:w="211"/>
        <w:gridCol w:w="736"/>
        <w:gridCol w:w="166"/>
        <w:gridCol w:w="146"/>
        <w:gridCol w:w="211"/>
        <w:gridCol w:w="781"/>
        <w:gridCol w:w="166"/>
        <w:gridCol w:w="146"/>
        <w:gridCol w:w="211"/>
        <w:gridCol w:w="781"/>
        <w:gridCol w:w="146"/>
        <w:gridCol w:w="146"/>
        <w:gridCol w:w="304"/>
        <w:gridCol w:w="912"/>
        <w:gridCol w:w="166"/>
        <w:gridCol w:w="146"/>
        <w:gridCol w:w="211"/>
        <w:gridCol w:w="781"/>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Shares</w:t>
            </w:r>
            <w:r>
              <w:rPr>
                <w:rFonts w:ascii="Times New Roman" w:hAnsi="Times New Roman"/>
                <w:color w:val="000000"/>
                <w:sz w:val="16"/>
              </w:rPr>
              <w:t xml:space="preserve"> </w:t>
            </w:r>
            <w:r>
              <w:rPr>
                <w:rFonts w:ascii="Times New Roman" w:hAnsi="Times New Roman"/>
                <w:b/>
                <w:color w:val="000000"/>
                <w:sz w:val="16"/>
              </w:rPr>
              <w:t>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BALANCE—January 1, 2023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and impact of shares withheld for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income—net of tax</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and impact of shares withheld for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income—net of tax</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and impact of shares withheld for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 of common stock</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loss—net of tax</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2025</w:t>
            </w:r>
          </w:p>
        </w:tc>
        <w:tc>
          <w:tcPr>
            <w:tcW w:w="2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66,775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329,071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200,954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517,142</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jc w:val="center"/>
        <w:rPr>
          <w:rFonts w:ascii="Times New Roman" w:hAnsi="Times New Roman"/>
          <w:b/>
          <w:color w:val="000000"/>
          <w:sz w:val="20"/>
        </w:rPr>
      </w:pPr>
      <w:bookmarkStart w:id="35" w:name="consolidated_statements_cash_flows"/>
      <w:bookmarkEnd w:id="35"/>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2024 and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668"/>
        <w:gridCol w:w="146"/>
        <w:gridCol w:w="211"/>
        <w:gridCol w:w="841"/>
        <w:gridCol w:w="166"/>
        <w:gridCol w:w="146"/>
        <w:gridCol w:w="211"/>
        <w:gridCol w:w="841"/>
        <w:gridCol w:w="166"/>
        <w:gridCol w:w="146"/>
        <w:gridCol w:w="211"/>
        <w:gridCol w:w="841"/>
        <w:gridCol w:w="611"/>
      </w:tblGrid>
      <w:tr>
        <w:trPr/>
        <w:tc>
          <w:tcPr>
            <w:tcW w:w="5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flows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revenues in excess of billings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Billings in excess of 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dispositions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for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on settlement of vested share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and purchases from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Second Lien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Second Lien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revolving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purchased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6" w:name="notes_to_consolidated_financial_statemen"/>
      <w:bookmarkEnd w:id="36"/>
      <w:r>
        <w:rPr>
          <w:rFonts w:ascii="Times New Roman" w:hAnsi="Times New Roman"/>
          <w:b/>
          <w:color w:val="000000"/>
          <w:sz w:val="20"/>
        </w:rPr>
        <w:t>NOTES TO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OF December 31, 2025 AND 2024 AND FOR THE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YEARS ENDED December 31, 2025, 2024 AND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per share amounts or as otherwise noted)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NATURE OF BUSINESS AND 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Organization</w:t>
      </w:r>
      <w:r>
        <w:rPr>
          <w:rFonts w:ascii="Times New Roman" w:hAnsi="Times New Roman"/>
          <w:color w:val="000000"/>
          <w:sz w:val="20"/>
        </w:rPr>
        <w:t>—Great Lakes Dredge &amp; Dock Corporation and its subsidiaries (the “Company” or “Great Lakes”) are in the business of marine construction, primarily dredging. The Company is the largest provider of dredging services in the United States which is complemented with a long history of performing significant international projects. In addition, the Company is fully engaged in expanding its core business into the offshore energy industry. The mobility of the Company’s fleet enables the Company to move equipment in response to changes in demand for dredging services.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Agreement and Plan of Merger with Saltchuk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2026, the Company entered into an Agreement and Plan of Merger (the “Merger Agreement”) with Saltchuk Resources, Inc. (“Saltchuk”) and Huron MergeCo., Inc. (“Merger Sub”). Pursuant to the Merger Agreement, on the terms and subject to the conditions set forth therein, Merger Sub will commence a tender offer to purchase any and all of the outstanding shares of the Company’s common stock at $17.00 per share (the “Offer”) and, following the consummation of the Offer, Merger Sub will be merged with and into the Company, with the Company continuing as the surviving corporation and a wholly owned subsidiary of Saltchuk (collectively with the Offer, the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expected to close in teh second quarter of 2026, subject to customary closing conditions, including the tender of one share more than a majority of the outstanding shares of the Company’s common stock and receipt of required antitrust clearance. Upon closing of the Transaction, the Company’s common stock will be delisted from the Nasdaq Stock Market and deregistered under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Merger Agreement also contains certain termination rights for the Company and Saltchuk and further provides that, upon termination of the Merger Agreement under specified circumstances, including certain terminations in connection with an alternative acquisition proposal as permitted by the terms of the Merger Agreement, the Company will be required to pay Saltchuk a termination fee of approximately $37 million. </w:t>
      </w:r>
    </w:p>
    <w:p>
      <w:pPr>
        <w:pStyle w:val="TextBody"/>
        <w:bidi w:val="0"/>
        <w:spacing w:before="240" w:after="283"/>
        <w:jc w:val="left"/>
        <w:rPr>
          <w:rFonts w:ascii="Times New Roman" w:hAnsi="Times New Roman"/>
          <w:sz w:val="20"/>
        </w:rPr>
      </w:pPr>
      <w:r>
        <w:rPr>
          <w:rFonts w:ascii="Times New Roman" w:hAnsi="Times New Roman"/>
          <w:b/>
          <w:color w:val="000000"/>
          <w:sz w:val="20"/>
        </w:rPr>
        <w:t>Principles of Consolidation and Basis of Presentation</w:t>
      </w:r>
      <w:r>
        <w:rPr>
          <w:rFonts w:ascii="Times New Roman" w:hAnsi="Times New Roman"/>
          <w:color w:val="000000"/>
          <w:sz w:val="20"/>
        </w:rPr>
        <w:t>—The consolidated financial statements include the accounts of Great Lakes Dredge &amp; Dock 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pStyle w:val="TextBody"/>
        <w:bidi w:val="0"/>
        <w:spacing w:before="24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accounting principles generally accepted in the United States of America (“GAAP”) requires management to make estimates and assumptions that affect certain reported amounts and disclosures. Accordingly,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color w:val="000000"/>
          <w:sz w:val="20"/>
        </w:rPr>
        <w:t>Revenue and Cost Recognition on Contracts</w:t>
      </w:r>
      <w:r>
        <w:rPr>
          <w:rFonts w:ascii="Times New Roman" w:hAnsi="Times New Roman"/>
          <w:color w:val="000000"/>
          <w:sz w:val="20"/>
        </w:rPr>
        <w:t>—Revenue is recognized using contract fulfillment costs incurred to date compared to total estimated costs at completion, also known as cost-to-cost, to measure progress towards completion. Additionally, the Company capitalizes certain pre-contract and pre-construction costs, and defers recognition over the life of the contract. The Company’s performance obligations are satisfied over time and revenue is recognized using the cost-to-cost method, described above.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routine in the performance of the Company’s contracts. In most instances, contract modifications are for services that are not distinct, and, therefore, are accounted for as part of the existing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its relationships with its unionized hourly workforce.</w:t>
      </w:r>
    </w:p>
    <w:p>
      <w:pPr>
        <w:pStyle w:val="TextBody"/>
        <w:bidi w:val="0"/>
        <w:spacing w:before="240" w:after="283"/>
        <w:jc w:val="left"/>
        <w:rPr>
          <w:rFonts w:ascii="Times New Roman" w:hAnsi="Times New Roman"/>
          <w:sz w:val="20"/>
        </w:rPr>
      </w:pPr>
      <w:r>
        <w:rPr>
          <w:rFonts w:ascii="Times New Roman" w:hAnsi="Times New Roman"/>
          <w:b/>
          <w:color w:val="000000"/>
          <w:sz w:val="20"/>
        </w:rPr>
        <w:t>Classification of Current Assets and Liabilities</w:t>
      </w:r>
      <w:r>
        <w:rPr>
          <w:rFonts w:ascii="Times New Roman" w:hAnsi="Times New Roman"/>
          <w:color w:val="000000"/>
          <w:sz w:val="20"/>
        </w:rPr>
        <w:t>—The Company includes in current assets and liabilities amounts realizable and payable in the normal course of contract completion, unless completion of such contracts extends significantly beyond one year.</w:t>
      </w:r>
    </w:p>
    <w:p>
      <w:pPr>
        <w:pStyle w:val="TextBody"/>
        <w:bidi w:val="0"/>
        <w:spacing w:before="24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color w:val="000000"/>
          <w:sz w:val="20"/>
        </w:rPr>
        <w:t>—The Company considers all highly liquid investments with a maturity at purchase of three months or less to be cash equivalents.</w:t>
      </w:r>
    </w:p>
    <w:p>
      <w:pPr>
        <w:pStyle w:val="TextBody"/>
        <w:bidi w:val="0"/>
        <w:spacing w:before="240" w:after="283"/>
        <w:jc w:val="left"/>
        <w:rPr>
          <w:rFonts w:ascii="Times New Roman" w:hAnsi="Times New Roman"/>
          <w:sz w:val="20"/>
        </w:rPr>
      </w:pPr>
      <w:r>
        <w:rPr>
          <w:rFonts w:ascii="Times New Roman" w:hAnsi="Times New Roman"/>
          <w:b/>
          <w:color w:val="000000"/>
          <w:sz w:val="20"/>
        </w:rPr>
        <w:t>Accounts Receivable</w:t>
      </w:r>
      <w:r>
        <w:rPr>
          <w:rFonts w:ascii="Times New Roman" w:hAnsi="Times New Roman"/>
          <w:color w:val="000000"/>
          <w:sz w:val="20"/>
        </w:rPr>
        <w:t>—Accounts receivable represent amounts due or billable under the terms of contracts with customers, including amounts related to retainage. The Company anticipates collection of retainage generally within one year, and accordingly presents retainage as a current asset. The Company provides an allowance for estimated uncollectible accounts receivable based on historical and expected losses and when events or conditions indicate that amounts outstanding are not recoverable.</w:t>
      </w:r>
    </w:p>
    <w:p>
      <w:pPr>
        <w:pStyle w:val="TextBody"/>
        <w:bidi w:val="0"/>
        <w:spacing w:before="240" w:after="283"/>
        <w:jc w:val="left"/>
        <w:rPr>
          <w:rFonts w:ascii="Times New Roman" w:hAnsi="Times New Roman"/>
          <w:sz w:val="20"/>
        </w:rPr>
      </w:pPr>
      <w:r>
        <w:rPr>
          <w:rFonts w:ascii="Times New Roman" w:hAnsi="Times New Roman"/>
          <w:b/>
          <w:color w:val="000000"/>
          <w:sz w:val="20"/>
        </w:rPr>
        <w:t>Inventories</w:t>
      </w:r>
      <w:r>
        <w:rPr>
          <w:rFonts w:ascii="Times New Roman" w:hAnsi="Times New Roman"/>
          <w:color w:val="000000"/>
          <w:sz w:val="20"/>
        </w:rPr>
        <w:t>—Inventories consist of pipe and spare parts used in the Company’s dredging operations. Pipe and spare parts are purchased in large quantities; therefore, a certain amount of pipe and spare part inventories is not anticipated to be used within the current year and is classified as long-term. Spare part inventories are stated at weighted average historical cost, and are charged to expense when used in operations. Pipe inventory is recorded at cost and amortized to expense over the period of its use.</w:t>
      </w:r>
    </w:p>
    <w:p>
      <w:pPr>
        <w:pStyle w:val="TextBody"/>
        <w:bidi w:val="0"/>
        <w:spacing w:before="240" w:after="283"/>
        <w:jc w:val="left"/>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—Capital additions, improvements, and major renewals are classified as property and equipment and are carried at 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tbl>
      <w:tblPr>
        <w:tblW w:w="7123" w:type="dxa"/>
        <w:jc w:val="left"/>
        <w:tblInd w:w="0" w:type="dxa"/>
        <w:tblLayout w:type="fixed"/>
        <w:tblCellMar>
          <w:top w:w="28" w:type="dxa"/>
          <w:left w:w="28" w:type="dxa"/>
          <w:bottom w:w="28" w:type="dxa"/>
          <w:right w:w="28" w:type="dxa"/>
        </w:tblCellMar>
      </w:tblPr>
      <w:tblGrid>
        <w:gridCol w:w="5491"/>
        <w:gridCol w:w="146"/>
        <w:gridCol w:w="1486"/>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Class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 (years)</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dozers, and other light operating equipment and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Heavy operating equipment (dredges and barges)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Leasehold improvements are amortized over the shorter of their remaining useful lives or the remaining terms of the leases.</w:t>
      </w:r>
    </w:p>
    <w:p>
      <w:pPr>
        <w:pStyle w:val="TextBody"/>
        <w:bidi w:val="0"/>
        <w:spacing w:before="240" w:after="283"/>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—Goodwill represents the excess of acquisition cost over fair value of the net assets acquired.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operating segment which is also the Company’s one reportable segment and reporting unit of which the Company tests goodwill for impairment. In 2025, the Company performed a qualitative goodwill impairment test. The Company performed its annual test of impairment as of August 1, 2025 with no indication of impairment as of the test date. The 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test of goodwill in the third quarter of 2026 should no triggering events occur which would require a test prior to the next annual test.</w:t>
      </w:r>
    </w:p>
    <w:p>
      <w:pPr>
        <w:pStyle w:val="TextBody"/>
        <w:bidi w:val="0"/>
        <w:spacing w:before="240" w:after="283"/>
        <w:jc w:val="left"/>
        <w:rPr>
          <w:rFonts w:ascii="Times New Roman" w:hAnsi="Times New Roman"/>
          <w:sz w:val="20"/>
        </w:rPr>
      </w:pPr>
      <w:r>
        <w:rPr>
          <w:rFonts w:ascii="Times New Roman" w:hAnsi="Times New Roman"/>
          <w:b/>
          <w:color w:val="000000"/>
          <w:sz w:val="20"/>
        </w:rPr>
        <w:t>Long-Lived Assets</w:t>
      </w:r>
      <w:r>
        <w:rPr>
          <w:rFonts w:ascii="Times New Roman" w:hAnsi="Times New Roman"/>
          <w:color w:val="000000"/>
          <w:sz w:val="20"/>
        </w:rPr>
        <w:t>—Long-lived assets are comprised of property and equipment subject to depreciation. Long-lived assets to be held and used are reviewed for possible impairment whenever events indicate that the carrying amount of such assets may not be recoverable. Recoverability of long-lived assets is measured by comparing the projected undiscounted cash flows associated with the assets to their carrying amounts. If an asset is considered impaired, the carrying amount would be reduced to its fair value. No triggering events were identified in 2025 or 2024. If long-lived assets are to be disposed, depreciation is discontinued, if applicable, and the assets are reclassified as held for sale at the lower of their carrying amounts or fair values less estimated costs to sell.</w:t>
      </w:r>
    </w:p>
    <w:p>
      <w:pPr>
        <w:pStyle w:val="TextBody"/>
        <w:bidi w:val="0"/>
        <w:spacing w:before="240" w:after="283"/>
        <w:jc w:val="left"/>
        <w:rPr>
          <w:rFonts w:ascii="Times New Roman" w:hAnsi="Times New Roman"/>
          <w:sz w:val="20"/>
        </w:rPr>
      </w:pPr>
      <w:r>
        <w:rPr>
          <w:rFonts w:ascii="Times New Roman" w:hAnsi="Times New Roman"/>
          <w:b/>
          <w:color w:val="000000"/>
          <w:sz w:val="20"/>
        </w:rPr>
        <w:t>Other Gains and Losses</w:t>
      </w:r>
      <w:r>
        <w:rPr>
          <w:rFonts w:ascii="Times New Roman" w:hAnsi="Times New Roman"/>
          <w:color w:val="000000"/>
          <w:sz w:val="20"/>
        </w:rPr>
        <w:t xml:space="preserve">—Other gains and losses include gains and losses on property and equipment that has been retired or otherwise disposed of and the transfer of control is complete. This also includes any impairment expense related to assets that have been designated as held for sale whose carrying amounts exceed their fair values. In 2025, the Company recognized $2.3 million in gains primarily on disposals of assets. In 2024, the Company recognized $2.9 million in gains primarily on disposals of assets and $0.1 million in adjustments to the gain associated with the early termination of an offshore energy contract in 2023. In 2023, the Company recognized $0.1 million in gains on disposals of assets. Additionally, the Company recognized a $7.4 million gain associated with the early termination of an offshore energy contract. </w:t>
      </w:r>
    </w:p>
    <w:p>
      <w:pPr>
        <w:pStyle w:val="TextBody"/>
        <w:bidi w:val="0"/>
        <w:spacing w:before="240" w:after="283"/>
        <w:jc w:val="left"/>
        <w:rPr>
          <w:rFonts w:ascii="Times New Roman" w:hAnsi="Times New Roman"/>
          <w:sz w:val="20"/>
        </w:rPr>
      </w:pPr>
      <w:r>
        <w:rPr>
          <w:rFonts w:ascii="Times New Roman" w:hAnsi="Times New Roman"/>
          <w:b/>
          <w:color w:val="000000"/>
          <w:sz w:val="20"/>
        </w:rPr>
        <w:t>Self-insurance Reserves</w:t>
      </w:r>
      <w:r>
        <w:rPr>
          <w:rFonts w:ascii="Times New Roman" w:hAnsi="Times New Roman"/>
          <w:color w:val="000000"/>
          <w:sz w:val="20"/>
        </w:rPr>
        <w:t>—The Company self-insures costs associated with its seagoing employees covered by the provisions of Jones Act, workers’ 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—The provision for income taxes includes federal, foreign, and state income taxes currently payable and those deferred because of 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Refer to Note 8, Income Taxes.</w:t>
      </w:r>
    </w:p>
    <w:p>
      <w:pPr>
        <w:pStyle w:val="TextBody"/>
        <w:bidi w:val="0"/>
        <w:spacing w:before="240" w:after="283"/>
        <w:jc w:val="left"/>
        <w:rPr>
          <w:rFonts w:ascii="Times New Roman" w:hAnsi="Times New Roman"/>
          <w:sz w:val="20"/>
        </w:rPr>
      </w:pPr>
      <w:r>
        <w:rPr>
          <w:rFonts w:ascii="Times New Roman" w:hAnsi="Times New Roman"/>
          <w:b/>
          <w:color w:val="000000"/>
          <w:sz w:val="20"/>
        </w:rPr>
        <w:t>Hedging Instruments</w:t>
      </w:r>
      <w:r>
        <w:rPr>
          <w:rFonts w:ascii="Times New Roman" w:hAnsi="Times New Roman"/>
          <w:color w:val="000000"/>
          <w:sz w:val="20"/>
        </w:rPr>
        <w:t>—At times, the Company designates certain derivative contracts as a cash flow hedge as defined by GAAP. Accordingly, the Company formally documents, at the inception of each hedge, all relationships between hedging instruments and hedged items, as well as its risk-management objective and strategy for undertaking hedge transactions. This process includes linking all derivatives to highly-probable forecasted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—In December 2023, the Financial Accounting Standards Board (the “FASB”) issued Accounting Standards Update (“ASU”) 2023-09, “Income Taxes (Topic 740)” (“ASU 2023-09”).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We adopted ASU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2023-09 in the fourth quarter of 2025 and applied it prospectively, as disclosed in Note 8, Income Taxes. The adoption did not have an impact on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The ASU issued updated guidance on accounting for internal-use software, effective for annual reporting periods beginning after December 15, 2027, with early adoption permitted. The amendments modernize guidance to consider different methods of software development, updating the requirements for capitalization of software costs. The adoption of this ASU is not expected to have a material impact on the Company’s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FASB issued ASU 2025-05, Financial Instruments - Credit Losses (Topic 326): Measurement of Credit Losses for Accounts Receivable and Contract Assets, which amends Topic 326 to provide for a practical expedient for all entities and an accounting policy election for entities other than public business entities related to the estimation of expected credit losses for current accounts receivable and current contract assets that arise from transactions accounted for under FASB ASU 2016-10, Revenue from Contracts with Customers (Topic 606). All entities may elect a practical expedient that assumes that current conditions as of the balance sheet date do not change for the remaining life of the asset. The amendments will be effective for annual reporting periods beginning after December 15, 2025, and interim reporting periods within those annual reporting periods. Early adoption is permitted. Entities should apply the new guidance prospectively. We are currently evaluating the potential impact of electing the practical expedient and do not expect it to have a material impact on our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The ASU primarily requires companies to disclose additional information about specific expense categories in the notes to financial statements at interim and annual reporting periods. The guidance will be applied on a prospective basis with the option to apply the standard retrospectively. The new guidance will be effective for the Company’s year ending December 31, 2027 and interim periods during the year ended December 31, 2028. Management is currently evaluating the impact of this guidance.</w:t>
      </w:r>
    </w:p>
    <w:p>
      <w:pPr>
        <w:pStyle w:val="TextBody"/>
        <w:bidi w:val="0"/>
        <w:spacing w:before="240" w:after="283"/>
        <w:jc w:val="left"/>
        <w:rPr>
          <w:rFonts w:ascii="Times New Roman" w:hAnsi="Times New Roman"/>
          <w:sz w:val="20"/>
        </w:rPr>
      </w:pPr>
      <w:r>
        <w:rPr>
          <w:rFonts w:ascii="Times New Roman" w:hAnsi="Times New Roman"/>
          <w:b/>
          <w:color w:val="000000"/>
          <w:sz w:val="20"/>
        </w:rPr>
        <w:t>Reclassifications</w:t>
      </w:r>
      <w:r>
        <w:rPr>
          <w:rFonts w:ascii="Times New Roman" w:hAnsi="Times New Roman"/>
          <w:color w:val="000000"/>
          <w:sz w:val="20"/>
        </w:rPr>
        <w:t>—Certain reclassifications have been made to prior period consolidated statements of cash flows to conform to current period presentation. These reclassifications have no effect on net cash flows.</w:t>
        <w:b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computations for basic and diluted earnings (loss) per share for the years ended December 31, 2025, 2024 and 2023 are as follows:</w:t>
      </w:r>
    </w:p>
    <w:tbl>
      <w:tblPr>
        <w:tblW w:w="8368" w:type="dxa"/>
        <w:jc w:val="left"/>
        <w:tblInd w:w="0" w:type="dxa"/>
        <w:tblLayout w:type="fixed"/>
        <w:tblCellMar>
          <w:top w:w="28" w:type="dxa"/>
          <w:left w:w="28" w:type="dxa"/>
          <w:bottom w:w="28" w:type="dxa"/>
          <w:right w:w="28" w:type="dxa"/>
        </w:tblCellMar>
      </w:tblPr>
      <w:tblGrid>
        <w:gridCol w:w="4786"/>
        <w:gridCol w:w="146"/>
        <w:gridCol w:w="211"/>
        <w:gridCol w:w="676"/>
        <w:gridCol w:w="146"/>
        <w:gridCol w:w="146"/>
        <w:gridCol w:w="211"/>
        <w:gridCol w:w="676"/>
        <w:gridCol w:w="146"/>
        <w:gridCol w:w="146"/>
        <w:gridCol w:w="211"/>
        <w:gridCol w:w="676"/>
        <w:gridCol w:w="1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years ended December 31, 2025, 2024 and 2023, 16 thousand, 57 thousand and 430 thousand, respectively, NQSOs and RSUs were excluded from the calculation of diluted earnings per share based on the application of the treasury stock method, as such NQSOs and RSUs were determined to be anti-dilutive.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at December 31, 2025 and 2024 are as follows:</w:t>
      </w:r>
    </w:p>
    <w:tbl>
      <w:tblPr>
        <w:tblW w:w="5684" w:type="dxa"/>
        <w:jc w:val="left"/>
        <w:tblInd w:w="0" w:type="dxa"/>
        <w:tblLayout w:type="fixed"/>
        <w:tblCellMar>
          <w:top w:w="28" w:type="dxa"/>
          <w:left w:w="28" w:type="dxa"/>
          <w:bottom w:w="28" w:type="dxa"/>
          <w:right w:w="28" w:type="dxa"/>
        </w:tblCellMar>
      </w:tblPr>
      <w:tblGrid>
        <w:gridCol w:w="2651"/>
        <w:gridCol w:w="146"/>
        <w:gridCol w:w="211"/>
        <w:gridCol w:w="931"/>
        <w:gridCol w:w="166"/>
        <w:gridCol w:w="146"/>
        <w:gridCol w:w="211"/>
        <w:gridCol w:w="931"/>
        <w:gridCol w:w="291"/>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922,402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Operating equipment of $100 was classified as held for sale, excluded from property and equipment, as of December 31, 2025. Other gains in the consolidated statement of operations for the year ended December 31, 2025 include $2.3 million of gains related to the retirement of assets which were classified as held for sale as of December 31, 2024. The Company had no assets classified as held for sale as of December 31, 2024.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$43.4 million, $42.7 million and $42.5 million, for the years ended December 31, 2025, 2024 and 2023, respectively.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certain operating equipment and office facilities under long-term operating leases expiring at various dates through 2030. Leases with an initial term greater than twelve months are recorded on the Company’s balance sheet as an operating or finance lease asset and operating or finance lease liability. Operating leases are included in operating lease assets, operating lease liabilities, and operating lease liabilities noncurrent in the Company's consolidated balance sheets. Finance leases are included in other assets, lease liabilities, and other in the Company's consolidated balance sheets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equipment leases contain renewal or purchase options that specify prices at the then fair value upon the expiration of the lease terms. The leases also contain default provisions that are triggered by an acceleration of debt maturity under the terms of the Company’s ABL Credit Agreement, or, in certain instances, cross default to other equipment leases and certain lease arrangements require that the Company maintain certain financial ratios comparable to those required by its ABL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1, 2023, the Company entered into a purchase agreement to sell certain vessels (the “Property”) for gross cash proceeds of $29.5 million. Concurrent with the sale of these certain vessels, the Company entered into a seven-year lease at an annual rental rate of approximately $4.2 million. The Company determined that the transactions represented a sale and leaseback and, accordingly, established new operating lease right of use assets and operating lease liabilities. The lease did not include an implicit rate of return; therefore, the Company used an incremental borrowing rate. Under the leaseback agreement, the Company has the option to i) purchase the Property after six years with an early buyout option; ii) purchase the Property at the end of the lease at the then fair value; iii) renew the lease at the then fair market value or iv) return the Property to the purchaser.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lease costs are recorded in costs of contract revenues and general and administrative expenses. For the years ended December 31, 2025, 2024 and 2023, respectively, lease costs are as follows: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Lease terms and commitments</w:t>
      </w:r>
    </w:p>
    <w:tbl>
      <w:tblPr>
        <w:tblW w:w="6757" w:type="dxa"/>
        <w:jc w:val="left"/>
        <w:tblInd w:w="0" w:type="dxa"/>
        <w:tblLayout w:type="fixed"/>
        <w:tblCellMar>
          <w:top w:w="28" w:type="dxa"/>
          <w:left w:w="28" w:type="dxa"/>
          <w:bottom w:w="28" w:type="dxa"/>
          <w:right w:w="28" w:type="dxa"/>
        </w:tblCellMar>
      </w:tblPr>
      <w:tblGrid>
        <w:gridCol w:w="3116"/>
        <w:gridCol w:w="211"/>
        <w:gridCol w:w="781"/>
        <w:gridCol w:w="146"/>
        <w:gridCol w:w="146"/>
        <w:gridCol w:w="211"/>
        <w:gridCol w:w="676"/>
        <w:gridCol w:w="146"/>
        <w:gridCol w:w="146"/>
        <w:gridCol w:w="211"/>
        <w:gridCol w:w="676"/>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finance lease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on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recorded on the balance sheet, the Company’s maturity analysis of its operating lease liabilities as of December 31, 2025 is as follows:</w:t>
      </w:r>
    </w:p>
    <w:p>
      <w:pPr>
        <w:pStyle w:val="TextBody"/>
        <w:bidi w:val="0"/>
        <w:spacing w:before="40" w:after="283"/>
        <w:jc w:val="left"/>
        <w:rPr/>
      </w:pPr>
      <w:r>
        <w:rPr/>
        <w:t> </w:t>
      </w:r>
    </w:p>
    <w:tbl>
      <w:tblPr>
        <w:tblW w:w="6023" w:type="dxa"/>
        <w:jc w:val="left"/>
        <w:tblInd w:w="0" w:type="dxa"/>
        <w:tblLayout w:type="fixed"/>
        <w:tblCellMar>
          <w:top w:w="28" w:type="dxa"/>
          <w:left w:w="28" w:type="dxa"/>
          <w:bottom w:w="28" w:type="dxa"/>
          <w:right w:w="28" w:type="dxa"/>
        </w:tblCellMar>
      </w:tblPr>
      <w:tblGrid>
        <w:gridCol w:w="3511"/>
        <w:gridCol w:w="211"/>
        <w:gridCol w:w="736"/>
        <w:gridCol w:w="246"/>
        <w:gridCol w:w="246"/>
        <w:gridCol w:w="211"/>
        <w:gridCol w:w="571"/>
        <w:gridCol w:w="291"/>
      </w:tblGrid>
      <w:tr>
        <w:trPr/>
        <w:tc>
          <w:tcPr>
            <w:tcW w:w="3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Minimum lease payments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minimum lease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most of the Company’s leases do not provide an implicit rate, the Company used its incremental borrowing rate based on the information available at commencement date in determining the present value of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information related to the Company’s leases as of December 31, 2025, 2024 and 2023 respectively, is as follows:</w:t>
      </w:r>
    </w:p>
    <w:p>
      <w:pPr>
        <w:pStyle w:val="TextBody"/>
        <w:bidi w:val="0"/>
        <w:jc w:val="left"/>
        <w:rPr/>
      </w:pPr>
      <w:r>
        <w:rPr/>
        <w:t> </w:t>
      </w:r>
    </w:p>
    <w:tbl>
      <w:tblPr>
        <w:tblW w:w="6672" w:type="dxa"/>
        <w:jc w:val="left"/>
        <w:tblInd w:w="0" w:type="dxa"/>
        <w:tblLayout w:type="fixed"/>
        <w:tblCellMar>
          <w:top w:w="28" w:type="dxa"/>
          <w:left w:w="28" w:type="dxa"/>
          <w:bottom w:w="28" w:type="dxa"/>
          <w:right w:w="28" w:type="dxa"/>
        </w:tblCellMar>
      </w:tblPr>
      <w:tblGrid>
        <w:gridCol w:w="4001"/>
        <w:gridCol w:w="146"/>
        <w:gridCol w:w="361"/>
        <w:gridCol w:w="271"/>
        <w:gridCol w:w="146"/>
        <w:gridCol w:w="146"/>
        <w:gridCol w:w="361"/>
        <w:gridCol w:w="271"/>
        <w:gridCol w:w="146"/>
        <w:gridCol w:w="146"/>
        <w:gridCol w:w="361"/>
        <w:gridCol w:w="316"/>
      </w:tblGrid>
      <w:tr>
        <w:trPr/>
        <w:tc>
          <w:tcPr>
            <w:tcW w:w="4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Finance</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balance sheet information related to finance leases as of December 31, 2025 and 2024 respectively, is as follows:</w:t>
      </w:r>
    </w:p>
    <w:p>
      <w:pPr>
        <w:pStyle w:val="TextBody"/>
        <w:bidi w:val="0"/>
        <w:spacing w:before="40" w:after="283"/>
        <w:jc w:val="left"/>
        <w:rPr/>
      </w:pPr>
      <w:r>
        <w:rPr/>
        <w:t> </w:t>
      </w:r>
    </w:p>
    <w:tbl>
      <w:tblPr>
        <w:tblW w:w="5083" w:type="dxa"/>
        <w:jc w:val="left"/>
        <w:tblInd w:w="0" w:type="dxa"/>
        <w:tblLayout w:type="fixed"/>
        <w:tblCellMar>
          <w:top w:w="28" w:type="dxa"/>
          <w:left w:w="28" w:type="dxa"/>
          <w:bottom w:w="28" w:type="dxa"/>
          <w:right w:w="28" w:type="dxa"/>
        </w:tblCellMar>
      </w:tblPr>
      <w:tblGrid>
        <w:gridCol w:w="2676"/>
        <w:gridCol w:w="211"/>
        <w:gridCol w:w="631"/>
        <w:gridCol w:w="166"/>
        <w:gridCol w:w="146"/>
        <w:gridCol w:w="211"/>
        <w:gridCol w:w="631"/>
        <w:gridCol w:w="411"/>
      </w:tblGrid>
      <w:tr>
        <w:trPr/>
        <w:tc>
          <w:tcPr>
            <w:tcW w:w="2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related to leases during the years ended December 31, 2025, 2024 and 2023 respectively, is as follows:</w:t>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5431"/>
        <w:gridCol w:w="211"/>
        <w:gridCol w:w="736"/>
        <w:gridCol w:w="166"/>
        <w:gridCol w:w="146"/>
        <w:gridCol w:w="211"/>
        <w:gridCol w:w="736"/>
        <w:gridCol w:w="166"/>
        <w:gridCol w:w="146"/>
        <w:gridCol w:w="211"/>
        <w:gridCol w:w="736"/>
        <w:gridCol w:w="211"/>
      </w:tblGrid>
      <w:tr>
        <w:trPr/>
        <w:tc>
          <w:tcPr>
            <w:tcW w:w="5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finance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arising from obtaining new operating lease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arising from obtaining new finance lease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at December 31, 2025 and 2024 were as follows:</w:t>
      </w:r>
    </w:p>
    <w:p>
      <w:pPr>
        <w:pStyle w:val="TextBody"/>
        <w:bidi w:val="0"/>
        <w:jc w:val="left"/>
        <w:rPr/>
      </w:pPr>
      <w:r>
        <w:rPr/>
        <w:t> </w:t>
      </w:r>
    </w:p>
    <w:tbl>
      <w:tblPr>
        <w:tblW w:w="4984" w:type="dxa"/>
        <w:jc w:val="left"/>
        <w:tblInd w:w="0" w:type="dxa"/>
        <w:tblLayout w:type="fixed"/>
        <w:tblCellMar>
          <w:top w:w="28" w:type="dxa"/>
          <w:left w:w="28" w:type="dxa"/>
          <w:bottom w:w="28" w:type="dxa"/>
          <w:right w:w="28" w:type="dxa"/>
        </w:tblCellMar>
      </w:tblPr>
      <w:tblGrid>
        <w:gridCol w:w="2581"/>
        <w:gridCol w:w="146"/>
        <w:gridCol w:w="211"/>
        <w:gridCol w:w="676"/>
        <w:gridCol w:w="146"/>
        <w:gridCol w:w="146"/>
        <w:gridCol w:w="211"/>
        <w:gridCol w:w="676"/>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at December 31, 2025 and 2024 were as follows:</w:t>
      </w:r>
    </w:p>
    <w:tbl>
      <w:tblPr>
        <w:tblW w:w="5089" w:type="dxa"/>
        <w:jc w:val="left"/>
        <w:tblInd w:w="0" w:type="dxa"/>
        <w:tblLayout w:type="fixed"/>
        <w:tblCellMar>
          <w:top w:w="28" w:type="dxa"/>
          <w:left w:w="28" w:type="dxa"/>
          <w:bottom w:w="28" w:type="dxa"/>
          <w:right w:w="28" w:type="dxa"/>
        </w:tblCellMar>
      </w:tblPr>
      <w:tblGrid>
        <w:gridCol w:w="2476"/>
        <w:gridCol w:w="146"/>
        <w:gridCol w:w="211"/>
        <w:gridCol w:w="781"/>
        <w:gridCol w:w="146"/>
        <w:gridCol w:w="146"/>
        <w:gridCol w:w="211"/>
        <w:gridCol w:w="78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lien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378,169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448,216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Second lien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24, 2024, the Company, Great Lakes Dredge &amp; Dock Company, LLC, NASDI Holdings, LLC, Great Lakes Environmental &amp; Infrastructure Solutions, LLC, Great Lakes U.S. Fleet Management, LLC, and Drews Services LLC (collectively,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(“GCS”). On October 24, 2025, the Company utilized its revolver to fully repay and terminate the Second Lien Credit Agreement. As part of the repayment the Company incurred a loss on extinguishment due to the expensing of the remaining outstanding deferred debt issuance costs of $7.7 million and the payment of the call premium of $3.1 million, inclusive of fees.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24, 2024, the Credit Parties, PNC Bank, National Association (“PNC”), as agent for the lenders, and certain financial institutions party thereto entered into an amendment to the ABL Credit Agreement described below (the “ABL Amendment”). The ABL Amendment (w) eliminates the Company’s ability to increase the commitments under the senior secured revolving credit facility (x) modifies the pricing of loans and undrawn commitments as summarized below and (y) makes certain other customary changes in connection with the Credit Parties’ entry into the Second Lien Credit Agreement. The Company has availability of up to $200.0 million for the issuance of letters of credit under the ABL Amendment.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ABL Amendment modifies the Applicable Margin for Advances (each as defined in the ABL Amendment) as follows: (i) following the ABL Amendment closing date through and including the date immediately prior to the date on which the Borrowing Base Certificate is required to be delivered for most recently completed fiscal quarter (commencing with the fiscal quarter ending on September 30, 2024) (the “Adjustment Date”), (a) the Applicable Margin for Domestic Rate Loans Advances is 1.50% and (b) the Applicable Margins for Term SOFR Rate Loans Advances is 2.50%, (ii) beginning as of the Adjustment Date, to the extent the quarterly average undrawn availability for the prior fiscal quarter is (x) greater than 66.7% of the Maximum Revolving Advance Amount, (a) the Applicable Margin for Domestic Rate Loans Advances is 1.25% and (b) the Applicable Margins for Term SOFR Rate Loans Advances is 2.25%; (y) to the extent the quarterly average undrawn availability for the prior fiscal quarter is less than or equal to 66.7% of the Maximum Revolving Advance Amount but greater than 33.3%, (a) the Applicable Margin for Domestic Rate Loans Advances is 1.50% and (b) the Applicable Margins for Term SOFR Rate Loans Advances is 2.50%; and (z) to the extent the quarterly average undrawn availability for the prior fiscal quarter is less than or equal to 33.3% of the Maximum Revolving Advance Amount, (a) Applicable Margin for Domestic Rate Loans Advances is 1.75% and (b) the Applicable Margin for Term SOFR Rate Loans Advances is 2.75%. Additionally, the Company has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May 2, 2025, the Credit Parties, PNC, as agent for the lenders, and certain financial institutions party thereto entered into an amendment to the ABL Credit Agreement (the “ABL Second Amendment”). The ABL Second Amendment increased the aggregate principal amount of the Company’s senior secured revolving credit facility from $300.0 million to $330.0 million, with all other material terms remaining unchanged. The Company incurred approximately $0.6 million in debt issuance costs associated with entering into the ABL Second Amendment. These costs will be amortized over the remaining life of the facility.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October 24, 2025 the Credit Parties, PNC, as agent for the lenders, and certain financial institutions party thereto entered into an amendment to the ABL Credit Agreement (the “ABL Third Amendment”), increasing the aggregate principal amount of the Company’s senior secured revolving credit facility from $330.0 million to $430.0 million and extending its maturity to the earlier of October 24, 2030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July 29, 2022, the Credit Parties entered into a second amended and restated revolving credit and security agreement (as amended by the ABL Amendment, the ABL Second Amendment and the ABL Third Amendment (together, the “Amendments”), and as may be further amended, supplemented or otherwise modified from time to time, the “ABL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ABL Credit Agreement amended and restated the prior ABL Credit Agreement dated as of May 3, 2019 by and among the financial institutions from time to time party thereto as lenders, the Agent and the Credit Parties party thereto such that the terms and conditions of the prior credit agreement had been subsumed and replaced in their entirety by the terms and conditions of the ABL Credit Agreement, including the amount available under the revolving credit facility. The terms of the ABL Credit Agreement, other than as set forth in the Amendments above, are summarized below.</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maximum borrowing capacity under the ABL Credit Agreement is determined by a formula and may fluctuate depending on the value of the collateral included in such formula at the time of determination.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ABL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 million sublimit.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ABL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ABL Credit Agreement is less than 12.5% of the maximum loan amount for five consecutive days. The ABL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ABL Credit Agreement are unconditionally guaranteed, on a joint and several basis, by each existing and subsequently acquired or formed material direct and indirect domestic subsidiary of the Company. Borrowings under the ABL Credit Agreement will be used to pay fees and expenses related to the ABL Credit Agreement, finance acquisitions permitted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under the ABL Credit Agreement, finance ongoing working capital, for other general corporate purposes, and with respect to any green loan, fund capital investments related to renewable energy and clean transportation projects.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obligations under the ABL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Company had $55.0 million and $35.0 million borrowings on the revolver as of December 31, 2025 and 2024, respectively. There were $57.9 million and $43.5 million of letters of credit outstanding as of December 31, 2025 and 2024, respectively. The Company had $316.7 million and $221.2 million of net availability under the ABL Amendment as of December 31, 2025 and 2024, respectively. The availability under the ABL Amendment was suppressed by $0.4 million and $0.3 million as of December 31, 2025 and 2024, respectively, as a result of certain limitations of borrowing related to reserves and compliance with the Company's obligations set forth in the ABL Credit Agreement or the prior credit agreement. Based on the aforementioned variable interest rate components, the weighted average interest rate on the revolver borrowings is 5.71% and 6.70% as of December 31, 2025 and 2024,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Senior notes and subsidiary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2021, the Company sold $325.0 million of unsecured 5.25% Senior Notes (the “2029 Notes”) pursuant to a private offering. The 2029 Notes were priced to investors at par and will mature on June 1, 2029. The Company used the net proceeds from the offering, together with cash on hand, to redeem all $325.0 million aggregate principal amount of its outstanding 8.00% Senior Notes due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these 2029 Notes are guaranteed by each of the Company’s existing and future 100% owned domestic subsidiaries that are co-borrowers or guarantors under the ABL Credit Agreement. Such guarantees are full, unconditional and joint and several. The parent company issuer has no independent assets or operations and all non-guarantor subsidiaries have been determined to be minor.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weighted average interest rate on the Company’s total outstanding borrowings, </w:t>
      </w:r>
      <w:r>
        <w:rPr>
          <w:rFonts w:ascii="Times New Roman" w:hAnsi="Times New Roman"/>
          <w:color w:val="212121"/>
          <w:sz w:val="20"/>
        </w:rPr>
        <w:t>after adjusting for the effects of interest rate swaps,</w:t>
      </w:r>
      <w:r>
        <w:rPr>
          <w:rFonts w:ascii="Times New Roman" w:hAnsi="Times New Roman"/>
          <w:color w:val="000000"/>
          <w:sz w:val="20"/>
        </w:rPr>
        <w:t xml:space="preserve"> was 5.37%,</w:t>
      </w:r>
      <w:r>
        <w:rPr>
          <w:rFonts w:ascii="Times New Roman" w:hAnsi="Times New Roman"/>
          <w:color w:val="212121"/>
          <w:sz w:val="20"/>
        </w:rPr>
        <w:t xml:space="preserve"> </w:t>
      </w:r>
      <w:r>
        <w:rPr>
          <w:rFonts w:ascii="Times New Roman" w:hAnsi="Times New Roman"/>
          <w:color w:val="000000"/>
          <w:sz w:val="20"/>
        </w:rPr>
        <w:t>and 6.77% as of December 31, 2025 and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scheduled principal payments through the maturity date of the Company’s long-term debt at December 31, 2025, are as follows:</w:t>
      </w:r>
    </w:p>
    <w:tbl>
      <w:tblPr>
        <w:tblW w:w="3460" w:type="dxa"/>
        <w:jc w:val="left"/>
        <w:tblInd w:w="0" w:type="dxa"/>
        <w:tblLayout w:type="fixed"/>
        <w:tblCellMar>
          <w:top w:w="28" w:type="dxa"/>
          <w:left w:w="28" w:type="dxa"/>
          <w:bottom w:w="28" w:type="dxa"/>
          <w:right w:w="28" w:type="dxa"/>
        </w:tblCellMar>
      </w:tblPr>
      <w:tblGrid>
        <w:gridCol w:w="2131"/>
        <w:gridCol w:w="146"/>
        <w:gridCol w:w="211"/>
        <w:gridCol w:w="78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incurred amortization of deferred financing fees for its long-term debt of $3.1 million, $2.6 million and $1.0 million for each of the years ended December 31, 2025, 2024 and 2023. Such amortization is recorded as a component of net interest expense.</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7.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inputs and minimize the use of unobservable inputs when measuring fair value. The accounting guidance describes three levels of inputs that may be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tbl>
      <w:tblPr>
        <w:tblW w:w="10205" w:type="dxa"/>
        <w:jc w:val="left"/>
        <w:tblInd w:w="0" w:type="dxa"/>
        <w:tblLayout w:type="fixed"/>
        <w:tblCellMar>
          <w:top w:w="28" w:type="dxa"/>
          <w:left w:w="28" w:type="dxa"/>
          <w:bottom w:w="28" w:type="dxa"/>
          <w:right w:w="28" w:type="dxa"/>
        </w:tblCellMar>
      </w:tblPr>
      <w:tblGrid>
        <w:gridCol w:w="4508"/>
        <w:gridCol w:w="146"/>
        <w:gridCol w:w="1017"/>
        <w:gridCol w:w="146"/>
        <w:gridCol w:w="233"/>
        <w:gridCol w:w="383"/>
        <w:gridCol w:w="152"/>
        <w:gridCol w:w="152"/>
        <w:gridCol w:w="263"/>
        <w:gridCol w:w="713"/>
        <w:gridCol w:w="146"/>
        <w:gridCol w:w="146"/>
        <w:gridCol w:w="212"/>
        <w:gridCol w:w="424"/>
        <w:gridCol w:w="146"/>
        <w:gridCol w:w="146"/>
        <w:gridCol w:w="263"/>
        <w:gridCol w:w="713"/>
        <w:gridCol w:w="296"/>
      </w:tblGrid>
      <w:tr>
        <w:trPr/>
        <w:tc>
          <w:tcPr>
            <w:tcW w:w="4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5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Derivatives designated as cash flow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5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Fuel hedge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dredging backlog.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was party to various swap arrangements to hedge the price of a portion of its diesel fuel purchase requirements for work in its backlog to be performed through May 2027. As of December 31, 2025, there were 14.4 million gallons remaining on these contracts representing forecasted domestic fuel purchases through May 2027. Under these swap agreements, the Company will pay fixed prices ranging from $2.03 to $2.47 per gallon.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and 2024, the fair value liability of the fuel hedge contracts were estimated to be $1.3 million and $1.1 million, respectively, and is recorded in accrued expenses. For fuel hedge contracts considered to be highly effective, the losses reclassified to earnings from changes in fair value of derivatives, net of cash settlements and taxes, for the year ended December 31, 2025 were $0.1 million. The remaining gains and losses included in the accumulated other comprehensive income (loss) at December 31, 2025 will be reclassified into earnings over the next twelve months, corresponding to the period during which the hedged fuel is expected to be utilized. Changes in the fair value of fuel hedge contracts not considered highly effective are recorded as costs of contract revenues in the Statement of Operations. The fair value of fuel hedges are corroborated using inputs that are readily observable in public markets; therefore, the Company determines fair values of these fuel hedges using Level 2 inputs.</w:t>
        <w:b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Interest rate swaps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is exposed to certain market risks, including interest rate risks related to the floating interest rates on its variable rate debt. The Company has entered into interest rate swaps to convert a portion of its variable rate debt into fixed-rate debt and hedge the risk that fluctuations in interest rates could have an adverse impact on net interest expense.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2025, the Company was party to one interest rate swap with a total notional value of $50 million effective August 5, 2024 and a maturity date of August 24, 2026. Under this interest rate swap, the Company will pay a fixed rate of 3.88%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notional amount and receive payments from the counterparty based on the 30-day SOFR rate, effectively modifying the Company’s exposure to interest rate risk by converting a portion of its floating-rate debt to a fixed interest rate of 6.13%.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2025 the fair value liability of the Company’s interest rate swap was $116 and is recorded in accrued expenses in the consolidated balance sheets. For interest rate swaps considered to be highly effective, the gains reclassified to earnings from changes in fair value of derivatives, net of cash settlements and taxes, for the year ended December 31, 2025 were $166. The remaining gains and losses included in accumulated other comprehensive loss at December 31, 2025 will be reclassified into earnings over the next eight months, corresponding to the period during which the interest rate swap is expected to be utilized. Changes in the fair value of interest rate swaps not considered highly effective are recorded as interest expense in the consolidated statements of operations. The fair values of interest rate swaps are corroborated using inputs that are readily observable in public markets; therefore, the Company determines the fair value of these interest rate swaps using Level 2 inputs. </w:t>
      </w:r>
    </w:p>
    <w:p>
      <w:pPr>
        <w:pStyle w:val="TextBody"/>
        <w:bidi w:val="0"/>
        <w:spacing w:before="0" w:after="160"/>
        <w:jc w:val="left"/>
        <w:rPr>
          <w:rFonts w:ascii="Times New Roman" w:hAnsi="Times New Roman"/>
          <w:sz w:val="20"/>
        </w:rPr>
      </w:pPr>
      <w:r>
        <w:rPr>
          <w:rFonts w:ascii="Times New Roman" w:hAnsi="Times New Roman"/>
          <w:b/>
          <w:i/>
          <w:color w:val="000000"/>
          <w:sz w:val="20"/>
        </w:rPr>
        <w:t>Assets and liabilities measured at fair value on a nonrecurring basis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All other nonfinancial assets and liabilities measured at fair value in the financial statements on a nonrecurring basis are subject to fair value measurements and disclosures. Nonfinancial assets and liabilities included in the consolidated balance sheets and measured on a nonrecurring basis consist of goodwill and long-lived assets. Goodwill and long-lived assets are measured at fair value to test for and measure impairment, if any, at least annually for goodwill or when necessary for both goodwill and long-lived assets.</w:t>
      </w:r>
    </w:p>
    <w:p>
      <w:pPr>
        <w:pStyle w:val="TextBody"/>
        <w:bidi w:val="0"/>
        <w:spacing w:before="80" w:after="283"/>
        <w:jc w:val="left"/>
        <w:rPr>
          <w:rFonts w:ascii="Times New Roman" w:hAnsi="Times New Roman"/>
          <w:sz w:val="20"/>
        </w:rPr>
      </w:pPr>
      <w:r>
        <w:rPr>
          <w:rFonts w:ascii="Times New Roman" w:hAnsi="Times New Roman"/>
          <w:b/>
          <w:i/>
          <w:color w:val="000000"/>
          <w:sz w:val="20"/>
        </w:rPr>
        <w:t>Accumulated other comprehensive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components of the accumulated balances of other comprehensive income are as follows:</w:t>
        <w:br/>
        <w:t> </w:t>
      </w:r>
    </w:p>
    <w:tbl>
      <w:tblPr>
        <w:tblW w:w="8224" w:type="dxa"/>
        <w:jc w:val="left"/>
        <w:tblInd w:w="0" w:type="dxa"/>
        <w:tblLayout w:type="fixed"/>
        <w:tblCellMar>
          <w:top w:w="28" w:type="dxa"/>
          <w:left w:w="28" w:type="dxa"/>
          <w:bottom w:w="28" w:type="dxa"/>
          <w:right w:w="28" w:type="dxa"/>
        </w:tblCellMar>
      </w:tblPr>
      <w:tblGrid>
        <w:gridCol w:w="5881"/>
        <w:gridCol w:w="146"/>
        <w:gridCol w:w="211"/>
        <w:gridCol w:w="481"/>
        <w:gridCol w:w="166"/>
        <w:gridCol w:w="146"/>
        <w:gridCol w:w="211"/>
        <w:gridCol w:w="571"/>
        <w:gridCol w:w="41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derivative losses to earnings—net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fuel hedges—net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Currency Exchange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derivative losses to earnings—net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foreign currency hedges—net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derivative gains to earnings—net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foreign currency hedges—net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change in cash flow derivative hedges -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Adjustments reclassified from accumulated balances of other comprehensive income to earnings are as follows:</w:t>
      </w:r>
    </w:p>
    <w:tbl>
      <w:tblPr>
        <w:tblW w:w="8896" w:type="dxa"/>
        <w:jc w:val="left"/>
        <w:tblInd w:w="0" w:type="dxa"/>
        <w:tblLayout w:type="fixed"/>
        <w:tblCellMar>
          <w:top w:w="28" w:type="dxa"/>
          <w:left w:w="28" w:type="dxa"/>
          <w:bottom w:w="28" w:type="dxa"/>
          <w:right w:w="28" w:type="dxa"/>
        </w:tblCellMar>
      </w:tblPr>
      <w:tblGrid>
        <w:gridCol w:w="3846"/>
        <w:gridCol w:w="146"/>
        <w:gridCol w:w="2581"/>
        <w:gridCol w:w="146"/>
        <w:gridCol w:w="211"/>
        <w:gridCol w:w="481"/>
        <w:gridCol w:w="166"/>
        <w:gridCol w:w="146"/>
        <w:gridCol w:w="211"/>
        <w:gridCol w:w="571"/>
        <w:gridCol w:w="39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 hedge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financial instruments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carrying value of financial instruments included in current assets and current liabilities approximates fair value due to the short-term maturities of these instruments. Based on timing of the cash flows and comparison to current market interest rates, the carrying values of the ABL Amendment approximate fair value at December 31, 2025. In May 2021, the Company sold </w:t>
      </w:r>
      <w:r>
        <w:rPr>
          <w:rFonts w:ascii="Times New Roman" w:hAnsi="Times New Roman"/>
          <w:color w:val="2E2E2E"/>
          <w:sz w:val="20"/>
        </w:rPr>
        <w:t>$325.0 million of</w:t>
      </w:r>
      <w:r>
        <w:rPr>
          <w:rFonts w:ascii="Times New Roman" w:hAnsi="Times New Roman"/>
          <w:color w:val="000000"/>
          <w:sz w:val="20"/>
        </w:rPr>
        <w:t xml:space="preserve"> </w:t>
      </w:r>
      <w:r>
        <w:rPr>
          <w:rFonts w:ascii="Times New Roman" w:hAnsi="Times New Roman"/>
          <w:color w:val="2E2E2E"/>
          <w:sz w:val="20"/>
        </w:rPr>
        <w:t>the 2029 Notes pursuant to a private offering, which were outstanding at December 31, 2022 (See Note 6, Long-Term Debt). The 2029 Notes were priced to investors at par and will mature on June 1, 2029.</w:t>
      </w:r>
      <w:r>
        <w:rPr>
          <w:rFonts w:ascii="Times New Roman" w:hAnsi="Times New Roman"/>
          <w:color w:val="000000"/>
          <w:sz w:val="20"/>
        </w:rPr>
        <w:t xml:space="preserve"> The 2029 Notes are senior unsecured obligations of the Company and its subsidiaries that guarantee the 2029 Notes. The fair value of the 2029 Notes was $317.0 million at December 31, 2025,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income tax provision for the years ended December 31, 2025, 2024 and 2023 are as follows:</w:t>
      </w:r>
    </w:p>
    <w:tbl>
      <w:tblPr>
        <w:tblW w:w="5723" w:type="dxa"/>
        <w:jc w:val="left"/>
        <w:tblInd w:w="0" w:type="dxa"/>
        <w:tblLayout w:type="fixed"/>
        <w:tblCellMar>
          <w:top w:w="28" w:type="dxa"/>
          <w:left w:w="28" w:type="dxa"/>
          <w:bottom w:w="28" w:type="dxa"/>
          <w:right w:w="28" w:type="dxa"/>
        </w:tblCellMar>
      </w:tblPr>
      <w:tblGrid>
        <w:gridCol w:w="2046"/>
        <w:gridCol w:w="146"/>
        <w:gridCol w:w="211"/>
        <w:gridCol w:w="676"/>
        <w:gridCol w:w="146"/>
        <w:gridCol w:w="146"/>
        <w:gridCol w:w="211"/>
        <w:gridCol w:w="676"/>
        <w:gridCol w:w="146"/>
        <w:gridCol w:w="146"/>
        <w:gridCol w:w="211"/>
        <w:gridCol w:w="571"/>
        <w:gridCol w:w="3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income before income tax from domestic and foreign operations for the years ended December 31, 2025, 2024 and 2023 are as follows:</w:t>
      </w:r>
    </w:p>
    <w:tbl>
      <w:tblPr>
        <w:tblW w:w="6613" w:type="dxa"/>
        <w:jc w:val="left"/>
        <w:tblInd w:w="0" w:type="dxa"/>
        <w:tblLayout w:type="fixed"/>
        <w:tblCellMar>
          <w:top w:w="28" w:type="dxa"/>
          <w:left w:w="28" w:type="dxa"/>
          <w:bottom w:w="28" w:type="dxa"/>
          <w:right w:w="28" w:type="dxa"/>
        </w:tblCellMar>
      </w:tblPr>
      <w:tblGrid>
        <w:gridCol w:w="2866"/>
        <w:gridCol w:w="146"/>
        <w:gridCol w:w="211"/>
        <w:gridCol w:w="781"/>
        <w:gridCol w:w="166"/>
        <w:gridCol w:w="146"/>
        <w:gridCol w:w="211"/>
        <w:gridCol w:w="676"/>
        <w:gridCol w:w="166"/>
        <w:gridCol w:w="146"/>
        <w:gridCol w:w="211"/>
        <w:gridCol w:w="676"/>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provision for income taxes as of December 31, 2025, 2024 and 2023 is as follows:</w:t>
      </w:r>
    </w:p>
    <w:tbl>
      <w:tblPr>
        <w:tblW w:w="4708" w:type="dxa"/>
        <w:jc w:val="left"/>
        <w:tblInd w:w="0" w:type="dxa"/>
        <w:tblLayout w:type="fixed"/>
        <w:tblCellMar>
          <w:top w:w="28" w:type="dxa"/>
          <w:left w:w="28" w:type="dxa"/>
          <w:bottom w:w="28" w:type="dxa"/>
          <w:right w:w="28" w:type="dxa"/>
        </w:tblCellMar>
      </w:tblPr>
      <w:tblGrid>
        <w:gridCol w:w="1011"/>
        <w:gridCol w:w="146"/>
        <w:gridCol w:w="211"/>
        <w:gridCol w:w="676"/>
        <w:gridCol w:w="146"/>
        <w:gridCol w:w="146"/>
        <w:gridCol w:w="211"/>
        <w:gridCol w:w="676"/>
        <w:gridCol w:w="166"/>
        <w:gridCol w:w="146"/>
        <w:gridCol w:w="211"/>
        <w:gridCol w:w="571"/>
        <w:gridCol w:w="391"/>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adopted ASU 2023-09 “Income Taxes (Topic: 740): Improvements to Income Tax Disclosures” on a prospective basis beginning with the year ended December 31, 2025. The Company’s income tax provision reconciles to the provision at the statutory U.S. federal income tax rate of 21% for the years ended December 31, 2025, as follows:</w:t>
      </w:r>
    </w:p>
    <w:tbl>
      <w:tblPr>
        <w:tblW w:w="8156" w:type="dxa"/>
        <w:jc w:val="left"/>
        <w:tblInd w:w="0" w:type="dxa"/>
        <w:tblLayout w:type="fixed"/>
        <w:tblCellMar>
          <w:top w:w="28" w:type="dxa"/>
          <w:left w:w="28" w:type="dxa"/>
          <w:bottom w:w="28" w:type="dxa"/>
          <w:right w:w="28" w:type="dxa"/>
        </w:tblCellMar>
      </w:tblPr>
      <w:tblGrid>
        <w:gridCol w:w="4591"/>
        <w:gridCol w:w="146"/>
        <w:gridCol w:w="146"/>
        <w:gridCol w:w="146"/>
        <w:gridCol w:w="146"/>
        <w:gridCol w:w="146"/>
        <w:gridCol w:w="146"/>
        <w:gridCol w:w="146"/>
        <w:gridCol w:w="146"/>
        <w:gridCol w:w="146"/>
        <w:gridCol w:w="211"/>
        <w:gridCol w:w="676"/>
        <w:gridCol w:w="166"/>
        <w:gridCol w:w="146"/>
        <w:gridCol w:w="157"/>
        <w:gridCol w:w="504"/>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 at statutory U.S.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income tax — net of federal income tax benefit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Nondeductible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State taxes in Texas and New Jersey made up the majority of the tax effect in this category.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income tax provision reconciles to the provision at the statutory U.S. federal income tax rate of 21% for the years ended December 31, 2024 and 2023, as follows:</w:t>
      </w:r>
    </w:p>
    <w:p>
      <w:pPr>
        <w:pStyle w:val="TextBody"/>
        <w:bidi w:val="0"/>
        <w:jc w:val="left"/>
        <w:rPr/>
      </w:pPr>
      <w:r>
        <w:rPr/>
        <w:t> </w:t>
      </w:r>
    </w:p>
    <w:tbl>
      <w:tblPr>
        <w:tblW w:w="6824" w:type="dxa"/>
        <w:jc w:val="left"/>
        <w:tblInd w:w="0" w:type="dxa"/>
        <w:tblLayout w:type="fixed"/>
        <w:tblCellMar>
          <w:top w:w="28" w:type="dxa"/>
          <w:left w:w="28" w:type="dxa"/>
          <w:bottom w:w="28" w:type="dxa"/>
          <w:right w:w="28" w:type="dxa"/>
        </w:tblCellMar>
      </w:tblPr>
      <w:tblGrid>
        <w:gridCol w:w="4486"/>
        <w:gridCol w:w="146"/>
        <w:gridCol w:w="211"/>
        <w:gridCol w:w="676"/>
        <w:gridCol w:w="166"/>
        <w:gridCol w:w="146"/>
        <w:gridCol w:w="211"/>
        <w:gridCol w:w="57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 at statutory U.S.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 net of federal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signed into law, which, among other things, includes a broad range of tax reform provisions that may affect the Company's financial results. The OBBBA allows an elective deduction for domestic research and development, permanent reinstatement of bonus depreciation on qualified property and modifications to the calculation for excess business interest expense limitation under §163(j) to the current tax estimate, among other provisions. The OBBBA includes multiple effective dates, with certain provisions effective in 2025 and other phased in through 2027. There were no material impacts of the OBBBA on the Company’s tax provision for 2025. The future impacts of the tax related provisions in the OBBBA will depend on our facts in each year and anticipated guidance from the U.S. Department of the Treasury.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and 2024, the Company had loss carryforwards for federal income tax purposes of $6.5 million and $2.9 million, respectively. The loss carryforwards at December 31, 2025 may be carried forward indefinitely. The Company also has indefinite life carryforwards as a result of interest limitations. Starting in 2022, the Company has research costs attributable to research and development that are currently expensed but are required to be capitalized for U.S. tax purposes and amortized primarily over 5 or 15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and 2024, the Company had gross net operating loss carryforwards for state income tax purposes totaling $173.2 million and $184.5 million, respectively, which expire between 2030 and 2045. The Company has established a valuation allowance that was $5.5 million and $7.3 million as of December 31, 2025 and 2024, respectively. The Company believes that the remaining net operating losses, net of the valuation allowance, will be fully utilized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no foreign gross net operating loss carryforwards as of December 31,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policy is to recognize interest and penalties related to income tax matters in income tax expense. As of December 31, 2025, 2024 and 2023 the Company had no interest and penalties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Organisation for Economic Co-operation and Development has proposed a global minimum tax of 15% of reported profits (“Pillar 2”) that has been agreed upon in principle by over 140 countries. During 2023, many countries took steps to incorporate Pillar 2 model rule concepts into their domestic laws. Although the model rules provide a framework for applying the minimum tax, countries may enact Pillar 2 slightly differently than the model rules and on different timelines and may adjust domestic tax incentives in response to Pillar 2. The Company will continue to analyze the law to determine potential impacts. At this time, the Company does not expect the Pillar 2 legislation to have a material impact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income tax returns at the U.S. federal level and in various state and foreign jurisdictions. U.S. federal income tax years prior to 2022 are closed and no longer subject to examination. With few exceptions, the statute of limitations in state taxing jurisdictions in which the Company operates has expired for all years prior to 2021. In foreign jurisdictions in which the Company operates, years prior to 2021 are closed and are no longer subject to examination.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deferred tax assets (liabilities) at December 31, 2025 and 2024 are as follows:</w:t>
      </w:r>
    </w:p>
    <w:tbl>
      <w:tblPr>
        <w:tblW w:w="6524" w:type="dxa"/>
        <w:jc w:val="left"/>
        <w:tblInd w:w="0" w:type="dxa"/>
        <w:tblLayout w:type="fixed"/>
        <w:tblCellMar>
          <w:top w:w="28" w:type="dxa"/>
          <w:left w:w="28" w:type="dxa"/>
          <w:bottom w:w="28" w:type="dxa"/>
          <w:right w:w="28" w:type="dxa"/>
        </w:tblCellMar>
      </w:tblPr>
      <w:tblGrid>
        <w:gridCol w:w="3351"/>
        <w:gridCol w:w="146"/>
        <w:gridCol w:w="211"/>
        <w:gridCol w:w="841"/>
        <w:gridCol w:w="166"/>
        <w:gridCol w:w="146"/>
        <w:gridCol w:w="211"/>
        <w:gridCol w:w="841"/>
        <w:gridCol w:w="611"/>
      </w:tblGrid>
      <w:tr>
        <w:trPr/>
        <w:tc>
          <w:tcPr>
            <w:tcW w:w="3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NOLs and interest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NOLs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noncurrent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its cumulative earnings or losses in recent years. The Company further considers the impact on these cumulative earnings or losses of discontinued operations and other divested operations and joint ventures, restructuring charges and other nonrecurring adjustments that are not indicative of its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 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certain state net operating loss carryforwards to reduce the balance of these deferred tax assets at December 31, 2025 and 2024 as it was more likely than not that the balance of these tax items would not be realized. By contrast, after evaluating the positive and negative evidence, the Company concluded that it was more likely than not that the deferred federal income tax asset and remaining state net operating loss carryforwards recorded at December 31, 2025 and 2024 would ultimately be realized and determined that no valuation allowance was required.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adopted ASU 2023-09 on a prospective basis for the year ended December 31, 2025 and have included the following table as a result of our adoption, which represents income taxes paid, net of refunds received, for the year ended December 31, 2025:</w:t>
      </w:r>
    </w:p>
    <w:p>
      <w:pPr>
        <w:pStyle w:val="TextBody"/>
        <w:bidi w:val="0"/>
        <w:spacing w:before="40" w:after="283"/>
        <w:jc w:val="left"/>
        <w:rPr/>
      </w:pPr>
      <w:r>
        <w:rPr/>
        <w:t> </w:t>
      </w:r>
    </w:p>
    <w:tbl>
      <w:tblPr>
        <w:tblW w:w="4894" w:type="dxa"/>
        <w:jc w:val="left"/>
        <w:tblInd w:w="0" w:type="dxa"/>
        <w:tblLayout w:type="fixed"/>
        <w:tblCellMar>
          <w:top w:w="28" w:type="dxa"/>
          <w:left w:w="28" w:type="dxa"/>
          <w:bottom w:w="28" w:type="dxa"/>
          <w:right w:w="28" w:type="dxa"/>
        </w:tblCellMar>
      </w:tblPr>
      <w:tblGrid>
        <w:gridCol w:w="2791"/>
        <w:gridCol w:w="146"/>
        <w:gridCol w:w="146"/>
        <w:gridCol w:w="146"/>
        <w:gridCol w:w="146"/>
        <w:gridCol w:w="146"/>
        <w:gridCol w:w="211"/>
        <w:gridCol w:w="571"/>
        <w:gridCol w:w="5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New Jersey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Below is a summary of income taxes paid for years ended December 31, 2024 and 2023:</w:t>
      </w:r>
    </w:p>
    <w:p>
      <w:pPr>
        <w:pStyle w:val="TextBody"/>
        <w:bidi w:val="0"/>
        <w:spacing w:before="40" w:after="283"/>
        <w:jc w:val="left"/>
        <w:rPr/>
      </w:pPr>
      <w:r>
        <w:rPr/>
        <w:t> </w:t>
      </w:r>
    </w:p>
    <w:tbl>
      <w:tblPr>
        <w:tblW w:w="4996" w:type="dxa"/>
        <w:jc w:val="left"/>
        <w:tblInd w:w="0" w:type="dxa"/>
        <w:tblLayout w:type="fixed"/>
        <w:tblCellMar>
          <w:top w:w="28" w:type="dxa"/>
          <w:left w:w="28" w:type="dxa"/>
          <w:bottom w:w="28" w:type="dxa"/>
          <w:right w:w="28" w:type="dxa"/>
        </w:tblCellMar>
      </w:tblPr>
      <w:tblGrid>
        <w:gridCol w:w="2791"/>
        <w:gridCol w:w="146"/>
        <w:gridCol w:w="146"/>
        <w:gridCol w:w="146"/>
        <w:gridCol w:w="146"/>
        <w:gridCol w:w="571"/>
        <w:gridCol w:w="146"/>
        <w:gridCol w:w="146"/>
        <w:gridCol w:w="146"/>
        <w:gridCol w:w="42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 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 The Company may also issue share-based compensation as inducement awards to new employees upon approval of the board of directors and/or the applicable committee or committees thereof, as may be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cost charged to expense related to share-based compensation arrangements was $11.5 million, $8.6 million and $6.3 million, for the years ended December 31, 2025, 2024 and 2023,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Non-qualified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 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 No NQSO awards were granted in 2025, 2024 and 2023. The aggregate intrinsic value of stock options represents the difference between market value on the date of exercise and the option price. No stock options were exercised during 2025. The aggregate intrinsic value of stock options exercised during 2024 was $0.1 million. No stock options were exercised during 2023.</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outstanding stock options or activity under the Incentive Plan as of December 31, 2025, and during the year ended December 31, 2025.</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primarily vest in equal portions over the three-year vesting period. The fair value of RSUs was based upon the Company’s stock price on the date of grant. A summary of the status of the Company’s non-vested RSUs as of December 31, 2025, and changes during the year ended December 31, 2025, is presented below:</w:t>
      </w:r>
    </w:p>
    <w:tbl>
      <w:tblPr>
        <w:tblW w:w="6123" w:type="dxa"/>
        <w:jc w:val="left"/>
        <w:tblInd w:w="0" w:type="dxa"/>
        <w:tblLayout w:type="fixed"/>
        <w:tblCellMar>
          <w:top w:w="28" w:type="dxa"/>
          <w:left w:w="28" w:type="dxa"/>
          <w:bottom w:w="28" w:type="dxa"/>
          <w:right w:w="28" w:type="dxa"/>
        </w:tblCellMar>
      </w:tblPr>
      <w:tblGrid>
        <w:gridCol w:w="3286"/>
        <w:gridCol w:w="146"/>
        <w:gridCol w:w="146"/>
        <w:gridCol w:w="571"/>
        <w:gridCol w:w="166"/>
        <w:gridCol w:w="146"/>
        <w:gridCol w:w="396"/>
        <w:gridCol w:w="1075"/>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2025, there was $11.5 million of total unrecognized compensation cost related to non-vested RSUs granted under the Incentive Plan. That cost for non-vested RSUs is expected to be recognized over a weighted-average period of 2.0 years.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$1.8 million, $2.5 million and $0.6 million for the years ended December 31, 2025, 2024 and 2023,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 combination of cash and share-based compensation to attract and retain qualified candidates to serve on its board of directors. Compensation is paid to non-employee directors. Directors who are employees receive no additional compensation for services as members of the board of directors or any of its committees. Share-based compensation is paid pursuant to the Incentive Plan. Each non-employee director of the Company receives an annual retainer of $176, payable quarterly in arrears, and is generally paid 45% in cash and 55% in common stock or deferred restricted stock units of the Company. Directors may elect to receive some or all of the cash retainer in common stock or deferred restricted stock units. In 2025, the Chairman of the Board of Directors received an additional $100 of annual compensation, paid 100% in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years ended December 31, 2025, 2024 and 2023, 21 thousand, 37 thousand and 56 thousand shares, respectively, of the Company’s common stock or restricted stock units were issued to non-employee directors under the Incentive Plan.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revenue is derived from contracts for services with federal, state, local and foreign governmental entities and private customers. Revenues are generally derived from the enhancement or preservation of navigability of waterways or the protection of shorelines through the removal or replenishment of soil, sand or rock.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the customer controls, this method provides a faithful depiction of the transfer of an asset to the customer. Generally, the Company has an enforceable right to payment for performance completed to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majority of the Company’s contracts are completed in a year or less. At December 31, 2025, the Company had $763.2 million of remaining performance obligations, which the Company refers to as total dredging backlog. Total dredging backlog does not include $124.8 million of performance obligations related to offshore energy contracts. The Company expects to perform on its offshore energy contracts using the inclined fall-pipe vessel for subsea rock installation which is expected to be delivered and operational in the 2026. We anticipate that approximately 90% of the Company’s dredging backlog and 40% of the Company’s offshore energy backlog will be completed in 2026 with the remaining to be completed in 2027.</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is calculated using the Company’s estimated costs to complete a project plus a profit margin. These costs are based on the types of equipment required to perform the specified service, project site conditions, the estimated project duration, seasonality, location and complexity of a project.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nature of the Company’s contracts gives rise to several types of variable consideration, including pay on quantity dredged for dredging projects and dredging project contract modifications.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by category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Domestically, the Company’s work generally is performed in coastal waterways and deep-water ports. The U.S. dredging market consists of four primary types of work: capital, coastal protection and maintenance. Foreign projects typically involve capital 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by type of work, the Company’s contract revenues for the years ended December 31, 2025, 2024 and 2023: </w:t>
        <w:br/>
        <w:t> </w:t>
      </w:r>
    </w:p>
    <w:tbl>
      <w:tblPr>
        <w:tblW w:w="6198" w:type="dxa"/>
        <w:jc w:val="left"/>
        <w:tblInd w:w="0" w:type="dxa"/>
        <w:tblLayout w:type="fixed"/>
        <w:tblCellMar>
          <w:top w:w="28" w:type="dxa"/>
          <w:left w:w="28" w:type="dxa"/>
          <w:bottom w:w="28" w:type="dxa"/>
          <w:right w:w="28" w:type="dxa"/>
        </w:tblCellMar>
      </w:tblPr>
      <w:tblGrid>
        <w:gridCol w:w="2101"/>
        <w:gridCol w:w="146"/>
        <w:gridCol w:w="211"/>
        <w:gridCol w:w="781"/>
        <w:gridCol w:w="146"/>
        <w:gridCol w:w="146"/>
        <w:gridCol w:w="211"/>
        <w:gridCol w:w="781"/>
        <w:gridCol w:w="146"/>
        <w:gridCol w:w="146"/>
        <w:gridCol w:w="211"/>
        <w:gridCol w:w="781"/>
        <w:gridCol w:w="3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858,048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sets forth, by type of customer, the Company’s contract revenues for the years ended December 31, 2025, 2024 and 2023: </w:t>
      </w:r>
    </w:p>
    <w:p>
      <w:pPr>
        <w:pStyle w:val="TextBody"/>
        <w:bidi w:val="0"/>
        <w:jc w:val="both"/>
        <w:rPr/>
      </w:pPr>
      <w:r>
        <w:rPr/>
        <w:t> </w:t>
      </w:r>
    </w:p>
    <w:tbl>
      <w:tblPr>
        <w:tblW w:w="6638" w:type="dxa"/>
        <w:jc w:val="left"/>
        <w:tblInd w:w="0" w:type="dxa"/>
        <w:tblLayout w:type="fixed"/>
        <w:tblCellMar>
          <w:top w:w="28" w:type="dxa"/>
          <w:left w:w="28" w:type="dxa"/>
          <w:bottom w:w="28" w:type="dxa"/>
          <w:right w:w="28" w:type="dxa"/>
        </w:tblCellMar>
      </w:tblPr>
      <w:tblGrid>
        <w:gridCol w:w="2541"/>
        <w:gridCol w:w="146"/>
        <w:gridCol w:w="211"/>
        <w:gridCol w:w="781"/>
        <w:gridCol w:w="146"/>
        <w:gridCol w:w="146"/>
        <w:gridCol w:w="211"/>
        <w:gridCol w:w="781"/>
        <w:gridCol w:w="146"/>
        <w:gridCol w:w="146"/>
        <w:gridCol w:w="211"/>
        <w:gridCol w:w="781"/>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Offshore energy - private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at December 31, 2025 and 2024 are as follows:</w:t>
      </w:r>
    </w:p>
    <w:p>
      <w:pPr>
        <w:pStyle w:val="TextBody"/>
        <w:bidi w:val="0"/>
        <w:jc w:val="both"/>
        <w:rPr/>
      </w:pPr>
      <w:r>
        <w:rPr/>
        <w:t> </w:t>
      </w:r>
    </w:p>
    <w:tbl>
      <w:tblPr>
        <w:tblW w:w="5204" w:type="dxa"/>
        <w:jc w:val="left"/>
        <w:tblInd w:w="0" w:type="dxa"/>
        <w:tblLayout w:type="fixed"/>
        <w:tblCellMar>
          <w:top w:w="28" w:type="dxa"/>
          <w:left w:w="28" w:type="dxa"/>
          <w:bottom w:w="28" w:type="dxa"/>
          <w:right w:w="28" w:type="dxa"/>
        </w:tblCellMar>
      </w:tblPr>
      <w:tblGrid>
        <w:gridCol w:w="2656"/>
        <w:gridCol w:w="146"/>
        <w:gridCol w:w="211"/>
        <w:gridCol w:w="676"/>
        <w:gridCol w:w="166"/>
        <w:gridCol w:w="146"/>
        <w:gridCol w:w="211"/>
        <w:gridCol w:w="78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components of contracts in progress at December 31, 2025 and 2024 are as follows:</w:t>
      </w:r>
    </w:p>
    <w:p>
      <w:pPr>
        <w:pStyle w:val="TextBody"/>
        <w:bidi w:val="0"/>
        <w:jc w:val="left"/>
        <w:rPr/>
      </w:pPr>
      <w:r>
        <w:rPr/>
        <w:t> </w:t>
      </w:r>
    </w:p>
    <w:tbl>
      <w:tblPr>
        <w:tblW w:w="8269" w:type="dxa"/>
        <w:jc w:val="left"/>
        <w:tblInd w:w="0" w:type="dxa"/>
        <w:tblLayout w:type="fixed"/>
        <w:tblCellMar>
          <w:top w:w="28" w:type="dxa"/>
          <w:left w:w="28" w:type="dxa"/>
          <w:bottom w:w="28" w:type="dxa"/>
          <w:right w:w="28" w:type="dxa"/>
        </w:tblCellMar>
      </w:tblPr>
      <w:tblGrid>
        <w:gridCol w:w="5296"/>
        <w:gridCol w:w="146"/>
        <w:gridCol w:w="211"/>
        <w:gridCol w:w="841"/>
        <w:gridCol w:w="166"/>
        <w:gridCol w:w="146"/>
        <w:gridCol w:w="211"/>
        <w:gridCol w:w="841"/>
        <w:gridCol w:w="4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earnings for 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 for 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 for 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revenues in excess of 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contract revenues in excess of 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in excess of costs and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earnings for contracts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billings in excess of 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and 2024, costs to fulfill contracts with customers recognized as other current assets were $8.6 million and $10.3 million, respectively. At December 31, 2025 and 2024, costs to fulfill contracts with customers recognized as other noncurrent assets were $2.4 million and $7.6 million, respectively. These costs relate to pre-contract and pre-construction activities. During the years ended December 31, 2025 and 2024 the company amortized pre-contract and pre-construction costs of $17.5 million and $21.9 million, respectively. The Company recognized $25.8 million in revenues during the year ended December 31, 2025 that was recorded as billings in excess of contract revenues as of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largest domestic customer is the U.S. Army Corps of Engineers (the “Corps”), which has responsibility for federally funded projects related to navigation and flood control of U.S. waterways. In 2025, 2024 and 2023, 48%, 57% and 75%, respectively, of contract revenues were earned from contracts with federal government agencies, including the Corps, as well as other federal entities such as the U.S. Coast Guard and U.S. Navy. At December 31, 2025 and 2024, approximately 12% and 19%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derived revenues and gross loss from foreign project operations for the years ended December 31, 2025, 2024, and 2023, as follows:</w:t>
        <w:br/>
        <w:t> </w:t>
      </w:r>
    </w:p>
    <w:tbl>
      <w:tblPr>
        <w:tblW w:w="5612" w:type="dxa"/>
        <w:jc w:val="left"/>
        <w:tblInd w:w="0" w:type="dxa"/>
        <w:tblLayout w:type="fixed"/>
        <w:tblCellMar>
          <w:top w:w="28" w:type="dxa"/>
          <w:left w:w="28" w:type="dxa"/>
          <w:bottom w:w="28" w:type="dxa"/>
          <w:right w:w="28" w:type="dxa"/>
        </w:tblCellMar>
      </w:tblPr>
      <w:tblGrid>
        <w:gridCol w:w="2251"/>
        <w:gridCol w:w="211"/>
        <w:gridCol w:w="631"/>
        <w:gridCol w:w="166"/>
        <w:gridCol w:w="146"/>
        <w:gridCol w:w="211"/>
        <w:gridCol w:w="631"/>
        <w:gridCol w:w="166"/>
        <w:gridCol w:w="146"/>
        <w:gridCol w:w="211"/>
        <w:gridCol w:w="631"/>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2023,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2024 and 2023, long-lived assets located outside of the U.S had no net book value. Currently our assets outside of the U.S. do not include dredges. Revenue from foreign projects has been concentrated in the Middle East which comprised less than 1% of total contract revenues in 2025, 2024 and 2023. At December 31, 2025, there were no accounts receivable due on contracts in the Middle East.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RETIREMENT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two 401(k) savings plans, one covering substantially all non-union salaried employees (“Salaried Plan”), a second covering its hourly employees (“Hourly Plan”). Under the Salaried Plan and the Hourly Plan, individual employees may contribute a percentage of compensation and the Company will match a portion of the employees’ contributions. The Salaried Plan also includes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2025, 2024 and 2023, was $7.1 million, $6.1 million and $4.8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contributes to various multiemployer pension plans pursuant to collective bargaining agreements. In 2025, 2024 and 2023, the Company contributed $7.5 million, $5.3 million and $5.2 million respectively to all of the multiemployer plans that provide pension benefits.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pStyle w:val="TextBody"/>
        <w:bidi w:val="0"/>
        <w:spacing w:before="18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Commercial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and bid bonds are customarily required for dredging and marine construction projects. The Company has bonding agreements with Argonaut Insurance Company, Liberty Mutual Insurance Company and Philadelphia Indemnity Insurance Company, (collectively, the “Sureties”) under which the Company can obtain performance, bid and payment bonds. The Company also currently has outstanding bonds with ACE Holdings, Travelers Casualty and Surety Company of America, Berkley Insurance Company and Zurich American Insurance Company. Bid bonds are generally obtained for a percentage of bid value and amounts outstanding typically range from $1.0 million to $10.0 million. At December 31, 2025, the Company had outstanding performance bonds with a notional amount of approximately $1.3 billion. The revenue value remaining in backlog related to the projects totaled approximately $554.4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Legal proceedings and other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ABL Credit Agreement, or, in certain instances, cross default to other equipment leases and certain lease arrangements require that the Company maintain certain financial ratios comparable to those required by its ABL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 </w:t>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13. 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segment information based on the management approach which designates the internal reporting used by the Chief Operating Decision Maker (“CODM”), which is the Company’s Chief Executive Officer, for making decisions and assessing performance as the source of the Company’s reportable segments. The Company has determined it has one reportable segment: dredging.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the Company operates in one reportable segment, the CODM is provided financial reports which include (i) a consolidated statement of operations, (ii) plant expenses (as defined below), (iii) a summary of contract revenues by work type and backlog by customer type, (iv) a consolidated balance sheet and (v) a contract analysis of revenues and margins by project. These financial reports assist the CODM in assessing the Company’s financial performance and in allocating resources appropriately.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dredging segment provides dredging services, which generally involves the enhancement or preservation of the navigability of waterways or the protection of shorelines through the removal or replenishment of soil, sand or rock. The Company derives its revenue primarily in the United States and manages its business activities on a consolidated basis. The accounting policies of the dredging segment are the same as those described in the summary of significant accounting policies. The measure of segment assets is reported on the consolidated balance sheet as total consolidated assets. The CODM uses net income and Adjusted EBITDA to evaluate income generated from segment assets in deciding whether to reinvest profits into the operating segment or into other parts of the entity. Net income and Adjusted EBITDA are used to monitor budgeted versus actual results and to assess performance of the segment. </w:t>
      </w:r>
    </w:p>
    <w:p>
      <w:pPr>
        <w:pStyle w:val="TextBody"/>
        <w:bidi w:val="0"/>
        <w:spacing w:before="240" w:after="283"/>
        <w:jc w:val="left"/>
        <w:rPr>
          <w:rFonts w:ascii="Times New Roman" w:hAnsi="Times New Roman"/>
          <w:color w:val="000000"/>
          <w:sz w:val="20"/>
        </w:rPr>
      </w:pPr>
      <w:bookmarkStart w:id="37" w:name="reportable_segment"/>
      <w:bookmarkEnd w:id="37"/>
      <w:r>
        <w:rPr>
          <w:rFonts w:ascii="Times New Roman" w:hAnsi="Times New Roman"/>
          <w:color w:val="000000"/>
          <w:sz w:val="20"/>
        </w:rPr>
        <w:t xml:space="preserve">Net income from the Company’s reportable segment is as follows: </w:t>
      </w:r>
    </w:p>
    <w:tbl>
      <w:tblPr>
        <w:tblW w:w="7164" w:type="dxa"/>
        <w:jc w:val="left"/>
        <w:tblInd w:w="0" w:type="dxa"/>
        <w:tblLayout w:type="fixed"/>
        <w:tblCellMar>
          <w:top w:w="28" w:type="dxa"/>
          <w:left w:w="28" w:type="dxa"/>
          <w:bottom w:w="28" w:type="dxa"/>
          <w:right w:w="28" w:type="dxa"/>
        </w:tblCellMar>
      </w:tblPr>
      <w:tblGrid>
        <w:gridCol w:w="4311"/>
        <w:gridCol w:w="146"/>
        <w:gridCol w:w="211"/>
        <w:gridCol w:w="781"/>
        <w:gridCol w:w="166"/>
        <w:gridCol w:w="146"/>
        <w:gridCol w:w="211"/>
        <w:gridCol w:w="781"/>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contract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expenses excluding depreciation expense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br/>
        <w:t>* Consists of indirect expenses that are allocated to contracts, including, but not limited to: maintenance, supplies, wear and insurance.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700" w:type="dxa"/>
        <w:jc w:val="left"/>
        <w:tblInd w:w="0" w:type="dxa"/>
        <w:tblLayout w:type="fixed"/>
        <w:tblCellMar>
          <w:top w:w="28" w:type="dxa"/>
          <w:left w:w="28" w:type="dxa"/>
          <w:bottom w:w="28" w:type="dxa"/>
          <w:right w:w="28" w:type="dxa"/>
        </w:tblCellMar>
      </w:tblPr>
      <w:tblGrid>
        <w:gridCol w:w="4716"/>
        <w:gridCol w:w="146"/>
        <w:gridCol w:w="222"/>
        <w:gridCol w:w="604"/>
        <w:gridCol w:w="146"/>
        <w:gridCol w:w="146"/>
        <w:gridCol w:w="211"/>
        <w:gridCol w:w="631"/>
        <w:gridCol w:w="166"/>
        <w:gridCol w:w="146"/>
        <w:gridCol w:w="300"/>
        <w:gridCol w:w="601"/>
        <w:gridCol w:w="146"/>
        <w:gridCol w:w="146"/>
        <w:gridCol w:w="211"/>
        <w:gridCol w:w="571"/>
        <w:gridCol w:w="59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1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 Lakes Dredge &amp; Dock Corporation</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bookmarkStart w:id="38" w:name="schedule_ii"/>
            <w:bookmarkEnd w:id="38"/>
            <w:r>
              <w:rPr>
                <w:rFonts w:ascii="Times New Roman" w:hAnsi="Times New Roman"/>
                <w:color w:val="000000"/>
                <w:sz w:val="20"/>
              </w:rPr>
              <w:t>Schedule II—Valuation and Qualifying Accounts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Years Ended December 31, 2025, 2024 and 2023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0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Ending </w:t>
              <w:br/>
              <w:t>balance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Allowances deducted from assets to which they apply: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Allowances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Allowances deducted from assets to which they apply: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Allowances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Allowances deducted from assets to which they apply: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Allowances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i_exhibit_index"/>
      <w:bookmarkEnd w:id="39"/>
      <w:r>
        <w:rPr>
          <w:rFonts w:ascii="Times New Roman" w:hAnsi="Times New Roman"/>
          <w:b/>
          <w:color w:val="000000"/>
          <w:sz w:val="20"/>
        </w:rPr>
        <w:t>I. EXHIBIT I</w:t>
      </w:r>
      <w:bookmarkStart w:id="40" w:name="exhibit_index"/>
      <w:bookmarkEnd w:id="40"/>
      <w:r>
        <w:rPr>
          <w:rFonts w:ascii="Times New Roman" w:hAnsi="Times New Roman"/>
          <w:b/>
          <w:color w:val="000000"/>
          <w:sz w:val="20"/>
        </w:rPr>
        <w:t>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Agreement and Plan of Merger dated as of December 22, 2003, among Great Lakes Dredge &amp; Dock Corporation, GLDD Acquisitions Corp., GLDD Merger Sub, Inc. and Vectura Holding Company LLC. (Incorporated by reference to Great Lakes Dredge &amp; Dock Corporation’s Current Report on Form 8-K filed with the Commission on January 6, 2004).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Agreement and Plan of Merger by and among GLDD Acquisitions Corp., Aldabra Acquisition Corporation, and certain shareholders of Aldabra Acquisition Corporation and GLDD Acquisitions Corp., dated as of June 20, 2006. (Incorporated by reference to Great Lakes Dredge &amp; Dock Corporation’s Current Report on Form 8-K filed with the Commission on June 22, 2006).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jc w:val="left"/>
              <w:rPr/>
            </w:pPr>
            <w:hyperlink r:id="rId8">
              <w:r>
                <w:rPr>
                  <w:rStyle w:val="InternetLink"/>
                  <w:rFonts w:ascii="Times New Roman" w:hAnsi="Times New Roman"/>
                  <w:color w:val="0000FF"/>
                  <w:sz w:val="20"/>
                  <w:u w:val="single"/>
                </w:rPr>
                <w:t>2.3</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jc w:val="left"/>
              <w:rPr/>
            </w:pPr>
            <w:hyperlink r:id="rId9">
              <w:r>
                <w:rPr>
                  <w:rStyle w:val="InternetLink"/>
                  <w:rFonts w:ascii="Times New Roman" w:hAnsi="Times New Roman"/>
                  <w:color w:val="0000FF"/>
                  <w:sz w:val="20"/>
                  <w:u w:val="single"/>
                </w:rPr>
                <w:t>Agreement and Plan of Merger, dated as of February 10, 2026, by and among Great Lakes Dredge &amp; Dock Corporation, Saltchuk Resources, Inc. and Huron MergeCo., Inc. (Incorporated by reference to Great Lakes Dredge &amp; Dock Corporation’s Current Report on Form 8-K filed with the Commission on February 11, 2026).</w:t>
              </w:r>
            </w:hyperlink>
          </w:p>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Second Amended and Restated Certificate of Incorporation of Great Lakes Dredge &amp; Dock Corporation, effective May 9, 2024. (Incorporated by reference to Great Lakes Dredge &amp; Dock Corporation’s Quarterly Report on Form 10-Q filed with the Commission on August 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Second Amended and Restated Bylaws of Great Lakes Dredge &amp; Dock Corporation, dated as of January 12, 2023. (Incorporated by reference to Great Lakes Dredge &amp; Dock Corporation’s Current Report on Form 8-K filed with the Commission on January 19,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3.3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Ownership and Merger of Great Lakes Dredge &amp; Dock Corporation with and into Great Lakes Dredge &amp; Dock Holdings Corp. (Incorporated by reference to Great Lakes Dredge &amp; Dock Corporation’s Current Report on Form 8-K filed with the Commission on December 29, 2006).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4.1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Description of Great Lakes Dredge &amp; Dock Corporation Securities Registered Pursuant to Section 12 of the Exchange Act.</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4.2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Specimen Common Stock Certificate for Great Lakes Dredge &amp; Dock Corporation. (Incorporated by reference to Great Lakes Dredge &amp; Dock Corporation’s Annual Report on Form 10-K filed with the Commission on March 22, 2007)</w:t>
              </w:r>
            </w:hyperlink>
            <w:r>
              <w:rPr>
                <w:rFonts w:ascii="Times New Roman" w:hAnsi="Times New Roman"/>
                <w:color w:val="000000"/>
                <w:sz w:val="20"/>
              </w:rPr>
              <w:t>.</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4.3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Indenture, dated May 25, 2021, among Great Lakes Dredge &amp; Dock Corporation, as Issuer, the guarantors party thereto, and Wells Fargo Bank, National Association, as Trustee, relating to the 2029 Notes (Incorporated by reference to Great Lakes Dredge &amp; Dock Corporation’s Quarterly Report on Form 10-Q filed with the Commission on August 3,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4.4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jc w:val="left"/>
              <w:rPr/>
            </w:pPr>
            <w:hyperlink r:id="rId23">
              <w:r>
                <w:rPr>
                  <w:rStyle w:val="InternetLink"/>
                  <w:rFonts w:ascii="Times New Roman" w:hAnsi="Times New Roman"/>
                  <w:color w:val="0000FF"/>
                  <w:sz w:val="20"/>
                  <w:u w:val="single"/>
                </w:rPr>
                <w:t>Form of 2029 Notes. (Incorporated by reference to Great Lakes Dredge &amp; Dock Corporation’s Quarterly Report on Form 10-Q filed with the Commission on August 3, 2021).</w:t>
              </w:r>
            </w:hyperlink>
          </w:p>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10.1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Employment Agreement between Great Lakes Dredge &amp; Dock Corporation and Lasse Petterson, dated as of April 28, 2017. (Incorporated by reference to Great Lakes Dredge &amp; Dock Corporation’s Current Report on Form 8-K filed with the Commission on May 1, 2017).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10.2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Employment Agreement between Great Lakes Dredge &amp; Dock Corporation and Scott Kornblau, dated as of September 29, 2021. (Incorporated by reference to Great Lakes Dredge &amp; Dock Corporation’s Current Report on Form 8-K filed with the Commission on October 4, 2021).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10.3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Agreement between Great Lakes Dredge &amp; Dock Corporation and Vivienne Schiffer, dated as of December 7, 2020. (Incorporated by reference to Great Lakes Dredge &amp; Dock Corporation’s Annual Report on Form 10-K filed with the Commission on February 23, 2022).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10.4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Employment Agreement between Great Lakes Dredge &amp; Dock Corporation and Eleni Beyko, dated as of January 8, 2021. (Incorporated by reference to Great Lakes Dredge &amp; Dock Corporation’s Annual Report on Form 10-K filed with the Commission on February 16, 2024).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10.5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jc w:val="left"/>
              <w:rPr/>
            </w:pPr>
            <w:hyperlink r:id="rId33">
              <w:r>
                <w:rPr>
                  <w:rStyle w:val="InternetLink"/>
                  <w:rFonts w:ascii="Times New Roman" w:hAnsi="Times New Roman"/>
                  <w:color w:val="0000FF"/>
                  <w:sz w:val="20"/>
                  <w:u w:val="single"/>
                </w:rPr>
                <w:t>Second Amended and Restated Great Lakes Dredge &amp; Dock Company, LLC Annual Bonus Plan effective as of January 1, 2012. (Incorporated by reference to Great Lakes Dredge &amp; Dock Corporation’s Current Report on Form 8-K filed with the Commission on January 17, 2012). </w:t>
              </w:r>
            </w:hyperlink>
          </w:p>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10.6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401 (k) Savings Plan. (Incorporated by reference to Great Lakes Dredge &amp; Dock Corporation’s Annual Report on Form 10-K filed with the Commission on March 30, 2005).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10.7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Amended and Restated Great Lakes Dredge &amp; Dock Corporation Supplemental Savings Plan effective January 1, 2014. (Incorporated by reference to Great Lakes Dredge &amp; Dock Corporation’s Annual Report on Form 10-K filed with the Commission on March 11, 2014).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10.8</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Great Lakes Dredge &amp; Dock Corporation Director Deferral Plan, adopted on November 8, 2017. (Incorporated by reference to Great Lakes Dredge &amp; Dock Corporation’s Annual Report on Form 10-K filed with the Commission on February 28, 2018).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10.9</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Investor Rights Agreement among Aldabra Acquisition Corporation, Great Lakes Dredge &amp; Dock Holdings Corp., Madison Dearborn Capital Partners IV, L.P., certain stockholders of Aldabra Acquisition Corporation and certain stockholders of GLDD Acquisitions Corp. (Incorporated by reference to Great Lakes Dredge &amp; Dock Holding Corp.’s Registration Statement on Form S-4 filed with the Commission on August 24, 2006).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10.10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Great Lakes Dredge &amp; Dock Corporation 2017 Long-Term Incentive Plan. (Incorporated by reference to Great Lakes Dredge &amp; Dock Corporation’s Current Report on Form 8-K filed with the Commission on May 17, 2017).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10.11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Great Lakes Dredge &amp; Dock Corporation 2021 Long-Term Incentive Plan, as amended. (Incorporated by reference to Great Lakes Dredge &amp; Dock Corporation’s Current Report on Form 8-K filed with the Commission on May 12, 2025).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10.12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Great Lakes Dredge &amp; Dock Corporation Restricted Stock Unit Award Agreement pursuant to the Great Lakes Dredge &amp; Dock Corporation 2017 Long-Term Incentive Plan. (Incorporated by reference to Great Lakes Dredge &amp; Dock Corporation’s Quarterly Report on Form 10-Q filed with the Commission on May 4, 2018).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10.13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Form of Great Lakes Dredge &amp; Dock Corporation Performance-Based Restricted Stock Unit Award Agreement (Three Year Form) pursuant to the Great Lakes Dredge &amp; Dock Corporation 2017 Long-Term Incentive Plan. (Incorporated by reference to Great Lakes Dredge &amp; Dock Corporation’s Quarterly Report on Form 10-Q filed with the Commission on May 4, 2018).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10.14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Restricted Stock Unit Award Notice pursuant to the Great Lakes Dredge &amp; Dock Corporation 2017 Long-Term Incentive Plan. (Incorporated by reference to Great Lakes Dredge &amp; Dock Corporation’s Quarterly Report on Form 10-Q filed with the Commission on May 3, 2019).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10.15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Performance-Based Restricted Stock Unit Award Notice pursuant to the Great Lakes Dredge &amp; Dock Corporation 2017 Long-Term Incentive Plan. (Incorporated by reference to Great Lakes Dredge &amp; Dock Corporation’s Quarterly Report on Form 10-Q filed with the Commission on May 3, 2019).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10.16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Purchase Agreement, dated May 12, 2021, by and among the Company, certain subsidiary guarantors named therein and BofA Securities, Inc., as representative of the initial purchasers named therein. (Incorporated by reference to Great Lakes Dredge &amp; Dock Corporation’s Current Report on Form 8-K filed with the Commission on May 18,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10.17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Second Amended and Restated Revolving Credit and Security Agreement dated as of July 29, 2022 by and among Great Lakes Dredge &amp; Dock Corporation, as Borrower, each other Credit Party party hereto from time to time, the financial institutions which are now or which hereafter become a party hereto as lenders, PNC Bank, National Association, as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(Incorporated by reference to Great Lakes Dredge &amp; Dock Corporation’s Current Report on Form 8-K filed with the Commission on August 1, 2022)</w:t>
              </w:r>
            </w:hyperlink>
            <w:r>
              <w:rPr>
                <w:rFonts w:ascii="Times New Roman" w:hAnsi="Times New Roman"/>
                <w:color w:val="000000"/>
                <w:sz w:val="20"/>
              </w:rPr>
              <w:t>.</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10.18</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Vessel Construction Agreement, dated June 5, 2020 by and between Conrad Shipyard, L.L.C., and Great Lakes Dredge &amp; Dock Company, LLC. (Incorporated by reference to Great Lakes Dredge &amp; Dock Corporation’s Quarterly Report on Form 10-Q filed with the Commission on August 4, 2020). (1)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10.19</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Vessel Construction Agreement, dated November 15, 2021 by and between Philly Shipyard Inc., and Great Lakes Dredge &amp; Dock Company, LLC. (Incorporated by reference to Great Lakes Dredge &amp; Dock Corporation’s Annual Report on Form 10-K filed with the Commission on February 23, 2022). (1)</w:t>
              </w:r>
            </w:hyperlink>
            <w:hyperlink r:id="rId62">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5"/>
        <w:gridCol w:w="146"/>
        <w:gridCol w:w="9234"/>
      </w:tblGrid>
      <w:tr>
        <w:trPr/>
        <w:tc>
          <w:tcPr>
            <w:tcW w:w="8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34" w:type="dxa"/>
            <w:tcBorders/>
            <w:shd w:fill="FFFFFF" w:val="clear"/>
            <w:vAlign w:val="center"/>
          </w:tcPr>
          <w:p>
            <w:pPr>
              <w:pStyle w:val="TableContents"/>
              <w:bidi w:val="0"/>
              <w:spacing w:before="0" w:after="283"/>
              <w:jc w:val="left"/>
              <w:rPr>
                <w:sz w:val="4"/>
                <w:szCs w:val="4"/>
              </w:rPr>
            </w:pPr>
            <w:r>
              <w:rPr>
                <w:sz w:val="4"/>
                <w:szCs w:val="4"/>
              </w:rPr>
            </w:r>
          </w:p>
        </w:tc>
      </w:tr>
      <w:tr>
        <w:trPr/>
        <w:tc>
          <w:tcPr>
            <w:tcW w:w="8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10.20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Consulting Agreement, dated December 1, 2022, between Great Lakes Dredge &amp; Dock Company, LLC and David E. Simonelli. (Incorporated by reference to Great Lakes Dredge &amp; Dock Corporation’s Quarterly Report on Form 10-Q filed with the Commission on May 2, 2023).</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10.21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Amendment No. 1 to Second Amended and Restated Revolving Credit and Security Agreement, dated April 24, 2024. (Incorporated by reference to Great Lakes Dredge &amp; Dock Corporation’s Current Report on Form 8-K filed with the Commission on April 25, 2024).</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jc w:val="left"/>
              <w:rPr/>
            </w:pPr>
            <w:hyperlink r:id="rId67">
              <w:r>
                <w:rPr>
                  <w:rStyle w:val="InternetLink"/>
                  <w:rFonts w:ascii="Times New Roman" w:hAnsi="Times New Roman"/>
                  <w:color w:val="0000FF"/>
                  <w:sz w:val="20"/>
                  <w:u w:val="single"/>
                </w:rPr>
                <w:t>10.22</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Amendment No. 2 to Second Amended and Restated Revolving Credit and Security Agreement, dated May 2, 2025. (Incorporated by reference to Great Lakes Dredge &amp; Dock Corporation’s Quarterly Report on Form 10-Q filed with the Commission on August 5, 2025).</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jc w:val="left"/>
              <w:rPr/>
            </w:pPr>
            <w:hyperlink r:id="rId69">
              <w:r>
                <w:rPr>
                  <w:rStyle w:val="InternetLink"/>
                  <w:rFonts w:ascii="Times New Roman" w:hAnsi="Times New Roman"/>
                  <w:color w:val="0000FF"/>
                  <w:sz w:val="20"/>
                  <w:u w:val="single"/>
                </w:rPr>
                <w:t>10.23</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Amendment No. 3 to Second Amended and Restated Revolving Credit and Security Agreement, dated October 24, 2025 (Incorporated by reference to Great Lakes Dredge &amp; Dock Corporation’s Current Report on Form 8-K filed with the Commission on October 27, 2025).</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jc w:val="left"/>
              <w:rPr/>
            </w:pPr>
            <w:hyperlink r:id="rId71">
              <w:r>
                <w:rPr>
                  <w:rStyle w:val="InternetLink"/>
                  <w:rFonts w:ascii="Times New Roman" w:hAnsi="Times New Roman"/>
                  <w:color w:val="0000FF"/>
                  <w:sz w:val="20"/>
                  <w:u w:val="single"/>
                </w:rPr>
                <w:t>10.24</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Form of Transaction Bonus Agreement. (Incorporated by reference to Great Lakes Dredge &amp; Dock Corporation’s Current Report on Form 8-K filed with the Commission on February 11, 2026).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jc w:val="left"/>
              <w:rPr/>
            </w:pPr>
            <w:hyperlink r:id="rId73">
              <w:r>
                <w:rPr>
                  <w:rStyle w:val="InternetLink"/>
                  <w:rFonts w:ascii="Times New Roman" w:hAnsi="Times New Roman"/>
                  <w:color w:val="0000FF"/>
                  <w:sz w:val="20"/>
                  <w:u w:val="single"/>
                </w:rPr>
                <w:t>10.25</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Great Lakes Dredge &amp; Dock Company, LLC Severance Pay Plan. (Incorporated by reference to Great Lakes Dredge &amp; Dock Corporation’s Current Report on Form 8-K filed with the Commission on February 11, 2026).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jc w:val="left"/>
              <w:rPr/>
            </w:pPr>
            <w:hyperlink r:id="rId75">
              <w:r>
                <w:rPr>
                  <w:rStyle w:val="InternetLink"/>
                  <w:rFonts w:ascii="Times New Roman" w:hAnsi="Times New Roman"/>
                  <w:color w:val="0000FF"/>
                  <w:sz w:val="20"/>
                  <w:u w:val="single"/>
                </w:rPr>
                <w:t>10.26</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Letter Agreement, dated as of February 10, 2026, by and among Great Lakes Dredge &amp; Dock Corporation, Saltchuk Resources, Inc. and Lasse Petterson. (Incorporated by reference to Great Lakes Dredge &amp; Dock Corporation’s Current Report on Form 8-K filed with the Commission on February 11, 2026).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jc w:val="left"/>
              <w:rPr/>
            </w:pPr>
            <w:hyperlink r:id="rId77">
              <w:r>
                <w:rPr>
                  <w:rStyle w:val="InternetLink"/>
                  <w:rFonts w:ascii="Times New Roman" w:hAnsi="Times New Roman"/>
                  <w:color w:val="0000FF"/>
                  <w:sz w:val="20"/>
                  <w:u w:val="single"/>
                </w:rPr>
                <w:t>10.27</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Letter Agreement, dated as of February 10, 2026, by and among Great Lakes Dredge &amp; Dock Corporation, Saltchuk Resources, Inc. and Scott Kornblau. (Incorporated by reference to Great Lakes Dredge &amp; Dock Corporation’s Current Report on Form 8-K filed with the Commission on February 11, 2026).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jc w:val="left"/>
              <w:rPr/>
            </w:pPr>
            <w:hyperlink r:id="rId79">
              <w:r>
                <w:rPr>
                  <w:rStyle w:val="InternetLink"/>
                  <w:rFonts w:ascii="Times New Roman" w:hAnsi="Times New Roman"/>
                  <w:color w:val="0000FF"/>
                  <w:sz w:val="20"/>
                  <w:u w:val="single"/>
                </w:rPr>
                <w:t>10.28</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Letter Agreement, dated as of February 10, 2026, by and among Great Lakes Dredge &amp; Dock Corporation, Saltchuk Resources, Inc. and Vivienne R. Schiffer. (Incorporated by reference to Great Lakes Dredge &amp; Dock Corporation’s Current Report on Form 8-K filed with the Commission on February 11, 2026).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19.htm">
              <w:r>
                <w:rPr>
                  <w:rStyle w:val="InternetLink"/>
                  <w:rFonts w:ascii="Times New Roman" w:hAnsi="Times New Roman"/>
                  <w:color w:val="0000FF"/>
                  <w:sz w:val="20"/>
                  <w:u w:val="single"/>
                </w:rPr>
                <w:t>19</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19.htm">
              <w:r>
                <w:rPr>
                  <w:rStyle w:val="InternetLink"/>
                  <w:rFonts w:ascii="Times New Roman" w:hAnsi="Times New Roman"/>
                  <w:color w:val="0000FF"/>
                  <w:sz w:val="20"/>
                  <w:u w:val="single"/>
                </w:rPr>
                <w:t>Great Lakes Dredge &amp; Dock Corporation Insider Trading Policy.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21.htm">
              <w:r>
                <w:rPr>
                  <w:rStyle w:val="InternetLink"/>
                  <w:rFonts w:ascii="Times New Roman" w:hAnsi="Times New Roman"/>
                  <w:color w:val="0000FF"/>
                  <w:sz w:val="20"/>
                  <w:u w:val="single"/>
                </w:rPr>
                <w:t>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21.htm">
              <w:r>
                <w:rPr>
                  <w:rStyle w:val="InternetLink"/>
                  <w:rFonts w:ascii="Times New Roman" w:hAnsi="Times New Roman"/>
                  <w:color w:val="0000FF"/>
                  <w:sz w:val="20"/>
                  <w:u w:val="single"/>
                </w:rPr>
                <w:t>Subsidiaries of Great Lakes Dredge &amp; Dock Corporation.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hyperlink w:anchor="gldd-ex23_1.htm">
              <w:r>
                <w:rPr>
                  <w:rStyle w:val="InternetLink"/>
                  <w:rFonts w:ascii="Times New Roman" w:hAnsi="Times New Roman"/>
                  <w:color w:val="0000FF"/>
                  <w:sz w:val="20"/>
                  <w:u w:val="single"/>
                </w:rPr>
                <w:t>23.1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23_1.htm">
              <w:r>
                <w:rPr>
                  <w:rStyle w:val="InternetLink"/>
                  <w:rFonts w:ascii="Times New Roman" w:hAnsi="Times New Roman"/>
                  <w:color w:val="0000FF"/>
                  <w:sz w:val="20"/>
                  <w:u w:val="single"/>
                </w:rPr>
                <w:t>Consent of Deloitte &amp; Touche LLP.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1.htm">
              <w:r>
                <w:rPr>
                  <w:rStyle w:val="InternetLink"/>
                  <w:rFonts w:ascii="Times New Roman" w:hAnsi="Times New Roman"/>
                  <w:color w:val="0000FF"/>
                  <w:sz w:val="20"/>
                  <w:u w:val="single"/>
                </w:rPr>
                <w:t>31.1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1.htm">
              <w:r>
                <w:rPr>
                  <w:rStyle w:val="InternetLink"/>
                  <w:rFonts w:ascii="Times New Roman" w:hAnsi="Times New Roman"/>
                  <w:color w:val="0000FF"/>
                  <w:sz w:val="20"/>
                  <w:u w:val="single"/>
                </w:rPr>
                <w:t>Certification Pursuant to Rules 13a-14 and 15d-14 under the Securities Exchange Act of 1934, as Adopted Pursuant to Section 302 of the Sarbanes-Oxley Act of 2002.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2.htm">
              <w:r>
                <w:rPr>
                  <w:rStyle w:val="InternetLink"/>
                  <w:rFonts w:ascii="Times New Roman" w:hAnsi="Times New Roman"/>
                  <w:color w:val="0000FF"/>
                  <w:sz w:val="20"/>
                  <w:u w:val="single"/>
                </w:rPr>
                <w:t>31.2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1_2.htm">
              <w:r>
                <w:rPr>
                  <w:rStyle w:val="InternetLink"/>
                  <w:rFonts w:ascii="Times New Roman" w:hAnsi="Times New Roman"/>
                  <w:color w:val="0000FF"/>
                  <w:sz w:val="20"/>
                  <w:u w:val="single"/>
                </w:rPr>
                <w:t>Certification Pursuant to Rules 13a-14 and 15d-14 under the Securities Exchange Act of 1934, as Adopted Pursuant to Section 302 of the Sarbanes-Oxley Act of 2002.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hyperlink w:anchor="gldd-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tcMar>
              <w:top w:w="0" w:type="dxa"/>
              <w:left w:w="0" w:type="dxa"/>
              <w:bottom w:w="0" w:type="dxa"/>
              <w:right w:w="0" w:type="dxa"/>
            </w:tcMar>
            <w:vAlign w:val="center"/>
          </w:tcPr>
          <w:p>
            <w:pPr>
              <w:pStyle w:val="TableContents"/>
              <w:bidi w:val="0"/>
              <w:spacing w:before="0" w:after="283"/>
              <w:jc w:val="left"/>
              <w:rPr/>
            </w:pPr>
            <w:hyperlink w:anchor="gldd-ex32_1.htm">
              <w:r>
                <w:rPr>
                  <w:rStyle w:val="InternetLink"/>
                  <w:rFonts w:ascii="Times New Roman" w:hAnsi="Times New Roman"/>
                  <w:color w:val="0000FF"/>
                  <w:sz w:val="20"/>
                  <w:u w:val="single"/>
                </w:rPr>
                <w:t>Certification Pursuant to 18 U.S.C. Section 1350, as Adopted Pursuant to Section 906 of the Sarbanes-Oxley Act of 2002.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2_2.htm">
              <w:r>
                <w:rPr>
                  <w:rStyle w:val="InternetLink"/>
                  <w:rFonts w:ascii="Times New Roman" w:hAnsi="Times New Roman"/>
                  <w:color w:val="0000FF"/>
                  <w:sz w:val="20"/>
                  <w:u w:val="single"/>
                </w:rPr>
                <w:t>32.2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dd-ex32_2.htm">
              <w:r>
                <w:rPr>
                  <w:rStyle w:val="InternetLink"/>
                  <w:rFonts w:ascii="Times New Roman" w:hAnsi="Times New Roman"/>
                  <w:color w:val="0000FF"/>
                  <w:sz w:val="20"/>
                  <w:u w:val="single"/>
                </w:rPr>
                <w:t>Certification Pursuant to 18 U.S.C. Section 1350, as Adopted Pursuant to Section 906 of the Sarbanes-Oxley Act of 2002. *</w:t>
              </w:r>
            </w:hyperlink>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1">
              <w:r>
                <w:rPr>
                  <w:rStyle w:val="InternetLink"/>
                  <w:rFonts w:ascii="Times New Roman" w:hAnsi="Times New Roman"/>
                  <w:color w:val="0000FF"/>
                  <w:sz w:val="20"/>
                  <w:u w:val="single"/>
                </w:rPr>
                <w:t>97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Great Lakes Dredge &amp; Dock Corporation Statement of Policy Regarding Incentive Compensation Recoupment. (Incorporated by reference to Great Lakes Dredge &amp; Dock Corporation’s Annual Report on Form 10-K filed with the Commission on February 16, 2024)</w:t>
              </w:r>
            </w:hyperlink>
            <w:r>
              <w:rPr>
                <w:rFonts w:ascii="Times New Roman" w:hAnsi="Times New Roman"/>
                <w:color w:val="000000"/>
                <w:sz w:val="20"/>
              </w:rPr>
              <w:t>.</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 *</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contained in Exhibit 101) *</w:t>
            </w:r>
          </w:p>
        </w:tc>
      </w:tr>
      <w:tr>
        <w:trPr/>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br/>
        <w:t>Portions of this exhibit have been omitted pursuant to Rule 601(b)(10) of Regulation S-K. The omitted information is not material and is the type of information that the Company treats as private and confidential.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Compensatory plan or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signatures"/>
      <w:bookmarkEnd w:id="4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47" w:type="dxa"/>
        <w:jc w:val="left"/>
        <w:tblInd w:w="0" w:type="dxa"/>
        <w:tblLayout w:type="fixed"/>
        <w:tblCellMar>
          <w:top w:w="28" w:type="dxa"/>
          <w:left w:w="28" w:type="dxa"/>
          <w:bottom w:w="28" w:type="dxa"/>
          <w:right w:w="28" w:type="dxa"/>
        </w:tblCellMar>
      </w:tblPr>
      <w:tblGrid>
        <w:gridCol w:w="161"/>
        <w:gridCol w:w="406"/>
        <w:gridCol w:w="109"/>
        <w:gridCol w:w="477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Corporation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Kornblau</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Kornblau</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Duly Authorized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23,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capabilities and on the dates indicated.</w:t>
      </w:r>
    </w:p>
    <w:p>
      <w:pPr>
        <w:pStyle w:val="TextBody"/>
        <w:bidi w:val="0"/>
        <w:jc w:val="left"/>
        <w:rPr/>
      </w:pPr>
      <w:r>
        <w:rPr/>
        <w:t> </w:t>
      </w:r>
    </w:p>
    <w:tbl>
      <w:tblPr>
        <w:tblW w:w="7968" w:type="dxa"/>
        <w:jc w:val="left"/>
        <w:tblInd w:w="0" w:type="dxa"/>
        <w:tblLayout w:type="fixed"/>
        <w:tblCellMar>
          <w:top w:w="28" w:type="dxa"/>
          <w:left w:w="28" w:type="dxa"/>
          <w:bottom w:w="28" w:type="dxa"/>
          <w:right w:w="28" w:type="dxa"/>
        </w:tblCellMar>
      </w:tblPr>
      <w:tblGrid>
        <w:gridCol w:w="2236"/>
        <w:gridCol w:w="1591"/>
        <w:gridCol w:w="4141"/>
      </w:tblGrid>
      <w:tr>
        <w:trPr/>
        <w:tc>
          <w:tcPr>
            <w:tcW w:w="223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Signature</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Date</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Lasse J. Petterson</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Lasse J. Petterson</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Kornblau</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Kornblau</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 Bayer</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Vice President and Chief Accounting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Ryan M. Bayer</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R. Dickerson</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 Director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Lawrence R. Dickerson</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Dana Armstrong</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Dana Armstrong</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Kathleen M. Shanahan</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Kathleen M. Shanahan</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Earl Shipp</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Earl Shipp</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Ronald R. Steger</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23, 2026</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Ronald R. Steger</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2" w:name="gldd-ex19.htm"/>
      <w:bookmarkStart w:id="43" w:name="ksglddex19"/>
      <w:bookmarkEnd w:id="42"/>
      <w:bookmarkEnd w:id="43"/>
      <w:r>
        <w:rPr>
          <w:rFonts w:ascii="Times New Roman" w:hAnsi="Times New Roman"/>
          <w:color w:val="000000"/>
          <w:sz w:val="24"/>
        </w:rPr>
        <w:t>Exhibit 19</w:t>
      </w:r>
      <w:r>
        <w:br w:type="page"/>
      </w:r>
    </w:p>
    <w:p>
      <w:pPr>
        <w:pStyle w:val="TextBody"/>
        <w:bidi w:val="0"/>
        <w:jc w:val="right"/>
        <w:rPr/>
      </w:pPr>
      <w:r>
        <w:rPr/>
        <w:t> </w:t>
      </w:r>
    </w:p>
    <w:tbl>
      <w:tblPr>
        <w:tblW w:w="5667" w:type="dxa"/>
        <w:jc w:val="left"/>
        <w:tblInd w:w="0" w:type="dxa"/>
        <w:tblLayout w:type="fixed"/>
        <w:tblCellMar>
          <w:top w:w="28" w:type="dxa"/>
          <w:left w:w="28" w:type="dxa"/>
          <w:bottom w:w="28" w:type="dxa"/>
          <w:right w:w="28" w:type="dxa"/>
        </w:tblCellMar>
      </w:tblPr>
      <w:tblGrid>
        <w:gridCol w:w="896"/>
        <w:gridCol w:w="4771"/>
      </w:tblGrid>
      <w:tr>
        <w:trPr/>
        <w:tc>
          <w:tcPr>
            <w:tcW w:w="89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89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5048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3"/>
                          <a:stretch>
                            <a:fillRect/>
                          </a:stretch>
                        </pic:blipFill>
                        <pic:spPr bwMode="auto">
                          <a:xfrm>
                            <a:off x="0" y="0"/>
                            <a:ext cx="504825" cy="504825"/>
                          </a:xfrm>
                          <a:prstGeom prst="rect">
                            <a:avLst/>
                          </a:prstGeom>
                        </pic:spPr>
                      </pic:pic>
                    </a:graphicData>
                  </a:graphic>
                </wp:inline>
              </w:drawing>
            </w:r>
          </w:p>
        </w:tc>
        <w:tc>
          <w:tcPr>
            <w:tcW w:w="4771" w:type="dxa"/>
            <w:tcBorders/>
            <w:tcMar>
              <w:top w:w="0" w:type="dxa"/>
              <w:left w:w="0" w:type="dxa"/>
              <w:bottom w:w="0" w:type="dxa"/>
              <w:right w:w="0" w:type="dxa"/>
            </w:tcMar>
            <w:vAlign w:val="center"/>
          </w:tcPr>
          <w:p>
            <w:pPr>
              <w:pStyle w:val="TableContents"/>
              <w:bidi w:val="0"/>
              <w:spacing w:before="78" w:after="283"/>
              <w:jc w:val="center"/>
              <w:rPr>
                <w:rFonts w:ascii="Times New Roman" w:hAnsi="Times New Roman"/>
                <w:smallCaps/>
                <w:color w:val="000000"/>
                <w:sz w:val="24"/>
              </w:rPr>
            </w:pPr>
            <w:r>
              <w:rPr>
                <w:rFonts w:ascii="Times New Roman" w:hAnsi="Times New Roman"/>
                <w:smallCaps/>
                <w:color w:val="000000"/>
                <w:sz w:val="24"/>
              </w:rPr>
              <w:t>Great Lakes Dredge &amp; Dock Corporation</w:t>
            </w:r>
          </w:p>
        </w:tc>
      </w:tr>
      <w:tr>
        <w:trPr/>
        <w:tc>
          <w:tcPr>
            <w:tcW w:w="896" w:type="dxa"/>
            <w:vMerge w:val="continue"/>
            <w:tcBorders/>
            <w:tcMar>
              <w:top w:w="0" w:type="dxa"/>
              <w:left w:w="0" w:type="dxa"/>
              <w:bottom w:w="0" w:type="dxa"/>
              <w:right w:w="0" w:type="dxa"/>
            </w:tcMar>
            <w:vAlign w:val="center"/>
          </w:tcPr>
          <w:p>
            <w:pPr>
              <w:pStyle w:val="Normal"/>
              <w:bidi w:val="0"/>
              <w:jc w:val="left"/>
              <w:rPr/>
            </w:pPr>
            <w:r>
              <w:rPr/>
            </w:r>
          </w:p>
        </w:tc>
        <w:tc>
          <w:tcPr>
            <w:tcW w:w="4771" w:type="dxa"/>
            <w:tcBorders/>
            <w:tcMar>
              <w:top w:w="0" w:type="dxa"/>
              <w:left w:w="0" w:type="dxa"/>
              <w:bottom w:w="0" w:type="dxa"/>
              <w:right w:w="0" w:type="dxa"/>
            </w:tcMar>
            <w:vAlign w:val="center"/>
          </w:tcPr>
          <w:p>
            <w:pPr>
              <w:pStyle w:val="Heading1"/>
              <w:bidi w:val="0"/>
              <w:spacing w:before="2" w:after="283"/>
              <w:jc w:val="center"/>
              <w:rPr>
                <w:rFonts w:ascii="Times New Roman" w:hAnsi="Times New Roman"/>
                <w:b w:val="false"/>
                <w:smallCaps/>
                <w:color w:val="000000"/>
                <w:sz w:val="36"/>
              </w:rPr>
            </w:pPr>
            <w:r>
              <w:rPr>
                <w:rFonts w:ascii="Times New Roman" w:hAnsi="Times New Roman"/>
                <w:b w:val="false"/>
                <w:smallCaps/>
                <w:color w:val="000000"/>
                <w:sz w:val="36"/>
              </w:rPr>
              <w:t>Policy and Procedures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0"/>
        <w:gridCol w:w="1016"/>
        <w:gridCol w:w="761"/>
        <w:gridCol w:w="2174"/>
        <w:gridCol w:w="2534"/>
        <w:gridCol w:w="2600"/>
      </w:tblGrid>
      <w:tr>
        <w:trPr/>
        <w:tc>
          <w:tcPr>
            <w:tcW w:w="1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8" w:space="0" w:color="000000"/>
              <w:left w:val="single" w:sz="18" w:space="0" w:color="000000"/>
              <w:bottom w:val="single" w:sz="6" w:space="0" w:color="000000"/>
              <w:right w:val="single" w:sz="18" w:space="0" w:color="000000"/>
            </w:tcBorders>
            <w:tcMar>
              <w:top w:w="29" w:type="dxa"/>
              <w:left w:w="144" w:type="dxa"/>
              <w:bottom w:w="58" w:type="dxa"/>
              <w:right w:w="144" w:type="dxa"/>
            </w:tcMar>
            <w:vAlign w:val="center"/>
          </w:tcPr>
          <w:p>
            <w:pPr>
              <w:pStyle w:val="TableContents"/>
              <w:bidi w:val="0"/>
              <w:spacing w:before="0" w:after="283"/>
              <w:jc w:val="center"/>
              <w:rPr>
                <w:rFonts w:ascii="Times New Roman" w:hAnsi="Times New Roman"/>
                <w:b/>
                <w:color w:val="000000"/>
                <w:sz w:val="32"/>
              </w:rPr>
            </w:pPr>
            <w:r>
              <w:rPr>
                <w:rFonts w:ascii="Times New Roman" w:hAnsi="Times New Roman"/>
                <w:b/>
                <w:color w:val="000000"/>
                <w:sz w:val="32"/>
              </w:rPr>
              <w:t>Securities Trading and Disclosure of Confidential Information</w:t>
            </w:r>
          </w:p>
        </w:tc>
      </w:tr>
      <w:tr>
        <w:trPr/>
        <w:tc>
          <w:tcPr>
            <w:tcW w:w="2897" w:type="dxa"/>
            <w:gridSpan w:val="3"/>
            <w:tcBorders>
              <w:left w:val="single" w:sz="18" w:space="0" w:color="000000"/>
              <w:bottom w:val="single" w:sz="6" w:space="0" w:color="000000"/>
              <w:right w:val="single" w:sz="6" w:space="0" w:color="000000"/>
            </w:tcBorders>
            <w:tcMar>
              <w:top w:w="0" w:type="dxa"/>
              <w:left w:w="144"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Applicable Company Segment:</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Corporate Policy (all divisions)</w:t>
            </w:r>
          </w:p>
        </w:tc>
        <w:tc>
          <w:tcPr>
            <w:tcW w:w="2174" w:type="dxa"/>
            <w:tcBorders>
              <w:bottom w:val="single" w:sz="6" w:space="0" w:color="000000"/>
              <w:right w:val="single" w:sz="6" w:space="0" w:color="000000"/>
            </w:tcBorders>
            <w:tcMar>
              <w:top w:w="0" w:type="dxa"/>
              <w:left w:w="0" w:type="dxa"/>
              <w:bottom w:w="58" w:type="dxa"/>
              <w:right w:w="144" w:type="dxa"/>
            </w:tcMar>
            <w:vAlign w:val="center"/>
          </w:tcPr>
          <w:p>
            <w:pPr>
              <w:pStyle w:val="TableContents"/>
              <w:bidi w:val="0"/>
              <w:jc w:val="right"/>
              <w:rPr>
                <w:rFonts w:ascii="Times New Roman" w:hAnsi="Times New Roman"/>
                <w:color w:val="000000"/>
                <w:sz w:val="12"/>
              </w:rPr>
            </w:pPr>
            <w:r>
              <w:rPr>
                <w:rFonts w:ascii="Times New Roman" w:hAnsi="Times New Roman"/>
                <w:color w:val="000000"/>
                <w:sz w:val="12"/>
              </w:rPr>
              <w:t>Revision Frequency:</w:t>
            </w:r>
          </w:p>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Annually</w:t>
            </w:r>
          </w:p>
        </w:tc>
        <w:tc>
          <w:tcPr>
            <w:tcW w:w="2534" w:type="dxa"/>
            <w:tcBorders>
              <w:bottom w:val="single" w:sz="6" w:space="0" w:color="000000"/>
              <w:right w:val="single" w:sz="6"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Revision Date:</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May 8, 2025</w:t>
            </w:r>
          </w:p>
        </w:tc>
        <w:tc>
          <w:tcPr>
            <w:tcW w:w="2600" w:type="dxa"/>
            <w:tcBorders>
              <w:bottom w:val="single" w:sz="6" w:space="0" w:color="000000"/>
              <w:right w:val="single" w:sz="18"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Page:</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Page 1 of 12</w:t>
            </w:r>
          </w:p>
        </w:tc>
      </w:tr>
      <w:tr>
        <w:trPr/>
        <w:tc>
          <w:tcPr>
            <w:tcW w:w="1120" w:type="dxa"/>
            <w:tcBorders>
              <w:left w:val="single" w:sz="18" w:space="0" w:color="000000"/>
              <w:bottom w:val="single" w:sz="18" w:space="0" w:color="000000"/>
              <w:right w:val="single" w:sz="6" w:space="0" w:color="000000"/>
            </w:tcBorders>
            <w:tcMar>
              <w:top w:w="0" w:type="dxa"/>
              <w:left w:w="144" w:type="dxa"/>
              <w:bottom w:w="58" w:type="dxa"/>
              <w:right w:w="144" w:type="dxa"/>
            </w:tcMar>
            <w:vAlign w:val="center"/>
          </w:tcPr>
          <w:p>
            <w:pPr>
              <w:pStyle w:val="TableContents"/>
              <w:bidi w:val="0"/>
              <w:spacing w:before="0" w:after="283"/>
              <w:jc w:val="left"/>
              <w:rPr/>
            </w:pPr>
            <w:r>
              <w:rPr/>
              <w:t> </w:t>
            </w:r>
          </w:p>
        </w:tc>
        <w:tc>
          <w:tcPr>
            <w:tcW w:w="1016" w:type="dxa"/>
            <w:tcBorders>
              <w:bottom w:val="single" w:sz="18" w:space="0" w:color="000000"/>
              <w:right w:val="single" w:sz="6" w:space="0" w:color="000000"/>
            </w:tcBorders>
            <w:tcMar>
              <w:top w:w="0" w:type="dxa"/>
              <w:left w:w="0" w:type="dxa"/>
              <w:bottom w:w="58" w:type="dxa"/>
              <w:right w:w="144" w:type="dxa"/>
            </w:tcMar>
            <w:vAlign w:val="center"/>
          </w:tcPr>
          <w:p>
            <w:pPr>
              <w:pStyle w:val="TableContents"/>
              <w:bidi w:val="0"/>
              <w:spacing w:before="0" w:after="283"/>
              <w:jc w:val="left"/>
              <w:rPr/>
            </w:pPr>
            <w:r>
              <w:rPr/>
              <w:t> </w:t>
            </w:r>
          </w:p>
        </w:tc>
        <w:tc>
          <w:tcPr>
            <w:tcW w:w="2935" w:type="dxa"/>
            <w:gridSpan w:val="2"/>
            <w:tcBorders>
              <w:bottom w:val="single" w:sz="18" w:space="0" w:color="000000"/>
              <w:right w:val="single" w:sz="6"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Policy Owner:</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Chief Compliance Officer</w:t>
            </w:r>
          </w:p>
        </w:tc>
        <w:tc>
          <w:tcPr>
            <w:tcW w:w="5134" w:type="dxa"/>
            <w:gridSpan w:val="2"/>
            <w:tcBorders>
              <w:bottom w:val="single" w:sz="18" w:space="0" w:color="000000"/>
              <w:right w:val="single" w:sz="18"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Approved By:</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Board of Directors</w:t>
            </w:r>
          </w:p>
        </w:tc>
      </w:tr>
    </w:tbl>
    <w:p>
      <w:pPr>
        <w:pStyle w:val="TextBody"/>
        <w:bidi w:val="0"/>
        <w:jc w:val="left"/>
        <w:rPr/>
      </w:pPr>
      <w:r>
        <w:rPr/>
        <w:t> </w:t>
      </w:r>
    </w:p>
    <w:p>
      <w:pPr>
        <w:pStyle w:val="TextBody"/>
        <w:bidi w:val="0"/>
        <w:spacing w:before="78" w:after="283"/>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0"/>
        <w:gridCol w:w="8575"/>
      </w:tblGrid>
      <w:tr>
        <w:trPr/>
        <w:tc>
          <w:tcPr>
            <w:tcW w:w="1630" w:type="dxa"/>
            <w:tcBorders/>
            <w:vAlign w:val="center"/>
          </w:tcPr>
          <w:p>
            <w:pPr>
              <w:pStyle w:val="TableContents"/>
              <w:bidi w:val="0"/>
              <w:spacing w:before="0" w:after="283"/>
              <w:jc w:val="left"/>
              <w:rPr>
                <w:sz w:val="4"/>
                <w:szCs w:val="4"/>
              </w:rPr>
            </w:pPr>
            <w:r>
              <w:rPr>
                <w:sz w:val="4"/>
                <w:szCs w:val="4"/>
              </w:rPr>
            </w:r>
          </w:p>
        </w:tc>
        <w:tc>
          <w:tcPr>
            <w:tcW w:w="8575" w:type="dxa"/>
            <w:tcBorders/>
            <w:vAlign w:val="center"/>
          </w:tcPr>
          <w:p>
            <w:pPr>
              <w:pStyle w:val="TableContents"/>
              <w:bidi w:val="0"/>
              <w:spacing w:before="0" w:after="283"/>
              <w:jc w:val="left"/>
              <w:rPr>
                <w:sz w:val="4"/>
                <w:szCs w:val="4"/>
              </w:rPr>
            </w:pPr>
            <w:r>
              <w:rPr>
                <w:sz w:val="4"/>
                <w:szCs w:val="4"/>
              </w:rPr>
            </w:r>
          </w:p>
        </w:tc>
      </w:tr>
      <w:tr>
        <w:trPr/>
        <w:tc>
          <w:tcPr>
            <w:tcW w:w="16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Purpose:</w:t>
            </w:r>
          </w:p>
        </w:tc>
        <w:tc>
          <w:tcPr>
            <w:tcW w:w="8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 explain the Company’s policies and procedures related to trading in Company securities and the disclosure of confidential information for key employees and directors of Great Lakes Dredge &amp; Dock Corporation and subsidiaries.</w:t>
            </w:r>
          </w:p>
        </w:tc>
      </w:tr>
      <w:tr>
        <w:trPr/>
        <w:tc>
          <w:tcPr>
            <w:tcW w:w="1630" w:type="dxa"/>
            <w:tcBorders/>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Policy:</w:t>
            </w:r>
          </w:p>
        </w:tc>
        <w:tc>
          <w:tcPr>
            <w:tcW w:w="85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2"/>
              </w:rPr>
            </w:pPr>
            <w:r>
              <w:rPr>
                <w:rFonts w:ascii="Times New Roman" w:hAnsi="Times New Roman"/>
                <w:i/>
                <w:color w:val="000000"/>
                <w:sz w:val="22"/>
              </w:rPr>
              <w:t>See Attached Document and Addenda</w:t>
            </w:r>
          </w:p>
        </w:tc>
      </w:tr>
      <w:tr>
        <w:trPr/>
        <w:tc>
          <w:tcPr>
            <w:tcW w:w="1630" w:type="dxa"/>
            <w:tcBorders/>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Scope:</w:t>
            </w:r>
          </w:p>
        </w:tc>
        <w:tc>
          <w:tcPr>
            <w:tcW w:w="857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This policy applies to all Senior Personnel. Senior Personnel means:</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a.</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All directors and executive officers of the Company.</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b.</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All directors and officers of the subsidiaries of the Company whom the Company may designate.</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c.</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All non-executive officers.</w:t>
            </w:r>
          </w:p>
          <w:p>
            <w:pPr>
              <w:pStyle w:val="TableContents"/>
              <w:bidi w:val="0"/>
              <w:spacing w:before="0" w:after="0"/>
              <w:jc w:val="left"/>
              <w:rPr>
                <w:rFonts w:ascii="Times New Roman" w:hAnsi="Times New Roman"/>
                <w:color w:val="000000"/>
                <w:sz w:val="22"/>
              </w:rPr>
            </w:pPr>
            <w:r>
              <w:rPr>
                <w:rFonts w:ascii="Times New Roman" w:hAnsi="Times New Roman"/>
                <w:color w:val="000000"/>
                <w:sz w:val="22"/>
              </w:rPr>
              <w:t>d.</w:t>
            </w:r>
          </w:p>
          <w:p>
            <w:pPr>
              <w:pStyle w:val="TableContents"/>
              <w:bidi w:val="0"/>
              <w:jc w:val="left"/>
              <w:rPr>
                <w:rFonts w:ascii="Times New Roman" w:hAnsi="Times New Roman"/>
                <w:color w:val="000000"/>
                <w:sz w:val="22"/>
              </w:rPr>
            </w:pPr>
            <w:r>
              <w:rPr>
                <w:rFonts w:ascii="Times New Roman" w:hAnsi="Times New Roman"/>
                <w:color w:val="000000"/>
                <w:sz w:val="22"/>
              </w:rPr>
              <w:t>Other persons whom the Company may designate.</w:t>
            </w:r>
          </w:p>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This policy also applies to Senior Personnel’s family members (including a person's spouse, parents, children, siblings, mothers and fathers-in-law, sons and daughters-in-law, brothers and sisters-in-law), anyone who lives in his/her household, and any person who does not live in his/her household but whose transactions in Company securities are directed by Senior Personnel or are subject to his/her influence or control (such as parents, children or friends who consult with Senior Personnel before they trade in Company securities). This policy also applies to other persons to the extent provided herein.</w:t>
            </w:r>
          </w:p>
        </w:tc>
      </w:tr>
      <w:tr>
        <w:trPr/>
        <w:tc>
          <w:tcPr>
            <w:tcW w:w="1630" w:type="dxa"/>
            <w:tcBorders/>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Responsibilities:</w:t>
            </w:r>
          </w:p>
        </w:tc>
        <w:tc>
          <w:tcPr>
            <w:tcW w:w="8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See Attached Document and Addenda</w:t>
            </w:r>
          </w:p>
        </w:tc>
      </w:tr>
      <w:tr>
        <w:trPr/>
        <w:tc>
          <w:tcPr>
            <w:tcW w:w="1630" w:type="dxa"/>
            <w:tcBorders/>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Definitions:</w:t>
            </w:r>
          </w:p>
        </w:tc>
        <w:tc>
          <w:tcPr>
            <w:tcW w:w="8575" w:type="dxa"/>
            <w:tcBorders/>
            <w:tcMar>
              <w:top w:w="0" w:type="dxa"/>
              <w:left w:w="0" w:type="dxa"/>
              <w:bottom w:w="0" w:type="dxa"/>
              <w:right w:w="0" w:type="dxa"/>
            </w:tcMar>
            <w:vAlign w:val="center"/>
          </w:tcPr>
          <w:p>
            <w:pPr>
              <w:pStyle w:val="TableContents"/>
              <w:bidi w:val="0"/>
              <w:jc w:val="both"/>
              <w:rPr>
                <w:rFonts w:ascii="Times New Roman" w:hAnsi="Times New Roman"/>
                <w:sz w:val="22"/>
              </w:rPr>
            </w:pPr>
            <w:r>
              <w:rPr>
                <w:rFonts w:ascii="Times New Roman" w:hAnsi="Times New Roman"/>
                <w:color w:val="000000"/>
                <w:sz w:val="22"/>
                <w:u w:val="single"/>
              </w:rPr>
              <w:t>Blackout Period</w:t>
            </w:r>
            <w:r>
              <w:rPr>
                <w:rFonts w:ascii="Times New Roman" w:hAnsi="Times New Roman"/>
                <w:color w:val="000000"/>
                <w:sz w:val="22"/>
              </w:rPr>
              <w:t>: Length of time where all transactions in Company securities are prohibited, except to the extent otherwise provided in this Policy Statement.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a.</w:t>
            </w:r>
          </w:p>
          <w:p>
            <w:pPr>
              <w:pStyle w:val="TableContents"/>
              <w:bidi w:val="0"/>
              <w:spacing w:before="0" w:after="0"/>
              <w:jc w:val="both"/>
              <w:rPr/>
            </w:pPr>
            <w:r>
              <w:rPr>
                <w:rFonts w:ascii="Times New Roman" w:hAnsi="Times New Roman"/>
                <w:color w:val="000000"/>
                <w:sz w:val="22"/>
                <w:u w:val="single"/>
              </w:rPr>
              <w:t>Event-Specific Blackout Period</w:t>
            </w:r>
            <w:r>
              <w:rPr>
                <w:rFonts w:ascii="Times New Roman" w:hAnsi="Times New Roman"/>
                <w:color w:val="000000"/>
                <w:sz w:val="22"/>
              </w:rPr>
              <w:t>: Results when an event occurs that is material to the Company and is known by certain parties, so long as the event remains material and non- public. Such blackouts will not be announced unless a person whose trades are subject to pre-clearance requests permission to trade in the Company’s securities during an event- specific blackout. In such case, the Pre-Clearance Officer will inform the requester of the existence of a blackout period, without being required to disclose the reason.</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b.</w:t>
            </w:r>
          </w:p>
          <w:p>
            <w:pPr>
              <w:pStyle w:val="TableContents"/>
              <w:bidi w:val="0"/>
              <w:jc w:val="both"/>
              <w:rPr/>
            </w:pPr>
            <w:r>
              <w:rPr>
                <w:rFonts w:ascii="Times New Roman" w:hAnsi="Times New Roman"/>
                <w:color w:val="000000"/>
                <w:sz w:val="22"/>
                <w:u w:val="single"/>
              </w:rPr>
              <w:t>Quarterly Blackout Period</w:t>
            </w:r>
            <w:r>
              <w:rPr>
                <w:rFonts w:ascii="Times New Roman" w:hAnsi="Times New Roman"/>
                <w:color w:val="000000"/>
                <w:sz w:val="22"/>
              </w:rPr>
              <w:t>: The period beginning on the fifteenth day of the last month of the end of each quarter and ending at the start of trading on the Nasdaq Stock Market on the second full trading day following the Company’s earnings press release for any quarter or year end.</w:t>
            </w:r>
          </w:p>
          <w:p>
            <w:pPr>
              <w:pStyle w:val="TableContents"/>
              <w:bidi w:val="0"/>
              <w:spacing w:before="240" w:after="283"/>
              <w:jc w:val="both"/>
              <w:rPr>
                <w:rFonts w:ascii="Times New Roman" w:hAnsi="Times New Roman"/>
                <w:sz w:val="22"/>
              </w:rPr>
            </w:pPr>
            <w:r>
              <w:rPr>
                <w:rFonts w:ascii="Times New Roman" w:hAnsi="Times New Roman"/>
                <w:color w:val="000000"/>
                <w:sz w:val="22"/>
                <w:u w:val="single"/>
              </w:rPr>
              <w:t>Company</w:t>
            </w:r>
            <w:r>
              <w:rPr>
                <w:rFonts w:ascii="Times New Roman" w:hAnsi="Times New Roman"/>
                <w:color w:val="000000"/>
                <w:sz w:val="22"/>
              </w:rPr>
              <w:t>: Great Lakes Dredge &amp; Dock Corporation, a Delaware corporation.</w:t>
            </w:r>
          </w:p>
          <w:p>
            <w:pPr>
              <w:pStyle w:val="TableContents"/>
              <w:bidi w:val="0"/>
              <w:spacing w:before="240" w:after="283"/>
              <w:jc w:val="left"/>
              <w:rPr>
                <w:rFonts w:ascii="Times New Roman" w:hAnsi="Times New Roman"/>
                <w:sz w:val="22"/>
              </w:rPr>
            </w:pPr>
            <w:r>
              <w:rPr>
                <w:rFonts w:ascii="Times New Roman" w:hAnsi="Times New Roman"/>
                <w:color w:val="000000"/>
                <w:sz w:val="22"/>
                <w:u w:val="single"/>
              </w:rPr>
              <w:t>Exchange Act</w:t>
            </w:r>
            <w:r>
              <w:rPr>
                <w:rFonts w:ascii="Times New Roman" w:hAnsi="Times New Roman"/>
                <w:color w:val="000000"/>
                <w:sz w:val="22"/>
              </w:rPr>
              <w:t>: Securities Exchange Act of 1934.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67" w:type="dxa"/>
        <w:jc w:val="left"/>
        <w:tblInd w:w="0" w:type="dxa"/>
        <w:tblLayout w:type="fixed"/>
        <w:tblCellMar>
          <w:top w:w="28" w:type="dxa"/>
          <w:left w:w="28" w:type="dxa"/>
          <w:bottom w:w="28" w:type="dxa"/>
          <w:right w:w="28" w:type="dxa"/>
        </w:tblCellMar>
      </w:tblPr>
      <w:tblGrid>
        <w:gridCol w:w="896"/>
        <w:gridCol w:w="4771"/>
      </w:tblGrid>
      <w:tr>
        <w:trPr/>
        <w:tc>
          <w:tcPr>
            <w:tcW w:w="89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89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50482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4"/>
                          <a:stretch>
                            <a:fillRect/>
                          </a:stretch>
                        </pic:blipFill>
                        <pic:spPr bwMode="auto">
                          <a:xfrm>
                            <a:off x="0" y="0"/>
                            <a:ext cx="504825" cy="504825"/>
                          </a:xfrm>
                          <a:prstGeom prst="rect">
                            <a:avLst/>
                          </a:prstGeom>
                        </pic:spPr>
                      </pic:pic>
                    </a:graphicData>
                  </a:graphic>
                </wp:inline>
              </w:drawing>
            </w:r>
          </w:p>
        </w:tc>
        <w:tc>
          <w:tcPr>
            <w:tcW w:w="4771" w:type="dxa"/>
            <w:tcBorders/>
            <w:tcMar>
              <w:top w:w="0" w:type="dxa"/>
              <w:left w:w="0" w:type="dxa"/>
              <w:bottom w:w="0" w:type="dxa"/>
              <w:right w:w="0" w:type="dxa"/>
            </w:tcMar>
            <w:vAlign w:val="center"/>
          </w:tcPr>
          <w:p>
            <w:pPr>
              <w:pStyle w:val="TableContents"/>
              <w:bidi w:val="0"/>
              <w:spacing w:before="78" w:after="283"/>
              <w:jc w:val="center"/>
              <w:rPr>
                <w:rFonts w:ascii="Times New Roman" w:hAnsi="Times New Roman"/>
                <w:smallCaps/>
                <w:color w:val="000000"/>
                <w:sz w:val="24"/>
              </w:rPr>
            </w:pPr>
            <w:r>
              <w:rPr>
                <w:rFonts w:ascii="Times New Roman" w:hAnsi="Times New Roman"/>
                <w:smallCaps/>
                <w:color w:val="000000"/>
                <w:sz w:val="24"/>
              </w:rPr>
              <w:t>Great Lakes Dredge &amp; Dock Corporation</w:t>
            </w:r>
          </w:p>
        </w:tc>
      </w:tr>
      <w:tr>
        <w:trPr/>
        <w:tc>
          <w:tcPr>
            <w:tcW w:w="896" w:type="dxa"/>
            <w:vMerge w:val="continue"/>
            <w:tcBorders/>
            <w:tcMar>
              <w:top w:w="0" w:type="dxa"/>
              <w:left w:w="0" w:type="dxa"/>
              <w:bottom w:w="0" w:type="dxa"/>
              <w:right w:w="0" w:type="dxa"/>
            </w:tcMar>
            <w:vAlign w:val="center"/>
          </w:tcPr>
          <w:p>
            <w:pPr>
              <w:pStyle w:val="Normal"/>
              <w:bidi w:val="0"/>
              <w:jc w:val="left"/>
              <w:rPr/>
            </w:pPr>
            <w:r>
              <w:rPr/>
            </w:r>
          </w:p>
        </w:tc>
        <w:tc>
          <w:tcPr>
            <w:tcW w:w="4771" w:type="dxa"/>
            <w:tcBorders/>
            <w:tcMar>
              <w:top w:w="0" w:type="dxa"/>
              <w:left w:w="0" w:type="dxa"/>
              <w:bottom w:w="0" w:type="dxa"/>
              <w:right w:w="0" w:type="dxa"/>
            </w:tcMar>
            <w:vAlign w:val="center"/>
          </w:tcPr>
          <w:p>
            <w:pPr>
              <w:pStyle w:val="Heading1"/>
              <w:bidi w:val="0"/>
              <w:spacing w:before="2" w:after="283"/>
              <w:jc w:val="center"/>
              <w:rPr>
                <w:rFonts w:ascii="Times New Roman" w:hAnsi="Times New Roman"/>
                <w:b w:val="false"/>
                <w:smallCaps/>
                <w:color w:val="000000"/>
                <w:sz w:val="36"/>
              </w:rPr>
            </w:pPr>
            <w:r>
              <w:rPr>
                <w:rFonts w:ascii="Times New Roman" w:hAnsi="Times New Roman"/>
                <w:b w:val="false"/>
                <w:smallCaps/>
                <w:color w:val="000000"/>
                <w:sz w:val="36"/>
              </w:rPr>
              <w:t>Policy and Procedures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0"/>
        <w:gridCol w:w="1016"/>
        <w:gridCol w:w="761"/>
        <w:gridCol w:w="2174"/>
        <w:gridCol w:w="2534"/>
        <w:gridCol w:w="2600"/>
      </w:tblGrid>
      <w:tr>
        <w:trPr/>
        <w:tc>
          <w:tcPr>
            <w:tcW w:w="1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8" w:space="0" w:color="000000"/>
              <w:left w:val="single" w:sz="18" w:space="0" w:color="000000"/>
              <w:bottom w:val="single" w:sz="6" w:space="0" w:color="000000"/>
              <w:right w:val="single" w:sz="18" w:space="0" w:color="000000"/>
            </w:tcBorders>
            <w:tcMar>
              <w:top w:w="29" w:type="dxa"/>
              <w:left w:w="144" w:type="dxa"/>
              <w:bottom w:w="58" w:type="dxa"/>
              <w:right w:w="144" w:type="dxa"/>
            </w:tcMar>
            <w:vAlign w:val="center"/>
          </w:tcPr>
          <w:p>
            <w:pPr>
              <w:pStyle w:val="TableContents"/>
              <w:bidi w:val="0"/>
              <w:spacing w:before="0" w:after="283"/>
              <w:jc w:val="center"/>
              <w:rPr>
                <w:rFonts w:ascii="Times New Roman" w:hAnsi="Times New Roman"/>
                <w:b/>
                <w:color w:val="000000"/>
                <w:sz w:val="32"/>
              </w:rPr>
            </w:pPr>
            <w:r>
              <w:rPr>
                <w:rFonts w:ascii="Times New Roman" w:hAnsi="Times New Roman"/>
                <w:b/>
                <w:color w:val="000000"/>
                <w:sz w:val="32"/>
              </w:rPr>
              <w:t>Securities Trading and Disclosure of Confidential Information</w:t>
            </w:r>
          </w:p>
        </w:tc>
      </w:tr>
      <w:tr>
        <w:trPr/>
        <w:tc>
          <w:tcPr>
            <w:tcW w:w="2897" w:type="dxa"/>
            <w:gridSpan w:val="3"/>
            <w:tcBorders>
              <w:left w:val="single" w:sz="18" w:space="0" w:color="000000"/>
              <w:bottom w:val="single" w:sz="6" w:space="0" w:color="000000"/>
              <w:right w:val="single" w:sz="6" w:space="0" w:color="000000"/>
            </w:tcBorders>
            <w:tcMar>
              <w:top w:w="0" w:type="dxa"/>
              <w:left w:w="144"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Applicable Company Segment:</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Corporate Policy (all divisions)</w:t>
            </w:r>
          </w:p>
        </w:tc>
        <w:tc>
          <w:tcPr>
            <w:tcW w:w="2174" w:type="dxa"/>
            <w:tcBorders>
              <w:bottom w:val="single" w:sz="6" w:space="0" w:color="000000"/>
              <w:right w:val="single" w:sz="6" w:space="0" w:color="000000"/>
            </w:tcBorders>
            <w:tcMar>
              <w:top w:w="0" w:type="dxa"/>
              <w:left w:w="0" w:type="dxa"/>
              <w:bottom w:w="58" w:type="dxa"/>
              <w:right w:w="144" w:type="dxa"/>
            </w:tcMar>
            <w:vAlign w:val="center"/>
          </w:tcPr>
          <w:p>
            <w:pPr>
              <w:pStyle w:val="TableContents"/>
              <w:bidi w:val="0"/>
              <w:jc w:val="right"/>
              <w:rPr>
                <w:rFonts w:ascii="Times New Roman" w:hAnsi="Times New Roman"/>
                <w:color w:val="000000"/>
                <w:sz w:val="12"/>
              </w:rPr>
            </w:pPr>
            <w:r>
              <w:rPr>
                <w:rFonts w:ascii="Times New Roman" w:hAnsi="Times New Roman"/>
                <w:color w:val="000000"/>
                <w:sz w:val="12"/>
              </w:rPr>
              <w:t>Revision Frequency:</w:t>
            </w:r>
          </w:p>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Annually</w:t>
            </w:r>
          </w:p>
        </w:tc>
        <w:tc>
          <w:tcPr>
            <w:tcW w:w="2534" w:type="dxa"/>
            <w:tcBorders>
              <w:bottom w:val="single" w:sz="6" w:space="0" w:color="000000"/>
              <w:right w:val="single" w:sz="6"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Revision Date:</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May 8, 2025</w:t>
            </w:r>
          </w:p>
        </w:tc>
        <w:tc>
          <w:tcPr>
            <w:tcW w:w="2600" w:type="dxa"/>
            <w:tcBorders>
              <w:bottom w:val="single" w:sz="6" w:space="0" w:color="000000"/>
              <w:right w:val="single" w:sz="18"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Page:</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Page 2 of 12</w:t>
            </w:r>
          </w:p>
        </w:tc>
      </w:tr>
      <w:tr>
        <w:trPr/>
        <w:tc>
          <w:tcPr>
            <w:tcW w:w="1120" w:type="dxa"/>
            <w:tcBorders>
              <w:left w:val="single" w:sz="18" w:space="0" w:color="000000"/>
              <w:bottom w:val="single" w:sz="18" w:space="0" w:color="000000"/>
              <w:right w:val="single" w:sz="6" w:space="0" w:color="000000"/>
            </w:tcBorders>
            <w:tcMar>
              <w:top w:w="0" w:type="dxa"/>
              <w:left w:w="144" w:type="dxa"/>
              <w:bottom w:w="58" w:type="dxa"/>
              <w:right w:w="144" w:type="dxa"/>
            </w:tcMar>
            <w:vAlign w:val="center"/>
          </w:tcPr>
          <w:p>
            <w:pPr>
              <w:pStyle w:val="TableContents"/>
              <w:bidi w:val="0"/>
              <w:spacing w:before="0" w:after="283"/>
              <w:jc w:val="left"/>
              <w:rPr/>
            </w:pPr>
            <w:r>
              <w:rPr/>
              <w:t> </w:t>
            </w:r>
          </w:p>
        </w:tc>
        <w:tc>
          <w:tcPr>
            <w:tcW w:w="1016" w:type="dxa"/>
            <w:tcBorders>
              <w:bottom w:val="single" w:sz="18" w:space="0" w:color="000000"/>
              <w:right w:val="single" w:sz="6" w:space="0" w:color="000000"/>
            </w:tcBorders>
            <w:tcMar>
              <w:top w:w="0" w:type="dxa"/>
              <w:left w:w="0" w:type="dxa"/>
              <w:bottom w:w="58" w:type="dxa"/>
              <w:right w:w="144" w:type="dxa"/>
            </w:tcMar>
            <w:vAlign w:val="center"/>
          </w:tcPr>
          <w:p>
            <w:pPr>
              <w:pStyle w:val="TableContents"/>
              <w:bidi w:val="0"/>
              <w:spacing w:before="0" w:after="283"/>
              <w:jc w:val="left"/>
              <w:rPr/>
            </w:pPr>
            <w:r>
              <w:rPr/>
              <w:t> </w:t>
            </w:r>
          </w:p>
        </w:tc>
        <w:tc>
          <w:tcPr>
            <w:tcW w:w="2935" w:type="dxa"/>
            <w:gridSpan w:val="2"/>
            <w:tcBorders>
              <w:bottom w:val="single" w:sz="18" w:space="0" w:color="000000"/>
              <w:right w:val="single" w:sz="6"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Policy Owner:</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Chief Compliance Officer</w:t>
            </w:r>
          </w:p>
        </w:tc>
        <w:tc>
          <w:tcPr>
            <w:tcW w:w="5134" w:type="dxa"/>
            <w:gridSpan w:val="2"/>
            <w:tcBorders>
              <w:bottom w:val="single" w:sz="18" w:space="0" w:color="000000"/>
              <w:right w:val="single" w:sz="18" w:space="0" w:color="000000"/>
            </w:tcBorders>
            <w:tcMar>
              <w:top w:w="0" w:type="dxa"/>
              <w:left w:w="0" w:type="dxa"/>
              <w:bottom w:w="58" w:type="dxa"/>
              <w:right w:w="144" w:type="dxa"/>
            </w:tcMar>
            <w:vAlign w:val="center"/>
          </w:tcPr>
          <w:p>
            <w:pPr>
              <w:pStyle w:val="TableContents"/>
              <w:bidi w:val="0"/>
              <w:jc w:val="center"/>
              <w:rPr>
                <w:rFonts w:ascii="Times New Roman" w:hAnsi="Times New Roman"/>
                <w:color w:val="000000"/>
                <w:sz w:val="12"/>
              </w:rPr>
            </w:pPr>
            <w:r>
              <w:rPr>
                <w:rFonts w:ascii="Times New Roman" w:hAnsi="Times New Roman"/>
                <w:color w:val="000000"/>
                <w:sz w:val="12"/>
              </w:rPr>
              <w:t>Approved By:</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Board of Directors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0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0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046"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Material Information</w:t>
            </w:r>
            <w:r>
              <w:rPr>
                <w:rFonts w:ascii="Times New Roman" w:hAnsi="Times New Roman"/>
                <w:color w:val="000000"/>
                <w:sz w:val="22"/>
              </w:rPr>
              <w:t>: Information that could reasonably affect a reasonable person’s investment decision whether to buy, sell or hold the stock.</w:t>
            </w:r>
          </w:p>
          <w:p>
            <w:pPr>
              <w:pStyle w:val="TableContents"/>
              <w:bidi w:val="0"/>
              <w:spacing w:before="240" w:after="283"/>
              <w:jc w:val="left"/>
              <w:rPr>
                <w:rFonts w:ascii="Times New Roman" w:hAnsi="Times New Roman"/>
                <w:sz w:val="22"/>
              </w:rPr>
            </w:pPr>
            <w:r>
              <w:rPr>
                <w:rFonts w:ascii="Times New Roman" w:hAnsi="Times New Roman"/>
                <w:color w:val="000000"/>
                <w:sz w:val="22"/>
                <w:u w:val="single"/>
              </w:rPr>
              <w:t>Non-public Information:</w:t>
            </w:r>
            <w:r>
              <w:rPr>
                <w:rFonts w:ascii="Times New Roman" w:hAnsi="Times New Roman"/>
                <w:color w:val="000000"/>
                <w:sz w:val="22"/>
              </w:rPr>
              <w:t> Information that has not been disclosed to the public in a manner designed to reach investors generally (</w:t>
            </w:r>
            <w:r>
              <w:rPr>
                <w:rFonts w:ascii="Times New Roman" w:hAnsi="Times New Roman"/>
                <w:i/>
                <w:color w:val="000000"/>
                <w:sz w:val="22"/>
              </w:rPr>
              <w:t xml:space="preserve">e.g., </w:t>
            </w:r>
            <w:r>
              <w:rPr>
                <w:rFonts w:ascii="Times New Roman" w:hAnsi="Times New Roman"/>
                <w:color w:val="000000"/>
                <w:sz w:val="22"/>
              </w:rPr>
              <w:t>SEC filings, press releases or publicly accessible conference calls) and, even after such a disclosure has been made, until a reasonable time has passed after it has been disclosed.</w:t>
            </w:r>
          </w:p>
          <w:p>
            <w:pPr>
              <w:pStyle w:val="TableContents"/>
              <w:bidi w:val="0"/>
              <w:spacing w:before="240" w:after="283"/>
              <w:jc w:val="left"/>
              <w:rPr>
                <w:rFonts w:ascii="Times New Roman" w:hAnsi="Times New Roman"/>
                <w:sz w:val="22"/>
              </w:rPr>
            </w:pPr>
            <w:r>
              <w:rPr>
                <w:rFonts w:ascii="Times New Roman" w:hAnsi="Times New Roman"/>
                <w:color w:val="000000"/>
                <w:sz w:val="22"/>
                <w:u w:val="single"/>
              </w:rPr>
              <w:t>Officer</w:t>
            </w:r>
            <w:r>
              <w:rPr>
                <w:rFonts w:ascii="Times New Roman" w:hAnsi="Times New Roman"/>
                <w:color w:val="000000"/>
                <w:sz w:val="22"/>
              </w:rPr>
              <w:t>: The principal officers of the Company and may include officers of subsidiaries.</w:t>
            </w:r>
          </w:p>
          <w:p>
            <w:pPr>
              <w:pStyle w:val="TableContents"/>
              <w:bidi w:val="0"/>
              <w:spacing w:before="240" w:after="283"/>
              <w:jc w:val="left"/>
              <w:rPr>
                <w:rFonts w:ascii="Times New Roman" w:hAnsi="Times New Roman"/>
                <w:sz w:val="22"/>
              </w:rPr>
            </w:pPr>
            <w:r>
              <w:rPr>
                <w:rFonts w:ascii="Times New Roman" w:hAnsi="Times New Roman"/>
                <w:color w:val="000000"/>
                <w:sz w:val="22"/>
                <w:u w:val="single"/>
              </w:rPr>
              <w:t>Pre-Clearance Officer</w:t>
            </w:r>
            <w:r>
              <w:rPr>
                <w:rFonts w:ascii="Times New Roman" w:hAnsi="Times New Roman"/>
                <w:color w:val="000000"/>
                <w:sz w:val="22"/>
              </w:rPr>
              <w:t>: The Chief Compliance Officer or the Chief Financial Officer</w:t>
            </w:r>
          </w:p>
          <w:p>
            <w:pPr>
              <w:pStyle w:val="TableContents"/>
              <w:bidi w:val="0"/>
              <w:spacing w:before="240" w:after="283"/>
              <w:jc w:val="left"/>
              <w:rPr>
                <w:rFonts w:ascii="Times New Roman" w:hAnsi="Times New Roman"/>
                <w:sz w:val="22"/>
              </w:rPr>
            </w:pPr>
            <w:r>
              <w:rPr>
                <w:rFonts w:ascii="Times New Roman" w:hAnsi="Times New Roman"/>
                <w:color w:val="000000"/>
                <w:sz w:val="22"/>
                <w:u w:val="single"/>
              </w:rPr>
              <w:t>SEC</w:t>
            </w:r>
            <w:r>
              <w:rPr>
                <w:rFonts w:ascii="Times New Roman" w:hAnsi="Times New Roman"/>
                <w:color w:val="000000"/>
                <w:sz w:val="22"/>
              </w:rPr>
              <w:t>: Securities and Exchange Commission</w:t>
            </w:r>
          </w:p>
          <w:p>
            <w:pPr>
              <w:pStyle w:val="TableContents"/>
              <w:bidi w:val="0"/>
              <w:spacing w:before="240" w:after="283"/>
              <w:jc w:val="left"/>
              <w:rPr>
                <w:rFonts w:ascii="Times New Roman" w:hAnsi="Times New Roman"/>
                <w:sz w:val="22"/>
              </w:rPr>
            </w:pPr>
            <w:r>
              <w:rPr>
                <w:rFonts w:ascii="Times New Roman" w:hAnsi="Times New Roman"/>
                <w:color w:val="000000"/>
                <w:sz w:val="22"/>
                <w:u w:val="single"/>
              </w:rPr>
              <w:t>Short sales of Company securities</w:t>
            </w:r>
            <w:r>
              <w:rPr>
                <w:rFonts w:ascii="Times New Roman" w:hAnsi="Times New Roman"/>
                <w:color w:val="000000"/>
                <w:sz w:val="22"/>
              </w:rPr>
              <w:t>: The sale of a security that the seller does not own.</w:t>
            </w:r>
          </w:p>
        </w:tc>
      </w:tr>
      <w:tr>
        <w:trPr/>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0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Procedure:</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See Attached Document and Addenda</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914400" cy="923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5"/>
                    <a:stretch>
                      <a:fillRect/>
                    </a:stretch>
                  </pic:blipFill>
                  <pic:spPr bwMode="auto">
                    <a:xfrm>
                      <a:off x="0" y="0"/>
                      <a:ext cx="914400" cy="923925"/>
                    </a:xfrm>
                    <a:prstGeom prst="rect">
                      <a:avLst/>
                    </a:prstGeom>
                  </pic:spPr>
                </pic:pic>
              </a:graphicData>
            </a:graphic>
          </wp:inline>
        </w:drawing>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GREAT LAKES DREDGE &amp; DOCK CORPORATION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STATEMENT OF POLICY TO SENIOR PERSONNEL CONCERNING</w:t>
      </w:r>
    </w:p>
    <w:p>
      <w:pPr>
        <w:pStyle w:val="TextBody"/>
        <w:bidi w:val="0"/>
        <w:jc w:val="center"/>
        <w:rPr>
          <w:rFonts w:ascii="Times New Roman" w:hAnsi="Times New Roman"/>
          <w:b/>
          <w:color w:val="000000"/>
          <w:sz w:val="24"/>
        </w:rPr>
      </w:pPr>
      <w:r>
        <w:rPr>
          <w:rFonts w:ascii="Times New Roman" w:hAnsi="Times New Roman"/>
          <w:b/>
          <w:color w:val="000000"/>
          <w:sz w:val="24"/>
        </w:rPr>
        <w:t>SECURITIES TRADING AND DISCLOSURE OF</w:t>
      </w:r>
    </w:p>
    <w:p>
      <w:pPr>
        <w:pStyle w:val="TextBody"/>
        <w:bidi w:val="0"/>
        <w:jc w:val="center"/>
        <w:rPr>
          <w:rFonts w:ascii="Times New Roman" w:hAnsi="Times New Roman"/>
          <w:b/>
          <w:color w:val="000000"/>
          <w:sz w:val="24"/>
        </w:rPr>
      </w:pPr>
      <w:r>
        <w:rPr>
          <w:rFonts w:ascii="Times New Roman" w:hAnsi="Times New Roman"/>
          <w:b/>
          <w:color w:val="000000"/>
          <w:sz w:val="24"/>
        </w:rPr>
        <w:t>CONFIDENTIAL INFORMATION</w:t>
      </w:r>
    </w:p>
    <w:p>
      <w:pPr>
        <w:pStyle w:val="TextBody"/>
        <w:bidi w:val="0"/>
        <w:spacing w:before="240" w:after="283"/>
        <w:jc w:val="both"/>
        <w:rPr>
          <w:rFonts w:ascii="Times New Roman" w:hAnsi="Times New Roman"/>
          <w:sz w:val="20"/>
        </w:rPr>
      </w:pPr>
      <w:r>
        <w:rPr>
          <w:rFonts w:ascii="Times New Roman" w:hAnsi="Times New Roman"/>
          <w:color w:val="000000"/>
          <w:sz w:val="24"/>
        </w:rPr>
        <w:t>This Policy Statement has been adopted by the Board of Directors of Great Lakes Dredge &amp; Dock Corporation,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In adopting this Policy Statement, the Board is mindful that the Company has responsibilities to several constituencies and has various objectives and that the manner in which the Company’s Senior Personnel trade in the Company’s securities can affect those responsibilities and objectives. Consequently, while all Company personnel are required to comply with applicable law, this Policy Statement is broader than mere compliance with applicable securities laws and may prohibit conduct that is permitted by applicable law. Compliance with this Policy Statement is required of all Senior Personnel of the Company. Capitalized terms not defined in this Statement of Policy shall have the meaning set forth in the Policy.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Policy Statement also applies to Senior Personnel’s family members (including a person’s spouse, parents, children, siblings, mothers and fathers-in-law, sons and daughters-in-law, brothers and sisters-in-law), anyone who lives in your household, and any person who does not live in your household but whose transactions in Company securities are directed by you or are subject to your influence or control (such as parents, children or friends who consult with you before they trade in Company securities). Senior Personnel are responsible for the transactions of these other persons and therefore should make them aware of the need to confer with you before they trade in the Company’s securities. This policy also applies to other persons to the extent provided herein.</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Prohibition Against Trading and Tipping While Aware of Material, Non-Public</w:t>
      </w:r>
      <w:r>
        <w:rPr>
          <w:rFonts w:ascii="Times New Roman" w:hAnsi="Times New Roman"/>
          <w:color w:val="000000"/>
          <w:sz w:val="20"/>
          <w:u w:val="single"/>
        </w:rPr>
        <w:t xml:space="preserve"> </w:t>
      </w:r>
      <w:r>
        <w:rPr>
          <w:rFonts w:ascii="Times New Roman" w:hAnsi="Times New Roman"/>
          <w:color w:val="000000"/>
          <w:sz w:val="24"/>
          <w:u w:val="single"/>
        </w:rPr>
        <w:t>Information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It is a violation of Company policy for any person to engage in any transaction, which shall include any purchase, sale, gift or other transfer in the Company’s securities, if he or she is aware of material, non-public information concerning the Company. It also violates Company policy for any Senior Personnel in possession of material, non-public information to recommend that another person buy or sell the Company’s securities. Information is "</w:t>
      </w:r>
      <w:r>
        <w:rPr>
          <w:rFonts w:ascii="Times New Roman" w:hAnsi="Times New Roman"/>
          <w:b/>
          <w:color w:val="000000"/>
          <w:sz w:val="24"/>
        </w:rPr>
        <w:t>material</w:t>
      </w:r>
      <w:r>
        <w:rPr>
          <w:rFonts w:ascii="Times New Roman" w:hAnsi="Times New Roman"/>
          <w:color w:val="000000"/>
          <w:sz w:val="24"/>
        </w:rPr>
        <w:t>" if it could reasonably affect a reasonable person’s decision whether to buy, sell or hold the stock. Although it is not possible to list all types of information that might be deemed material under particular circumstances, information concerning the following subjects is often found material: (i) financial information (including internal forecasts and budgets), and particularly financial information which departs in any way from what the market would expect; (ii) significant acquisitions or dispositions (including mergers, tender offers and asset purchase or sale transactions); (iii) changes in debt ratings; (iv) significant write-downs of assets or additions to reserves for bad debts or contingent liabilities; (v) liquidity problems; (vi) stock splits and repurchases; (vii) extraordinary management</w:t>
      </w:r>
      <w:r>
        <w:rPr>
          <w:rFonts w:ascii="Times New Roman" w:hAnsi="Times New Roman"/>
          <w:color w:val="000000"/>
          <w:sz w:val="20"/>
        </w:rPr>
        <w:t xml:space="preserve"> </w:t>
      </w:r>
    </w:p>
    <w:p>
      <w:pPr>
        <w:pStyle w:val="TextBody"/>
        <w:bidi w:val="0"/>
        <w:spacing w:before="10" w:after="283"/>
        <w:jc w:val="center"/>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developments; (viii) significant financing transactions; (ix) major price or marketing changes; (x) labor negotiations; (xi) significant litigation or investigations by governmental bodies; (xii) unusual gains or losses in major operations; (xiii) award or loss of a significant contract; (xiv) a major cybersecurity incident; (xv) significant changes in the Company’s prospects and (xvi) a change in auditors or auditor notification that the Company may no longer rely on an audit report. Information about a company generally is not material if its public dissemination would not have any impact on the price of the Company’s publicly traded securities. It should be noted that either positive or adverse information may be material.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should also be noted that materiality may depend on the type of securities involved in the analysis. Materiality can frequently be uncertain and, since your actions will be judged with hindsight, caution should be exercised. If you have any questions in this area, you should contact the Chief Compliance Officer.</w:t>
      </w:r>
    </w:p>
    <w:p>
      <w:pPr>
        <w:pStyle w:val="TextBody"/>
        <w:bidi w:val="0"/>
        <w:spacing w:before="240" w:after="283"/>
        <w:jc w:val="both"/>
        <w:rPr>
          <w:rFonts w:ascii="Times New Roman" w:hAnsi="Times New Roman"/>
          <w:sz w:val="20"/>
        </w:rPr>
      </w:pPr>
      <w:r>
        <w:rPr>
          <w:rFonts w:ascii="Times New Roman" w:hAnsi="Times New Roman"/>
          <w:color w:val="000000"/>
          <w:sz w:val="24"/>
        </w:rPr>
        <w:t>Information is "</w:t>
      </w:r>
      <w:r>
        <w:rPr>
          <w:rFonts w:ascii="Times New Roman" w:hAnsi="Times New Roman"/>
          <w:b/>
          <w:color w:val="000000"/>
          <w:sz w:val="24"/>
        </w:rPr>
        <w:t>non-public</w:t>
      </w:r>
      <w:r>
        <w:rPr>
          <w:rFonts w:ascii="Times New Roman" w:hAnsi="Times New Roman"/>
          <w:color w:val="000000"/>
          <w:sz w:val="24"/>
        </w:rPr>
        <w:t>" if it has not been disclosed to the public in a manner designed to reach investors generally (</w:t>
      </w:r>
      <w:r>
        <w:rPr>
          <w:rFonts w:ascii="Times New Roman" w:hAnsi="Times New Roman"/>
          <w:i/>
          <w:color w:val="000000"/>
          <w:sz w:val="24"/>
        </w:rPr>
        <w:t>e.g.</w:t>
      </w:r>
      <w:r>
        <w:rPr>
          <w:rFonts w:ascii="Times New Roman" w:hAnsi="Times New Roman"/>
          <w:color w:val="000000"/>
          <w:sz w:val="24"/>
        </w:rPr>
        <w:t>, SEC filings, press releases or publicly accessible conference calls) and, even after such a disclosure has been made, until one full trading day has passed after it has been disclosed by means likely to result in widespread public awareness.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also violates Company policy for any Senior Personnel to use any non-public information about the Company for personal benefit, including by trading in the securities in another company such as a competitor, customer or supplier of the Company. These prohibitions against trading while in possession of material, non-public information (or using such information for personal benefit) also apply to material, non-public information about any other company that has been obtained in the course of a person’s work for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policy continues to apply to your transactions in Company securities even after you have terminated employment or other services to the Company or a subsidiary. If you are aware of material, non-public information when your employment or service relationship terminates, you may not trade in Company securities until that information becomes public or is no longer material.</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Restrictions on Selective Disclosure of Material, Non-Public Information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It is a violation of Company policy to disclose in any manner any material, non-public information to any person except as follows: (i) disclosure to a person who has signed an appropriate agreement to hold such information in confidence; (ii) disclosure to other Senior Personnel of the Company; (iii) disclosure to Company personnel who need the information to carry out their services to the Company; (iv) disclosure to the Company’s lawyers, accountants or advisors if the information disclosed is related to a matter on which they are involved; or (v) as approved by the Chief Executive Officer, Chief Financial Officer or Chief Legal Officer of the Company. All communications with investors, investor representatives, securities analysts and securities professionals shall be made solely by the Company’s Chief Executive Officer, Chief Financial Officer, Director of Investor Relations or a person specifically designated by any of these individuals. All requests for information about the Company from stockholders, the financial press, investment analysts and others in the media or financial communities, whether or not involving confidential or non-public information, should be directed to Investor Relations at 346-359-1010. If any Senior Personnel should inadvertently selectively disclose any material, non-public information to any person not covered by the exceptions above, Company policy requires that such inadvertent disclosure be reported as soon as possible to the Chief Financial Officer and the Chief</w:t>
      </w:r>
      <w:r>
        <w:rPr>
          <w:rFonts w:ascii="Times New Roman" w:hAnsi="Times New Roman"/>
          <w:color w:val="000000"/>
          <w:sz w:val="20"/>
        </w:rPr>
        <w:t xml:space="preserve"> </w:t>
      </w:r>
    </w:p>
    <w:p>
      <w:pPr>
        <w:pStyle w:val="TextBody"/>
        <w:bidi w:val="0"/>
        <w:spacing w:before="10" w:after="283"/>
        <w:jc w:val="center"/>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Legal Officer of the Company. Such inadvertent disclosure may arise because of a mistaken belief about the materiality or non-public nature of the disclosed information, the identity of the recipient of such disclosure, the applicability of a confidentiality agreement or numerous other reasons. Applicable law (Regulation FD, in particular) may require the Company publicly to disclose promptly the information that had been inadvertently disclosed.</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Blackout Periods and Pre-Clearance Procedures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It is not permissible for any Senior Personnel to engage in any transaction, which shall include any purchase, sale, gift, or other transfer in the Company’s securities, without first obtaining pre-clearance of the transaction from the Chief Compliance Officer or the Chief Financial Officer. The officer providing such pre-clearance is referred to herein as the “</w:t>
      </w:r>
      <w:r>
        <w:rPr>
          <w:rFonts w:ascii="Times New Roman" w:hAnsi="Times New Roman"/>
          <w:b/>
          <w:color w:val="000000"/>
          <w:sz w:val="24"/>
        </w:rPr>
        <w:t>Pre- Clearance Officer</w:t>
      </w:r>
      <w:r>
        <w:rPr>
          <w:rFonts w:ascii="Times New Roman" w:hAnsi="Times New Roman"/>
          <w:color w:val="000000"/>
          <w:sz w:val="24"/>
        </w:rPr>
        <w:t>.” A request for pre-clearance should be submitted to the Pre-Clearance Officer at least two days in advance of the proposed transaction. Normally, the Pre-Clearance Officer will clear, to the extent consistent with Company policy, any transaction that complies with this Policy Statement and applicable securities law and occurs outside of a period where all such transactions are expressly prohibited (a “</w:t>
      </w:r>
      <w:r>
        <w:rPr>
          <w:rFonts w:ascii="Times New Roman" w:hAnsi="Times New Roman"/>
          <w:b/>
          <w:color w:val="000000"/>
          <w:sz w:val="24"/>
        </w:rPr>
        <w:t>Blackout Period</w:t>
      </w:r>
      <w:r>
        <w:rPr>
          <w:rFonts w:ascii="Times New Roman" w:hAnsi="Times New Roman"/>
          <w:color w:val="000000"/>
          <w:sz w:val="20"/>
        </w:rPr>
        <w:t>”</w:t>
      </w:r>
      <w:r>
        <w:rPr>
          <w:rFonts w:ascii="Times New Roman" w:hAnsi="Times New Roman"/>
          <w:color w:val="000000"/>
          <w:sz w:val="24"/>
        </w:rPr>
        <w:t>). However, the Pre-Clearance Officer is under no obligation to approve, and may determine not to permit, any transaction submitted for pre- clearance, even if the transaction falls outside of a Blackout Period. If pre- clearance is denied, such denial must be kept confidential by the person requesting pre-clearance. Unless otherwise provided, pre-clearance of a transaction is valid for three business days. If the transaction is not executed within that time, the person requesting pre-clearance must request pre-clearance again.</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Quarterly Blackout Period. </w:t>
      </w:r>
      <w:r>
        <w:rPr>
          <w:rFonts w:ascii="Times New Roman" w:hAnsi="Times New Roman"/>
          <w:color w:val="000000"/>
          <w:sz w:val="24"/>
        </w:rPr>
        <w:t>The most common form of Blackout Period, the "</w:t>
      </w:r>
      <w:r>
        <w:rPr>
          <w:rFonts w:ascii="Times New Roman" w:hAnsi="Times New Roman"/>
          <w:b/>
          <w:color w:val="000000"/>
          <w:sz w:val="24"/>
        </w:rPr>
        <w:t>Quarterly Blackout Period</w:t>
      </w:r>
      <w:r>
        <w:rPr>
          <w:rFonts w:ascii="Times New Roman" w:hAnsi="Times New Roman"/>
          <w:color w:val="000000"/>
          <w:sz w:val="24"/>
        </w:rPr>
        <w:t>," shall mean the period beginning at the start of the fifteenth day of the last month of the end of each quarter and ending at the start of trading on the Nasdaq Stock Market on the second full trading day following the Company’s earnings press release for any quarter or year end. The release of quarterly or annual financial results invariably has the potential to have a material effect on the market for the Company’s securities. As such, the Quarterly Blackout Period is imposed to avoid even the appearance of insider trading. No transaction in Company securities may be conducted during a Quarterly Blackout Period other than pursuant to a properly adopted Rule 10b5-1 trading plan.</w:t>
      </w:r>
    </w:p>
    <w:p>
      <w:pPr>
        <w:pStyle w:val="TextBody"/>
        <w:bidi w:val="0"/>
        <w:spacing w:before="240" w:after="283"/>
        <w:jc w:val="both"/>
        <w:rPr>
          <w:rFonts w:ascii="Times New Roman" w:hAnsi="Times New Roman"/>
          <w:sz w:val="20"/>
        </w:rPr>
      </w:pPr>
      <w:r>
        <w:rPr>
          <w:rFonts w:ascii="Times New Roman" w:hAnsi="Times New Roman"/>
          <w:b/>
          <w:color w:val="000000"/>
          <w:sz w:val="24"/>
        </w:rPr>
        <w:t>Event</w:t>
      </w:r>
      <w:r>
        <w:rPr>
          <w:rFonts w:ascii="Times New Roman" w:hAnsi="Times New Roman"/>
          <w:color w:val="000000"/>
          <w:sz w:val="24"/>
        </w:rPr>
        <w:t>-</w:t>
      </w:r>
      <w:r>
        <w:rPr>
          <w:rFonts w:ascii="Times New Roman" w:hAnsi="Times New Roman"/>
          <w:b/>
          <w:color w:val="000000"/>
          <w:sz w:val="24"/>
        </w:rPr>
        <w:t xml:space="preserve">Specific Blackout Period. </w:t>
      </w:r>
      <w:r>
        <w:rPr>
          <w:rFonts w:ascii="Times New Roman" w:hAnsi="Times New Roman"/>
          <w:color w:val="000000"/>
          <w:sz w:val="24"/>
        </w:rPr>
        <w:t>From time to time, an event may occur that is material to the Company and is known by certain parties. So long as the event remains material and non- public, directors, officers, and such other persons as are designated by the Pre-Clearance Officer may not trade in the Company’s securities other than pursuant to a properly adopted Rule 10b5-1 trading plan. The existence of an event-specific blackout will not be announced. If, however, a person whose trades are subject to pre-clearance requests permission to trade in the Company’s securities during an event-specific blackout, the Pre-Clearance Officer will inform the requester of the existence of a blackout period, without being required to disclose the reason for the blackout. Any person made aware of the existence of an event-specific blackout should not disclose the existence of the blackout to any other person. The failure of the Pre-Clearance Officer to designate a person as being subject to an event-specific blackout will not relieve that person of the obligation not to trade while aware of material non-public information. Notwithstanding the above, a person in possession of material, non-public information about the Company may not engage in any</w:t>
      </w:r>
      <w:r>
        <w:rPr>
          <w:rFonts w:ascii="Times New Roman" w:hAnsi="Times New Roman"/>
          <w:color w:val="000000"/>
          <w:sz w:val="20"/>
        </w:rPr>
        <w:t xml:space="preserve"> </w:t>
      </w:r>
    </w:p>
    <w:p>
      <w:pPr>
        <w:pStyle w:val="TextBody"/>
        <w:bidi w:val="0"/>
        <w:spacing w:before="10" w:after="283"/>
        <w:jc w:val="center"/>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transaction involving the Company’s securities either outside or inside the Blackout Period other than pursuant to a properly adopted Rule 10b5-1 trading plan.</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Prearranged Trading Plans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Rule 10b5-1(c) under the Securities Exchange Act of 1934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provides an affirmative defense to a claim of insider trading by providing that a person will not be viewed as having traded on the basis of material, non-public information if that person can demonstrate that the transaction was effected pursuant to a properly qualified, adopted and submitted written plan (or contract or instruction) that was established in good faith before the person became aware of that information as set forth in the following paragraph. Prearranged trading plans permit an insider to trade during Company Blackout Periods or at a time when the insider is otherwise in possession of material, non-public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a matter of Company policy, Senior Personnel may not implement a prearranged trading plan under Rule 10b5-1 without prior clearance. Before entering into a trading plan, Senior Personnel must contact the Pre-Clearance Officer to inquire if a Blackout Period is in effect and to obtain pre-clearance of the contemplated plan. Additionally, Senior Personnel may make trades pursuant to a plan only if such plan meets the requirements set forth on Addendum 2. Senior Personnel may only enter into a trading plan when they are not in possession of material, non- public information. In addition, Senior Personnel may not enter into a trading plan during a Blackout Period or an employee benefit plan blackout period. Once a trading plan is pre-cleared, and adopted, the person adopting the plan must not exercise any influence over the amount of securities to be traded, the price at which they are to be traded or the date of the trade. Trades made pursuant to Rule 10b5-1 plans by executive officers and directors must still be reported to the Pre- Clearance Officer. Additionally, the person adopting the plan must report any modification or termination of a Rule 10b5-1 plan to the Pre-Clearance Officer within one business day of such modification or termination.</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Stock Option Exercises and Equity Award Vesting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Policy Statement does not apply to the exercise of employee stock options awarded under the Company’s long-term incentive plans where no Company stock is sold in the market to fund the exercise price of an option. However, this Policy Statement does apply to (i) any sale of shares subject to an employee stock option as part of a cashless exercise of an option (whether net proceeds are received in cash or shares) and (ii) any other sale or exchange of shares to generate the consideration needed to fund the exercise price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this Policy Statement does not apply to the vesting of equity awards that occurs during a Blackout Period, or the exercise of a tax withholding right pursuant to which any Senior Personnel elect to have the Company withhold shares of stock to satisfy tax withholding requirements upon the vesting of any equity award.</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Hedging Transactions; Short Sales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w:t>
      </w:r>
      <w:r>
        <w:rPr>
          <w:rFonts w:ascii="Times New Roman" w:hAnsi="Times New Roman"/>
          <w:color w:val="000000"/>
          <w:sz w:val="20"/>
        </w:rPr>
        <w:t xml:space="preserve"> </w:t>
      </w:r>
    </w:p>
    <w:p>
      <w:pPr>
        <w:pStyle w:val="TextBody"/>
        <w:bidi w:val="0"/>
        <w:spacing w:before="10" w:after="283"/>
        <w:jc w:val="center"/>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otherwise, but without the full risks and rewards of ownership. When that occurs, the director, officer or employee may no longer have the same objectives as the Company’s other shareholders. Therefore, the Company prohibits Senior Personnel as well as all Company employees from engaging in such transactions.</w:t>
      </w:r>
    </w:p>
    <w:p>
      <w:pPr>
        <w:pStyle w:val="TextBody"/>
        <w:bidi w:val="0"/>
        <w:spacing w:before="240" w:after="283"/>
        <w:jc w:val="both"/>
        <w:rPr>
          <w:rFonts w:ascii="Times New Roman" w:hAnsi="Times New Roman"/>
          <w:sz w:val="20"/>
        </w:rPr>
      </w:pPr>
      <w:r>
        <w:rPr>
          <w:rFonts w:ascii="Times New Roman" w:hAnsi="Times New Roman"/>
          <w:color w:val="000000"/>
          <w:sz w:val="24"/>
        </w:rPr>
        <w:t>Short sales of Company securities (</w:t>
      </w:r>
      <w:r>
        <w:rPr>
          <w:rFonts w:ascii="Times New Roman" w:hAnsi="Times New Roman"/>
          <w:i/>
          <w:color w:val="000000"/>
          <w:sz w:val="24"/>
        </w:rPr>
        <w:t>i.e.</w:t>
      </w:r>
      <w:r>
        <w:rPr>
          <w:rFonts w:ascii="Times New Roman" w:hAnsi="Times New Roman"/>
          <w:color w:val="000000"/>
          <w:sz w:val="24"/>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also prohibited. In addition, Section 16(c) of the Exchange Act prohibits officers and directors from engaging in short sales.</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Margin Accounts and Pledging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Therefore, the Company prohibits Senior Personnel as well as all Company employees from engaging in such transactions.</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Implementation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Board of Directors may adopt such reasonable procedures as it deems necessary or desirable in order to implement this Policy Statement.</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Personal Responsibility for Compliance with this Policy Statement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Compliance with this Policy Statement, including having the Pre-Clearance Officer preclear a proposed transaction, is not an assurance that an insider trading violation will not be found to have occurred. This Policy Statement is only designed to reduce the risk that such violation will be found to have occurred. Senior Personnel should remember that the ultimate responsibility for adhering to this Policy Statement and avoiding improper trading rests exclusively with each individual and that pre-clearance of trades and, if applicable, of SEC Rule 10b5-1 trading plans, by the Pre-Clearance Officer does not reduce the obligations imposed on each individual by applicable laws. Any action on the part of the Company or the Pre-Clearance Officer or any other employee pursuant to this Policy Statement (or otherwise) does not in any way constitute legal advice or insulate any Senior Personnel from liability under applicable securities laws. If an individual violates this Policy Statement, the Company may take legal and/or disciplinary action, including dismissal for cause, as applicable. Senior Personnel must notify the Chief Compliance Officer or Chief Financial Officer if they become aware of a breach of this Policy Statement.</w:t>
      </w:r>
    </w:p>
    <w:p>
      <w:pPr>
        <w:pStyle w:val="TextBody"/>
        <w:bidi w:val="0"/>
        <w:spacing w:before="10" w:after="283"/>
        <w:jc w:val="center"/>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sz w:val="20"/>
        </w:rPr>
      </w:pPr>
      <w:r>
        <w:rPr>
          <w:rFonts w:ascii="Times New Roman" w:hAnsi="Times New Roman"/>
          <w:color w:val="000000"/>
          <w:sz w:val="24"/>
          <w:u w:val="single"/>
        </w:rPr>
        <w:t>Penalties for Violations of Insider Trading Laws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Individuals who trade on material, non-public information (or tip information to others who trade) can be liable for civil and criminal penalties, in addition to legal and disciplinary action from the Company, including dismissal for cause.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 *</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If you have any doubt as to your responsibilities under these guidelines, please seek clarification and guidance from the Chief Compliance Officer before you act. Do not try to resolve uncertainties on your own.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expects strict compliance with the foregoing policies by all persons subject to this Policy Statement. Any failure to observe these guidelines may result in serious legal difficulties for you, as well as the Company. Furthermore, any failure to follow the letter and spirit of this Policy Statement will be considered a matter of extreme seriousness and may serve as a basis for termination of employment or service.</w:t>
      </w:r>
    </w:p>
    <w:p>
      <w:pPr>
        <w:pStyle w:val="TextBody"/>
        <w:bidi w:val="0"/>
        <w:spacing w:before="10" w:after="283"/>
        <w:jc w:val="center"/>
        <w:rPr/>
      </w:pPr>
      <w:r>
        <w:rPr/>
        <w:t> </w:t>
      </w:r>
    </w:p>
    <w:p>
      <w:pPr>
        <w:pStyle w:val="TextBody"/>
        <w:bidi w:val="0"/>
        <w:spacing w:before="1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ADDENDUM 1 TO</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STATEMENT OF POLICY TO SENIOR PERSONNEL CONCERNING</w:t>
      </w:r>
    </w:p>
    <w:p>
      <w:pPr>
        <w:pStyle w:val="TextBody"/>
        <w:bidi w:val="0"/>
        <w:jc w:val="center"/>
        <w:rPr>
          <w:rFonts w:ascii="Times New Roman" w:hAnsi="Times New Roman"/>
          <w:b/>
          <w:color w:val="000000"/>
          <w:sz w:val="24"/>
        </w:rPr>
      </w:pPr>
      <w:r>
        <w:rPr>
          <w:rFonts w:ascii="Times New Roman" w:hAnsi="Times New Roman"/>
          <w:b/>
          <w:color w:val="000000"/>
          <w:sz w:val="24"/>
        </w:rPr>
        <w:t>SECURITIES TRADING AND DISCLOSURE OF CONFIDENTIAL</w:t>
      </w:r>
    </w:p>
    <w:p>
      <w:pPr>
        <w:pStyle w:val="TextBody"/>
        <w:bidi w:val="0"/>
        <w:jc w:val="center"/>
        <w:rPr>
          <w:rFonts w:ascii="Times New Roman" w:hAnsi="Times New Roman"/>
          <w:b/>
          <w:color w:val="000000"/>
          <w:sz w:val="24"/>
        </w:rPr>
      </w:pPr>
      <w:r>
        <w:rPr>
          <w:rFonts w:ascii="Times New Roman" w:hAnsi="Times New Roman"/>
          <w:b/>
          <w:color w:val="000000"/>
          <w:sz w:val="24"/>
        </w:rPr>
        <w:t>INFORMATION (THE “POLICY”)</w:t>
      </w:r>
    </w:p>
    <w:p>
      <w:pPr>
        <w:pStyle w:val="TextBody"/>
        <w:bidi w:val="0"/>
        <w:spacing w:before="240" w:after="283"/>
        <w:jc w:val="both"/>
        <w:rPr>
          <w:rFonts w:ascii="Times New Roman" w:hAnsi="Times New Roman"/>
          <w:color w:val="212B2F"/>
          <w:sz w:val="24"/>
        </w:rPr>
      </w:pPr>
      <w:r>
        <w:rPr>
          <w:rFonts w:ascii="Times New Roman" w:hAnsi="Times New Roman"/>
          <w:color w:val="212B2F"/>
          <w:sz w:val="24"/>
        </w:rPr>
        <w:t>This Addendum has been adopted by the Board of Directors of Great Lakes Dredge &amp; Dock Corporation, a Delaware corporation (the “Company”). Capitalized terms not defined in this Addendum shall have the meaning set forth in the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212B2F"/>
          <w:sz w:val="24"/>
          <w:u w:val="single"/>
        </w:rPr>
        <w:t>Guidelines Regarding Strategic Transactions</w:t>
      </w:r>
      <w:r>
        <w:rPr>
          <w:rFonts w:ascii="Times New Roman" w:hAnsi="Times New Roman"/>
          <w:color w:val="212B2F"/>
          <w:sz w:val="24"/>
        </w:rPr>
        <w:t>.</w:t>
      </w:r>
    </w:p>
    <w:p>
      <w:pPr>
        <w:pStyle w:val="TextBody"/>
        <w:bidi w:val="0"/>
        <w:spacing w:before="240" w:after="283"/>
        <w:jc w:val="both"/>
        <w:rPr>
          <w:rFonts w:ascii="Times New Roman" w:hAnsi="Times New Roman"/>
          <w:color w:val="212B2F"/>
          <w:sz w:val="24"/>
        </w:rPr>
      </w:pPr>
      <w:r>
        <w:rPr>
          <w:rFonts w:ascii="Times New Roman" w:hAnsi="Times New Roman"/>
          <w:color w:val="212B2F"/>
          <w:sz w:val="24"/>
        </w:rPr>
        <w:t>From time to time, the Company may engage in strategic transactions, including acquisitions, divestitures, partnerships or other combinations. Prior to entering into such transaction, the Company conducts due diligence and analysis regarding the strategic transactions and may engage the Board in discussion or consultation. Although such deliberations may not necessarily in every instance rise to the level of material information for securities law purposes, the Board desires to restrict trading and utilization of information regarding such potential strategic transactions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212B2F"/>
          <w:sz w:val="24"/>
        </w:rPr>
      </w:pPr>
      <w:r>
        <w:rPr>
          <w:rFonts w:ascii="Times New Roman" w:hAnsi="Times New Roman"/>
          <w:color w:val="212B2F"/>
          <w:sz w:val="24"/>
        </w:rPr>
        <w:t>Information regarding strategic transactions shall be considered confidential information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212B2F"/>
          <w:sz w:val="24"/>
        </w:rPr>
      </w:pPr>
      <w:r>
        <w:rPr>
          <w:rFonts w:ascii="Times New Roman" w:hAnsi="Times New Roman"/>
          <w:color w:val="212B2F"/>
          <w:sz w:val="24"/>
        </w:rPr>
        <w:t>The Chief Compliance Officer may nominate to the Board Chair and the Chief Executive Officer (“CEO”) certain strategic transactions for consideration as “Top Tier Targets.” The Board Chair and CEO shall determine which strategic transactions shall be deemed Top Tier Targets, and the identity of Top Tier Targets shall be shared with each Director.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212B2F"/>
          <w:sz w:val="24"/>
        </w:rPr>
      </w:pPr>
      <w:r>
        <w:rPr>
          <w:rFonts w:ascii="Times New Roman" w:hAnsi="Times New Roman"/>
          <w:color w:val="212B2F"/>
          <w:sz w:val="24"/>
        </w:rPr>
        <w:t>Senior Personnel with prior ownership of the Top Tier Target, or a conflict of interest or potential conflict of interest in a Top Tier Target shall disclose such ownership, conflict or potential conflict to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212B2F"/>
          <w:sz w:val="24"/>
        </w:rPr>
      </w:pPr>
      <w:r>
        <w:rPr>
          <w:rFonts w:ascii="Times New Roman" w:hAnsi="Times New Roman"/>
          <w:color w:val="212B2F"/>
          <w:sz w:val="24"/>
        </w:rPr>
        <w:t>Senior Personnel who have knowledge regarding the Company’s interest in Top Tier Targets shall be prohibited from buying or selling securities of the Top Tier Target. However, Senior Personnel with prior ownership of a Top Tier Target may sell his/her ownership position within five (5) business days of being notified of the placement of a company on the Top Tier Target list following approval from the Chief Compliance Officer.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212B2F"/>
          <w:sz w:val="24"/>
        </w:rPr>
      </w:pPr>
      <w:r>
        <w:rPr>
          <w:rFonts w:ascii="Times New Roman" w:hAnsi="Times New Roman"/>
          <w:color w:val="212B2F"/>
          <w:sz w:val="24"/>
        </w:rPr>
        <w:t>The Chief Compliance Officer shall review the Company’s interest level in and process and progress regarding each Top Tier Target and shall consider whether the Company’s activity rises to the level of material information for securities law purposes. In such cases, the Chief Compliance Officer shall initiate an Event Specific Blackout and follow the procedures set forth in the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Board Consideration of Prior Ownership or Conflicts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 the event Senior Personnel has prior ownership of a company later designated as a Top Tier Target (and does not sell his/her position in accordance with Section A4 above) or otherwise discloses a conflict of interest or potential conflict of interest, the Board shall consider whether such individual shall be excluded from participation in deliberations, analysis and/or decision-making regarding the Top Tier Target. Unless otherwise determined by the Board, restrictions shall not apply to an individual with a </w:t>
      </w:r>
      <w:r>
        <w:rPr>
          <w:rFonts w:ascii="Times New Roman" w:hAnsi="Times New Roman"/>
          <w:i/>
          <w:color w:val="000000"/>
          <w:sz w:val="24"/>
        </w:rPr>
        <w:t xml:space="preserve">de minimis </w:t>
      </w:r>
      <w:r>
        <w:rPr>
          <w:rFonts w:ascii="Times New Roman" w:hAnsi="Times New Roman"/>
          <w:color w:val="000000"/>
          <w:sz w:val="24"/>
        </w:rPr>
        <w:t xml:space="preserve">ownership or </w:t>
      </w:r>
      <w:r>
        <w:rPr>
          <w:rFonts w:ascii="Times New Roman" w:hAnsi="Times New Roman"/>
          <w:i/>
          <w:color w:val="000000"/>
          <w:sz w:val="24"/>
        </w:rPr>
        <w:t xml:space="preserve">Passive Investment </w:t>
      </w:r>
      <w:r>
        <w:rPr>
          <w:rFonts w:ascii="Times New Roman" w:hAnsi="Times New Roman"/>
          <w:color w:val="000000"/>
          <w:sz w:val="24"/>
        </w:rPr>
        <w:t>in a Top Tier Target.</w:t>
      </w:r>
    </w:p>
    <w:p>
      <w:pPr>
        <w:pStyle w:val="TextBody"/>
        <w:bidi w:val="0"/>
        <w:spacing w:before="240" w:after="283"/>
        <w:jc w:val="both"/>
        <w:rPr>
          <w:color w:val="000000"/>
        </w:rPr>
      </w:pPr>
      <w:r>
        <w:rPr>
          <w:color w:val="000000"/>
        </w:rPr>
        <w:t>“</w:t>
      </w:r>
      <w:r>
        <w:rPr>
          <w:rFonts w:ascii="Times New Roman" w:hAnsi="Times New Roman"/>
          <w:color w:val="000000"/>
          <w:sz w:val="24"/>
        </w:rPr>
        <w:t>Passive Investment” means a purely financial involvement in an organization for which the individual performs no managerial functions, provides no advice, and has no ability to influence the policies, products or business of the outside organization. Passive Investments include ownership of shares in a public or private company, whether held individually, in a 401K plan or as an investment in a stock mutual fund or stock market index fund.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Senior Personnel are expected to follow the letter and spirit of the Policy and this Addendum. Failure to observe these guidelines may result in serious consequences for both Senior Personnel personally as well as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May 8,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ADDENDUM 2 TO</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STATEMENT OF POLICY TO SENIOR PERSONNEL CONCERNING</w:t>
      </w:r>
    </w:p>
    <w:p>
      <w:pPr>
        <w:pStyle w:val="TextBody"/>
        <w:bidi w:val="0"/>
        <w:jc w:val="center"/>
        <w:rPr>
          <w:rFonts w:ascii="Times New Roman" w:hAnsi="Times New Roman"/>
          <w:b/>
          <w:color w:val="000000"/>
          <w:sz w:val="24"/>
        </w:rPr>
      </w:pPr>
      <w:r>
        <w:rPr>
          <w:rFonts w:ascii="Times New Roman" w:hAnsi="Times New Roman"/>
          <w:b/>
          <w:color w:val="000000"/>
          <w:sz w:val="24"/>
        </w:rPr>
        <w:t>SECURITIES TRADING AND DISCLOSURE OF CONFIDENTIAL</w:t>
      </w:r>
    </w:p>
    <w:p>
      <w:pPr>
        <w:pStyle w:val="TextBody"/>
        <w:bidi w:val="0"/>
        <w:jc w:val="center"/>
        <w:rPr>
          <w:rFonts w:ascii="Times New Roman" w:hAnsi="Times New Roman"/>
          <w:b/>
          <w:color w:val="000000"/>
          <w:sz w:val="24"/>
        </w:rPr>
      </w:pPr>
      <w:r>
        <w:rPr>
          <w:rFonts w:ascii="Times New Roman" w:hAnsi="Times New Roman"/>
          <w:b/>
          <w:color w:val="000000"/>
          <w:sz w:val="24"/>
        </w:rPr>
        <w:t>INFORMATION (THE “POLICY”)</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Guidelines for Rule 10b5-1 Trading Plans</w:t>
      </w:r>
    </w:p>
    <w:p>
      <w:pPr>
        <w:pStyle w:val="TextBody"/>
        <w:bidi w:val="0"/>
        <w:spacing w:before="120" w:after="283"/>
        <w:jc w:val="center"/>
        <w:rPr>
          <w:rFonts w:ascii="Times New Roman" w:hAnsi="Times New Roman"/>
          <w:i/>
          <w:color w:val="000000"/>
          <w:sz w:val="24"/>
        </w:rPr>
      </w:pPr>
      <w:r>
        <w:rPr>
          <w:rFonts w:ascii="Times New Roman" w:hAnsi="Times New Roman"/>
          <w:i/>
          <w:color w:val="000000"/>
          <w:sz w:val="24"/>
        </w:rPr>
        <w:t>Capitalized terms not defined herein have the meanings</w:t>
      </w:r>
    </w:p>
    <w:p>
      <w:pPr>
        <w:pStyle w:val="TextBody"/>
        <w:bidi w:val="0"/>
        <w:jc w:val="center"/>
        <w:rPr>
          <w:rFonts w:ascii="Times New Roman" w:hAnsi="Times New Roman"/>
          <w:i/>
          <w:color w:val="000000"/>
          <w:sz w:val="24"/>
        </w:rPr>
      </w:pPr>
      <w:r>
        <w:rPr>
          <w:rFonts w:ascii="Times New Roman" w:hAnsi="Times New Roman"/>
          <w:i/>
          <w:color w:val="000000"/>
          <w:sz w:val="24"/>
        </w:rPr>
        <w:t>ascribed to them in the Policy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be effective, a Rule 10b5-1 trading plan must: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Include representations certifying that (a) you are not aware of material non-public information at the time of adoption and (b) you are entering into the plan in good faith, and not as part of a plan or scheme to shield trades that would otherwise be considered violations of the insider trading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Specify the beginning and end dates for the Rule 10b5-1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Specify either (a) the amount and price of the Company securities to be purchased or sold and the dates for such purchases or sales or (b) a formula that determines the amount and price of the Company securities to be purchased or sold and the dates for such purchases or sales;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established outside of any and all Blackout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put in place only at a broker acceptable to the Company’s Pre-Clearance Officer;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reviewed by the Company’s Pre-Clearance Officer before the Rule 10b5-1 trading plan is put in place;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subsequently modified only during an open trading window and with approval from the Company’s Pre-Clearance Officer;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modified, meet all requirements of a newly adopted plan, as if adopted on the date of modification;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terminated before the end of its term and a new plan is put into place, be implemented only during a non-Blackout Period unless an exception is otherwise approved in advance by the Company’s Pre-Clearance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Comply with the following “cooling-off”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Company’s directors and Section 16 officers, provide that no trade under a Rule 10b5-1 trading plan may occur until the later of (i) 90 days after the adoption of the plan or (ii) two business days after the filing of the Company’s Form 10-Q (or Form 10-K for any plan executed during the fourth fiscal quarter) for the fiscal quarter in which the plan was adopted, up to a maximum of 120 days after adoption of the plan;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other insiders, provide that no trade may occur until 30 days after adoption of the Rule 10b5-1 trading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the sole outstanding Rule 10b5-1 trading plan for such insider, unless an exception is approved in advance by the Company’s Pre-Clearance Officer, after evaluating whether any such additional plan would be permitted by Rule 10b5-1;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if such Rule 10b5-1 trading plan is a single-trade plan, the sole single-trade plan within any consecutive twelve month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Additionally, the Company requires that you act in good faith with respect to the Rule 10b5-1 plan for the entire duration of the plan.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May 8,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gldd-ex21.htm"/>
      <w:bookmarkStart w:id="45" w:name="ksglddex21"/>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jc w:val="left"/>
        <w:rPr/>
      </w:pPr>
      <w:r>
        <w:rPr/>
        <w:t> </w:t>
      </w:r>
    </w:p>
    <w:tbl>
      <w:tblPr>
        <w:tblW w:w="7363" w:type="dxa"/>
        <w:jc w:val="left"/>
        <w:tblInd w:w="0" w:type="dxa"/>
        <w:tblLayout w:type="fixed"/>
        <w:tblCellMar>
          <w:top w:w="28" w:type="dxa"/>
          <w:left w:w="28" w:type="dxa"/>
          <w:bottom w:w="28" w:type="dxa"/>
          <w:right w:w="28" w:type="dxa"/>
        </w:tblCellMar>
      </w:tblPr>
      <w:tblGrid>
        <w:gridCol w:w="4951"/>
        <w:gridCol w:w="146"/>
        <w:gridCol w:w="2266"/>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Jurisdiction of Incorporation</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Company,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U.S. Fleet Management, LLC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Environmental &amp; Infrastructure Solutions,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do Brasil Ltda.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(Bahamas)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Bahamas</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(UK) Limited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NASDI Holdings,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Terra Contracting Services, LLC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Delaware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 Fluid Management, LLC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Drews Services LLC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Carolina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gldd-ex23_1.htm"/>
      <w:bookmarkStart w:id="47" w:name="ksglddex23_1"/>
      <w:bookmarkEnd w:id="46"/>
      <w:bookmarkEnd w:id="47"/>
      <w:r>
        <w:rPr>
          <w:rFonts w:ascii="Times New Roman" w:hAnsi="Times New Roman"/>
          <w:b/>
          <w:color w:val="000000"/>
          <w:sz w:val="20"/>
        </w:rPr>
        <w:t>Exhibit 23.1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consent to the incorporation by reference in Registration Statement No. 333-153207 on Form S-3 and Registration Statement Nos. 333-287107, 333-287108, 333-150067, 333-256955 and 333-185350 on Form S-8 of our reports dated February 23, 2026, relating to the financial statements of Great Lakes Dredge &amp; Dock Corporation and the effectiveness of Great Lakes Dredge &amp; Dock Corporation's internal control over financial reporting appearing in this Annual Report on Form 10-K for the year ended December 31, 2025.</w:t>
      </w:r>
    </w:p>
    <w:p>
      <w:pPr>
        <w:pStyle w:val="TextBody"/>
        <w:bidi w:val="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Deloitte &amp; Touche LLP</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Chicago, Illinois</w:t>
            </w:r>
          </w:p>
        </w:tc>
      </w:tr>
      <w:tr>
        <w:trPr/>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23, 2026</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gldd-ex31_1.htm"/>
      <w:bookmarkStart w:id="49" w:name="ksglddex31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CERTIFICATIONS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Lasse J. Petterson,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Great Lakes Dredge &amp; Dock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23,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LASSE J. PETTERSON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gldd-ex31_2.htm"/>
      <w:bookmarkStart w:id="51" w:name="ksglddex31_2"/>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CERTIFICATIONS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Kornblau,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Great Lakes Dredge &amp; Dock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23, 2026</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KORNBLAU</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gldd-ex32_1.htm"/>
      <w:bookmarkStart w:id="53" w:name="ksglddex32_1"/>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Great Lakes Dredge &amp; Dock Corporation (the “Company”) on Form 10-K for the year ended December 31, 2024,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pStyle w:val="TextBody"/>
        <w:bidi w:val="0"/>
        <w:spacing w:before="240" w:after="283"/>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LASSE J. PETTERSON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23, 2026</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gldd-ex32_2.htm"/>
      <w:bookmarkStart w:id="55" w:name="ksglddex32_2"/>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Great Lakes Dredge &amp; Dock Corporation (the “Company”) on Form 10-K for the year ended December 31, 2024,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pStyle w:val="TextBody"/>
        <w:bidi w:val="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6"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SCOTT KORNBLAU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23,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0885538/000110465904000242/a03-6613_1ex2d1.htm" TargetMode="External"/><Relationship Id="rId5" Type="http://schemas.openxmlformats.org/officeDocument/2006/relationships/hyperlink" Target="https://www.sec.gov/Archives/edgar/data/0000885538/000110465904000242/a03-6613_1ex2d1.htm" TargetMode="External"/><Relationship Id="rId6" Type="http://schemas.openxmlformats.org/officeDocument/2006/relationships/hyperlink" Target="https://www.sec.gov/Archives/edgar/data/0000885538/000110465906043195/a06-14169_1ex2d1.htm" TargetMode="External"/><Relationship Id="rId7" Type="http://schemas.openxmlformats.org/officeDocument/2006/relationships/hyperlink" Target="https://www.sec.gov/Archives/edgar/data/0000885538/000110465906043195/a06-14169_1ex2d1.htm" TargetMode="External"/><Relationship Id="rId8" Type="http://schemas.openxmlformats.org/officeDocument/2006/relationships/hyperlink" Target="https://www.sec.gov/Archives/edgar/data/1372020/000119312526045567/d68610dex21.htm" TargetMode="External"/><Relationship Id="rId9" Type="http://schemas.openxmlformats.org/officeDocument/2006/relationships/hyperlink" Target="https://www.sec.gov/Archives/edgar/data/1372020/000119312526045567/d68610dex21.htm" TargetMode="External"/><Relationship Id="rId10" Type="http://schemas.openxmlformats.org/officeDocument/2006/relationships/hyperlink" Target="https://www.sec.gov/Archives/edgar/data/1372020/000095017024091731/gldd-ex3_1.htm" TargetMode="External"/><Relationship Id="rId11" Type="http://schemas.openxmlformats.org/officeDocument/2006/relationships/hyperlink" Target="https://www.sec.gov/Archives/edgar/data/1372020/000095017024091731/gldd-ex3_1.htm" TargetMode="External"/><Relationship Id="rId12" Type="http://schemas.openxmlformats.org/officeDocument/2006/relationships/hyperlink" Target="https://www.sec.gov/Archives/edgar/data/1372020/000095017023000932/gldd-ex3_1.htm" TargetMode="External"/><Relationship Id="rId13" Type="http://schemas.openxmlformats.org/officeDocument/2006/relationships/hyperlink" Target="https://www.sec.gov/Archives/edgar/data/1372020/000095017023000932/gldd-ex3_1.htm" TargetMode="External"/><Relationship Id="rId14" Type="http://schemas.openxmlformats.org/officeDocument/2006/relationships/hyperlink" Target="https://www.sec.gov/Archives/edgar/data/0001372020/000110465906084429/a06-26373_1ex3d1.htm" TargetMode="External"/><Relationship Id="rId15" Type="http://schemas.openxmlformats.org/officeDocument/2006/relationships/hyperlink" Target="https://www.sec.gov/Archives/edgar/data/0001372020/000110465906084429/a06-26373_1ex3d1.htm" TargetMode="External"/><Relationship Id="rId16" Type="http://schemas.openxmlformats.org/officeDocument/2006/relationships/hyperlink" Target="https://www.sec.gov/Archives/edgar/data/1372020/000095017025024407/gldd-ex4_1.htm" TargetMode="External"/><Relationship Id="rId17" Type="http://schemas.openxmlformats.org/officeDocument/2006/relationships/hyperlink" Target="https://www.sec.gov/Archives/edgar/data/1372020/000095017025024407/gldd-ex4_1.htm" TargetMode="External"/><Relationship Id="rId18" Type="http://schemas.openxmlformats.org/officeDocument/2006/relationships/hyperlink" Target="https://www.sec.gov/Archives/edgar/data/0001372020/000110465907021696/a07-5615_1ex4d10.htm" TargetMode="External"/><Relationship Id="rId19" Type="http://schemas.openxmlformats.org/officeDocument/2006/relationships/hyperlink" Target="https://www.sec.gov/Archives/edgar/data/0001372020/000110465907021696/a07-5615_1ex4d10.htm" TargetMode="External"/><Relationship Id="rId20" Type="http://schemas.openxmlformats.org/officeDocument/2006/relationships/hyperlink" Target="https://www.sec.gov/Archives/edgar/data/1372020/000156459021029758/gldd-ex41_42.htm" TargetMode="External"/><Relationship Id="rId21" Type="http://schemas.openxmlformats.org/officeDocument/2006/relationships/hyperlink" Target="https://www.sec.gov/Archives/edgar/data/1372020/000156459021029758/gldd-ex41_42.htm" TargetMode="External"/><Relationship Id="rId22" Type="http://schemas.openxmlformats.org/officeDocument/2006/relationships/hyperlink" Target="https://www.sec.gov/Archives/edgar/data/0001372020/000156459021029758/gldd-ex41_42.htm" TargetMode="External"/><Relationship Id="rId23" Type="http://schemas.openxmlformats.org/officeDocument/2006/relationships/hyperlink" Target="https://www.sec.gov/Archives/edgar/data/0001372020/000156459021029758/gldd-ex41_42.htm" TargetMode="External"/><Relationship Id="rId24" Type="http://schemas.openxmlformats.org/officeDocument/2006/relationships/hyperlink" Target="https://www.sec.gov/Archives/edgar/data/0001372020/000156459017007964/gldd-ex101_6.htm" TargetMode="External"/><Relationship Id="rId25" Type="http://schemas.openxmlformats.org/officeDocument/2006/relationships/hyperlink" Target="https://www.sec.gov/Archives/edgar/data/0001372020/000156459017007964/gldd-ex101_6.htm" TargetMode="External"/><Relationship Id="rId26" Type="http://schemas.openxmlformats.org/officeDocument/2006/relationships/hyperlink" Target="https://www.sec.gov/Archives/edgar/data/1372020/000156459021050073/gldd-ex101_6.htm" TargetMode="External"/><Relationship Id="rId27" Type="http://schemas.openxmlformats.org/officeDocument/2006/relationships/hyperlink" Target="https://www.sec.gov/Archives/edgar/data/1372020/000156459021050073/gldd-ex101_6.htm" TargetMode="External"/><Relationship Id="rId28" Type="http://schemas.openxmlformats.org/officeDocument/2006/relationships/hyperlink" Target="https://www.sec.gov/Archives/edgar/data/1372020/000156459022006231/gldd-ex1010_1113.htm" TargetMode="External"/><Relationship Id="rId29" Type="http://schemas.openxmlformats.org/officeDocument/2006/relationships/hyperlink" Target="https://www.sec.gov/Archives/edgar/data/1372020/000156459022006231/gldd-ex1010_1113.htm" TargetMode="External"/><Relationship Id="rId30" Type="http://schemas.openxmlformats.org/officeDocument/2006/relationships/hyperlink" Target="https://www.sec.gov/Archives/edgar/data/1372020/000095017024016412/gldd-ex10_4.htm" TargetMode="External"/><Relationship Id="rId31" Type="http://schemas.openxmlformats.org/officeDocument/2006/relationships/hyperlink" Target="https://www.sec.gov/Archives/edgar/data/1372020/000095017024016412/gldd-ex10_4.htm" TargetMode="External"/><Relationship Id="rId32" Type="http://schemas.openxmlformats.org/officeDocument/2006/relationships/hyperlink" Target="https://www.sec.gov/Archives/edgar/data/0001372020/000119312512013901/d284301dex101.htm" TargetMode="External"/><Relationship Id="rId33" Type="http://schemas.openxmlformats.org/officeDocument/2006/relationships/hyperlink" Target="https://www.sec.gov/Archives/edgar/data/0001372020/000119312512013901/d284301dex101.htm" TargetMode="External"/><Relationship Id="rId34" Type="http://schemas.openxmlformats.org/officeDocument/2006/relationships/hyperlink" Target="https://www.sec.gov/Archives/edgar/data/0000885538/000110465905013624/a05-5703_1ex10d14.htm" TargetMode="External"/><Relationship Id="rId35" Type="http://schemas.openxmlformats.org/officeDocument/2006/relationships/hyperlink" Target="https://www.sec.gov/Archives/edgar/data/0000885538/000110465905013624/a05-5703_1ex10d14.htm" TargetMode="External"/><Relationship Id="rId36" Type="http://schemas.openxmlformats.org/officeDocument/2006/relationships/hyperlink" Target="https://www.sec.gov/Archives/edgar/data/0001372020/000119312514094004/d689260dex1024.htm" TargetMode="External"/><Relationship Id="rId37" Type="http://schemas.openxmlformats.org/officeDocument/2006/relationships/hyperlink" Target="https://www.sec.gov/Archives/edgar/data/0001372020/000119312514094004/d689260dex1024.htm" TargetMode="External"/><Relationship Id="rId38" Type="http://schemas.openxmlformats.org/officeDocument/2006/relationships/hyperlink" Target="https://www.sec.gov/Archives/edgar/data/1372020/000156459018003940/gldd-ex1025_131.htm" TargetMode="External"/><Relationship Id="rId39" Type="http://schemas.openxmlformats.org/officeDocument/2006/relationships/hyperlink" Target="https://www.sec.gov/Archives/edgar/data/1372020/000156459018003940/gldd-ex1025_131.htm" TargetMode="External"/><Relationship Id="rId40" Type="http://schemas.openxmlformats.org/officeDocument/2006/relationships/hyperlink" Target="https://www.sec.gov/Archives/edgar/data/0001372020/000104746906011212/a2172300zex-10_17.htm" TargetMode="External"/><Relationship Id="rId41" Type="http://schemas.openxmlformats.org/officeDocument/2006/relationships/hyperlink" Target="https://www.sec.gov/Archives/edgar/data/0001372020/000104746906011212/a2172300zex-10_17.htm" TargetMode="External"/><Relationship Id="rId42" Type="http://schemas.openxmlformats.org/officeDocument/2006/relationships/hyperlink" Target="https://www.sec.gov/Archives/edgar/data/0001372020/000156459017011213/gldd-ex101_6.htm" TargetMode="External"/><Relationship Id="rId43" Type="http://schemas.openxmlformats.org/officeDocument/2006/relationships/hyperlink" Target="https://www.sec.gov/Archives/edgar/data/0001372020/000156459017011213/gldd-ex101_6.htm" TargetMode="External"/><Relationship Id="rId44" Type="http://schemas.openxmlformats.org/officeDocument/2006/relationships/hyperlink" Target="https://www.sec.gov/Archives/edgar/data/0001372020/000156459021025527/gldd-ex101_6.htm" TargetMode="External"/><Relationship Id="rId45" Type="http://schemas.openxmlformats.org/officeDocument/2006/relationships/hyperlink" Target="https://www.sec.gov/Archives/edgar/data/0001372020/000156459021025527/gldd-ex101_6.htm" TargetMode="External"/><Relationship Id="rId46" Type="http://schemas.openxmlformats.org/officeDocument/2006/relationships/hyperlink" Target="https://www.sec.gov/Archives/edgar/data/1372020/000156459018010996/gldd-ex101_129.htm" TargetMode="External"/><Relationship Id="rId47" Type="http://schemas.openxmlformats.org/officeDocument/2006/relationships/hyperlink" Target="https://www.sec.gov/Archives/edgar/data/1372020/000156459018010996/gldd-ex101_129.htm" TargetMode="External"/><Relationship Id="rId48" Type="http://schemas.openxmlformats.org/officeDocument/2006/relationships/hyperlink" Target="https://www.sec.gov/Archives/edgar/data/1372020/000156459018010996/gldd-ex102_131.htm" TargetMode="External"/><Relationship Id="rId49" Type="http://schemas.openxmlformats.org/officeDocument/2006/relationships/hyperlink" Target="https://www.sec.gov/Archives/edgar/data/1372020/000156459018010996/gldd-ex102_131.htm" TargetMode="External"/><Relationship Id="rId50" Type="http://schemas.openxmlformats.org/officeDocument/2006/relationships/hyperlink" Target="https://www.sec.gov/Archives/edgar/data/1372020/000156459019015687/gldd-ex101_108.htm" TargetMode="External"/><Relationship Id="rId51" Type="http://schemas.openxmlformats.org/officeDocument/2006/relationships/hyperlink" Target="https://www.sec.gov/Archives/edgar/data/1372020/000156459019015687/gldd-ex101_108.htm" TargetMode="External"/><Relationship Id="rId52" Type="http://schemas.openxmlformats.org/officeDocument/2006/relationships/hyperlink" Target="https://www.sec.gov/Archives/edgar/data/1372020/000156459019015687/gldd-ex102_84.htm" TargetMode="External"/><Relationship Id="rId53" Type="http://schemas.openxmlformats.org/officeDocument/2006/relationships/hyperlink" Target="https://www.sec.gov/Archives/edgar/data/1372020/000156459019015687/gldd-ex102_84.htm" TargetMode="External"/><Relationship Id="rId54" Type="http://schemas.openxmlformats.org/officeDocument/2006/relationships/hyperlink" Target="https://www.sec.gov/Archives/edgar/data/0001372020/000156459021028701/gldd-ex101_33.htm" TargetMode="External"/><Relationship Id="rId55" Type="http://schemas.openxmlformats.org/officeDocument/2006/relationships/hyperlink" Target="https://www.sec.gov/Archives/edgar/data/0001372020/000156459021028701/gldd-ex101_33.htm" TargetMode="External"/><Relationship Id="rId56" Type="http://schemas.openxmlformats.org/officeDocument/2006/relationships/hyperlink" Target="https://www.sec.gov/Archives/edgar/data/1372020/000156459022027173/gldd-ex101_39.htm" TargetMode="External"/><Relationship Id="rId57" Type="http://schemas.openxmlformats.org/officeDocument/2006/relationships/hyperlink" Target="https://www.sec.gov/Archives/edgar/data/1372020/000156459022027173/gldd-ex101_39.htm" TargetMode="External"/><Relationship Id="rId58" Type="http://schemas.openxmlformats.org/officeDocument/2006/relationships/hyperlink" Target="https://www.sec.gov/Archives/edgar/data/1372020/000156459020036109/gldd-ex101_121.htm" TargetMode="External"/><Relationship Id="rId59" Type="http://schemas.openxmlformats.org/officeDocument/2006/relationships/hyperlink" Target="https://www.sec.gov/Archives/edgar/data/1372020/000156459020036109/gldd-ex101_121.htm" TargetMode="External"/><Relationship Id="rId60" Type="http://schemas.openxmlformats.org/officeDocument/2006/relationships/hyperlink" Target="https://www.sec.gov/Archives/edgar/data/1372020/000156459022006231/gldd-ex1029_1112.htm" TargetMode="External"/><Relationship Id="rId61" Type="http://schemas.openxmlformats.org/officeDocument/2006/relationships/hyperlink" Target="https://www.sec.gov/Archives/edgar/data/1372020/000156459022006231/gldd-ex1029_1112.htm" TargetMode="External"/><Relationship Id="rId62" Type="http://schemas.openxmlformats.org/officeDocument/2006/relationships/hyperlink" Target="https://www.sec.gov/Archives/edgar/data/1372020/000156459022006231/gldd-ex1029_1112.htm" TargetMode="External"/><Relationship Id="rId63" Type="http://schemas.openxmlformats.org/officeDocument/2006/relationships/hyperlink" Target="https://www.sec.gov/Archives/edgar/data/1372020/000095017023016655/gldd-ex10_1.htm" TargetMode="External"/><Relationship Id="rId64" Type="http://schemas.openxmlformats.org/officeDocument/2006/relationships/hyperlink" Target="https://www.sec.gov/Archives/edgar/data/1372020/000095017023016655/gldd-ex10_1.htm" TargetMode="External"/><Relationship Id="rId65" Type="http://schemas.openxmlformats.org/officeDocument/2006/relationships/hyperlink" Target="https://www.sec.gov/Archives/edgar/data/1372020/000095017024047945/gldd-ex10_2.htm" TargetMode="External"/><Relationship Id="rId66" Type="http://schemas.openxmlformats.org/officeDocument/2006/relationships/hyperlink" Target="https://www.sec.gov/Archives/edgar/data/1372020/000095017024047945/gldd-ex10_2.htm" TargetMode="External"/><Relationship Id="rId67" Type="http://schemas.openxmlformats.org/officeDocument/2006/relationships/hyperlink" Target="https://www.sec.gov/Archives/edgar/data/1372020/000095017025102970/gldd-ex10_1.htm" TargetMode="External"/><Relationship Id="rId68" Type="http://schemas.openxmlformats.org/officeDocument/2006/relationships/hyperlink" Target="https://www.sec.gov/Archives/edgar/data/1372020/000095017025102970/gldd-ex10_1.htm" TargetMode="External"/><Relationship Id="rId69" Type="http://schemas.openxmlformats.org/officeDocument/2006/relationships/hyperlink" Target="https://www.sec.gov/Archives/edgar/data/1372020/000119312525251593/gldd-ex10_1.htm" TargetMode="External"/><Relationship Id="rId70" Type="http://schemas.openxmlformats.org/officeDocument/2006/relationships/hyperlink" Target="https://www.sec.gov/Archives/edgar/data/1372020/000119312525251593/gldd-ex10_1.htm" TargetMode="External"/><Relationship Id="rId71" Type="http://schemas.openxmlformats.org/officeDocument/2006/relationships/hyperlink" Target="https://www.sec.gov/Archives/edgar/data/1372020/000119312526045567/d68610dex101.htm" TargetMode="External"/><Relationship Id="rId72" Type="http://schemas.openxmlformats.org/officeDocument/2006/relationships/hyperlink" Target="https://www.sec.gov/Archives/edgar/data/1372020/000119312526045567/d68610dex101.htm" TargetMode="External"/><Relationship Id="rId73" Type="http://schemas.openxmlformats.org/officeDocument/2006/relationships/hyperlink" Target="https://www.sec.gov/Archives/edgar/data/1372020/000119312526045567/d68610dex102.htm" TargetMode="External"/><Relationship Id="rId74" Type="http://schemas.openxmlformats.org/officeDocument/2006/relationships/hyperlink" Target="https://www.sec.gov/Archives/edgar/data/1372020/000119312526045567/d68610dex102.htm8610dex102.htm" TargetMode="External"/><Relationship Id="rId75" Type="http://schemas.openxmlformats.org/officeDocument/2006/relationships/hyperlink" Target="https://www.sec.gov/Archives/edgar/data/1372020/000119312526045567/d68610dex103.htm" TargetMode="External"/><Relationship Id="rId76" Type="http://schemas.openxmlformats.org/officeDocument/2006/relationships/hyperlink" Target="https://www.sec.gov/Archives/edgar/data/1372020/000119312526045567/d68610dex103.htm" TargetMode="External"/><Relationship Id="rId77" Type="http://schemas.openxmlformats.org/officeDocument/2006/relationships/hyperlink" Target="https://www.sec.gov/Archives/edgar/data/1372020/000119312526045567/d68610dex104.htm" TargetMode="External"/><Relationship Id="rId78" Type="http://schemas.openxmlformats.org/officeDocument/2006/relationships/hyperlink" Target="https://www.sec.gov/Archives/edgar/data/1372020/000119312526045567/d68610dex104.htm" TargetMode="External"/><Relationship Id="rId79" Type="http://schemas.openxmlformats.org/officeDocument/2006/relationships/hyperlink" Target="https://www.sec.gov/Archives/edgar/data/1372020/000119312526045567/d68610dex105.htm" TargetMode="External"/><Relationship Id="rId80" Type="http://schemas.openxmlformats.org/officeDocument/2006/relationships/hyperlink" Target="https://www.sec.gov/Archives/edgar/data/1372020/000119312526045567/d68610dex105.htm" TargetMode="External"/><Relationship Id="rId81" Type="http://schemas.openxmlformats.org/officeDocument/2006/relationships/hyperlink" Target="https://www.sec.gov/Archives/edgar/data/1372020/000095017024016412/gldd-ex97.htm" TargetMode="External"/><Relationship Id="rId82" Type="http://schemas.openxmlformats.org/officeDocument/2006/relationships/hyperlink" Target="https://www.sec.gov/Archives/edgar/data/1372020/000095017024016412/gldd-ex97.htm" TargetMode="External"/><Relationship Id="rId83" Type="http://schemas.openxmlformats.org/officeDocument/2006/relationships/image" Target="media/image3.jpeg"/><Relationship Id="rId84" Type="http://schemas.openxmlformats.org/officeDocument/2006/relationships/image" Target="media/image3.jpeg"/><Relationship Id="rId85" Type="http://schemas.openxmlformats.org/officeDocument/2006/relationships/image" Target="media/image4.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60947</Words>
  <Characters>337467</Characters>
  <CharactersWithSpaces>399331</CharactersWithSpaces>
  <Paragraphs>8129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