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307975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325120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67945</wp:posOffset>
            </wp:positionV>
            <wp:extent cx="1433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87630</wp:posOffset>
            </wp:positionV>
            <wp:extent cx="1433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84" w:lineRule="exact"/>
        <w:rPr>
          <w:sz w:val="24"/>
          <w:szCs w:val="24"/>
          <w:color w:val="auto"/>
        </w:rPr>
      </w:pPr>
    </w:p>
    <w:p>
      <w:pPr>
        <w:ind w:left="1200" w:hanging="722"/>
        <w:spacing w:after="0"/>
        <w:tabs>
          <w:tab w:leader="none" w:pos="12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w:t>
      </w:r>
    </w:p>
    <w:p>
      <w:pPr>
        <w:spacing w:after="0" w:line="21" w:lineRule="exact"/>
        <w:rPr>
          <w:rFonts w:ascii="MS PGothic" w:cs="MS PGothic" w:eastAsia="MS PGothic" w:hAnsi="MS PGothic"/>
          <w:sz w:val="21"/>
          <w:szCs w:val="21"/>
          <w:color w:val="auto"/>
        </w:rPr>
      </w:pPr>
    </w:p>
    <w:p>
      <w:pPr>
        <w:ind w:left="5800"/>
        <w:spacing w:after="0"/>
        <w:rPr>
          <w:rFonts w:ascii="MS PGothic" w:cs="MS PGothic" w:eastAsia="MS PGothic" w:hAnsi="MS PGothic"/>
          <w:sz w:val="21"/>
          <w:szCs w:val="21"/>
          <w:color w:val="auto"/>
        </w:rPr>
      </w:pPr>
      <w:r>
        <w:rPr>
          <w:rFonts w:ascii="Arial" w:cs="Arial" w:eastAsia="Arial" w:hAnsi="Arial"/>
          <w:sz w:val="21"/>
          <w:szCs w:val="21"/>
          <w:b w:val="1"/>
          <w:bCs w:val="1"/>
          <w:color w:val="auto"/>
        </w:rPr>
        <w:t>OF 1934</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76" w:lineRule="exact"/>
        <w:rPr>
          <w:sz w:val="24"/>
          <w:szCs w:val="24"/>
          <w:color w:val="auto"/>
        </w:rPr>
      </w:pPr>
    </w:p>
    <w:p>
      <w:pPr>
        <w:ind w:left="1200" w:hanging="722"/>
        <w:spacing w:after="0"/>
        <w:tabs>
          <w:tab w:leader="none" w:pos="12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w:t>
      </w:r>
    </w:p>
    <w:p>
      <w:pPr>
        <w:spacing w:after="0" w:line="21" w:lineRule="exact"/>
        <w:rPr>
          <w:rFonts w:ascii="MS PGothic" w:cs="MS PGothic" w:eastAsia="MS PGothic" w:hAnsi="MS PGothic"/>
          <w:sz w:val="21"/>
          <w:szCs w:val="21"/>
          <w:color w:val="auto"/>
        </w:rPr>
      </w:pPr>
    </w:p>
    <w:p>
      <w:pPr>
        <w:ind w:left="5800"/>
        <w:spacing w:after="0"/>
        <w:rPr>
          <w:rFonts w:ascii="MS PGothic" w:cs="MS PGothic" w:eastAsia="MS PGothic" w:hAnsi="MS PGothic"/>
          <w:sz w:val="21"/>
          <w:szCs w:val="21"/>
          <w:color w:val="auto"/>
        </w:rPr>
      </w:pPr>
      <w:r>
        <w:rPr>
          <w:rFonts w:ascii="Arial" w:cs="Arial" w:eastAsia="Arial" w:hAnsi="Arial"/>
          <w:sz w:val="21"/>
          <w:szCs w:val="21"/>
          <w:b w:val="1"/>
          <w:bCs w:val="1"/>
          <w:color w:val="auto"/>
        </w:rPr>
        <w:t>OF 1934</w:t>
      </w:r>
    </w:p>
    <w:p>
      <w:pPr>
        <w:spacing w:after="0" w:line="62" w:lineRule="exact"/>
        <w:rPr>
          <w:sz w:val="24"/>
          <w:szCs w:val="24"/>
          <w:color w:val="auto"/>
        </w:rPr>
      </w:pPr>
    </w:p>
    <w:p>
      <w:pPr>
        <w:ind w:left="36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001-33225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3191510</wp:posOffset>
            </wp:positionH>
            <wp:positionV relativeFrom="paragraph">
              <wp:posOffset>90805</wp:posOffset>
            </wp:positionV>
            <wp:extent cx="758825" cy="758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8825" cy="758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39"/>
        <w:spacing w:after="0"/>
        <w:rPr>
          <w:sz w:val="20"/>
          <w:szCs w:val="20"/>
          <w:color w:val="auto"/>
        </w:rPr>
      </w:pPr>
      <w:r>
        <w:rPr>
          <w:rFonts w:ascii="Arial" w:cs="Arial" w:eastAsia="Arial" w:hAnsi="Arial"/>
          <w:sz w:val="42"/>
          <w:szCs w:val="42"/>
          <w:b w:val="1"/>
          <w:bCs w:val="1"/>
          <w:color w:val="auto"/>
        </w:rPr>
        <w:t>Great Lakes Dredge &amp; Dock Corporation</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69850</wp:posOffset>
            </wp:positionV>
            <wp:extent cx="1433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65" w:lineRule="exact"/>
        <w:rPr>
          <w:sz w:val="24"/>
          <w:szCs w:val="24"/>
          <w:color w:val="auto"/>
        </w:rPr>
      </w:pPr>
    </w:p>
    <w:tbl>
      <w:tblPr>
        <w:tblLayout w:type="fixed"/>
        <w:tblInd w:w="520" w:type="dxa"/>
        <w:tblCellMar>
          <w:top w:w="0" w:type="dxa"/>
          <w:left w:w="0" w:type="dxa"/>
          <w:bottom w:w="0" w:type="dxa"/>
          <w:right w:w="0" w:type="dxa"/>
        </w:tblCellMar>
      </w:tblPr>
      <w:tr>
        <w:trPr>
          <w:trHeight w:val="208"/>
        </w:trPr>
        <w:tc>
          <w:tcPr>
            <w:tcW w:w="960" w:type="dxa"/>
            <w:vAlign w:val="bottom"/>
          </w:tcPr>
          <w:p>
            <w:pPr>
              <w:spacing w:after="0"/>
              <w:rPr>
                <w:sz w:val="18"/>
                <w:szCs w:val="18"/>
                <w:color w:val="auto"/>
              </w:rPr>
            </w:pPr>
          </w:p>
        </w:tc>
        <w:tc>
          <w:tcPr>
            <w:tcW w:w="2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300" w:type="dxa"/>
            <w:vAlign w:val="bottom"/>
            <w:gridSpan w:val="2"/>
          </w:tcPr>
          <w:p>
            <w:pPr>
              <w:jc w:val="right"/>
              <w:ind w:right="1685"/>
              <w:spacing w:after="0"/>
              <w:rPr>
                <w:sz w:val="20"/>
                <w:szCs w:val="20"/>
                <w:color w:val="auto"/>
              </w:rPr>
            </w:pPr>
            <w:r>
              <w:rPr>
                <w:rFonts w:ascii="Arial" w:cs="Arial" w:eastAsia="Arial" w:hAnsi="Arial"/>
                <w:sz w:val="18"/>
                <w:szCs w:val="18"/>
                <w:b w:val="1"/>
                <w:bCs w:val="1"/>
                <w:color w:val="auto"/>
              </w:rPr>
              <w:t>20-5336063</w:t>
            </w: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252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1"/>
              </w:rPr>
              <w:t>(State or other jurisdiction of</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tcPr>
          <w:p>
            <w:pPr>
              <w:jc w:val="center"/>
              <w:ind w:right="1165"/>
              <w:spacing w:after="0" w:line="146"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incorporation or organization)</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tcPr>
          <w:p>
            <w:pPr>
              <w:jc w:val="center"/>
              <w:ind w:right="1165"/>
              <w:spacing w:after="0"/>
              <w:rPr>
                <w:sz w:val="20"/>
                <w:szCs w:val="20"/>
                <w:color w:val="auto"/>
              </w:rPr>
            </w:pPr>
            <w:r>
              <w:rPr>
                <w:rFonts w:ascii="Arial" w:cs="Arial" w:eastAsia="Arial" w:hAnsi="Arial"/>
                <w:sz w:val="14"/>
                <w:szCs w:val="14"/>
                <w:b w:val="1"/>
                <w:bCs w:val="1"/>
                <w:color w:val="auto"/>
                <w:w w:val="92"/>
              </w:rPr>
              <w:t>Identification No.)</w:t>
            </w:r>
          </w:p>
        </w:tc>
        <w:tc>
          <w:tcPr>
            <w:tcW w:w="0" w:type="dxa"/>
            <w:vAlign w:val="bottom"/>
          </w:tcPr>
          <w:p>
            <w:pPr>
              <w:spacing w:after="0"/>
              <w:rPr>
                <w:sz w:val="1"/>
                <w:szCs w:val="1"/>
                <w:color w:val="auto"/>
              </w:rPr>
            </w:pPr>
          </w:p>
        </w:tc>
      </w:tr>
      <w:tr>
        <w:trPr>
          <w:trHeight w:val="307"/>
        </w:trPr>
        <w:tc>
          <w:tcPr>
            <w:tcW w:w="6860" w:type="dxa"/>
            <w:vAlign w:val="bottom"/>
            <w:gridSpan w:val="8"/>
          </w:tcPr>
          <w:p>
            <w:pPr>
              <w:jc w:val="center"/>
              <w:ind w:right="2380"/>
              <w:spacing w:after="0"/>
              <w:rPr>
                <w:sz w:val="20"/>
                <w:szCs w:val="20"/>
                <w:color w:val="auto"/>
              </w:rPr>
            </w:pPr>
            <w:r>
              <w:rPr>
                <w:rFonts w:ascii="Arial" w:cs="Arial" w:eastAsia="Arial" w:hAnsi="Arial"/>
                <w:sz w:val="18"/>
                <w:szCs w:val="18"/>
                <w:b w:val="1"/>
                <w:bCs w:val="1"/>
                <w:color w:val="auto"/>
                <w:w w:val="92"/>
              </w:rPr>
              <w:t>1 Parkview Plaza, Oakbrook Terrace, IL</w:t>
            </w:r>
          </w:p>
        </w:tc>
        <w:tc>
          <w:tcPr>
            <w:tcW w:w="3300" w:type="dxa"/>
            <w:vAlign w:val="bottom"/>
            <w:gridSpan w:val="2"/>
          </w:tcPr>
          <w:p>
            <w:pPr>
              <w:jc w:val="right"/>
              <w:ind w:right="1885"/>
              <w:spacing w:after="0"/>
              <w:rPr>
                <w:sz w:val="20"/>
                <w:szCs w:val="20"/>
                <w:color w:val="auto"/>
              </w:rPr>
            </w:pPr>
            <w:r>
              <w:rPr>
                <w:rFonts w:ascii="Arial" w:cs="Arial" w:eastAsia="Arial" w:hAnsi="Arial"/>
                <w:sz w:val="18"/>
                <w:szCs w:val="18"/>
                <w:b w:val="1"/>
                <w:bCs w:val="1"/>
                <w:color w:val="auto"/>
              </w:rPr>
              <w:t>60181</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tcPr>
          <w:p>
            <w:pPr>
              <w:jc w:val="center"/>
              <w:ind w:right="1165"/>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80" w:type="dxa"/>
            <w:vAlign w:val="bottom"/>
            <w:gridSpan w:val="3"/>
          </w:tcPr>
          <w:p>
            <w:pPr>
              <w:jc w:val="center"/>
              <w:ind w:left="900"/>
              <w:spacing w:after="0"/>
              <w:rPr>
                <w:sz w:val="20"/>
                <w:szCs w:val="20"/>
                <w:color w:val="auto"/>
              </w:rPr>
            </w:pPr>
            <w:r>
              <w:rPr>
                <w:rFonts w:ascii="Arial" w:cs="Arial" w:eastAsia="Arial" w:hAnsi="Arial"/>
                <w:sz w:val="18"/>
                <w:szCs w:val="18"/>
                <w:b w:val="1"/>
                <w:bCs w:val="1"/>
                <w:color w:val="auto"/>
                <w:w w:val="89"/>
              </w:rPr>
              <w:t>(630) 574-3000</w:t>
            </w: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3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(Registrant’s telephone number, including area code)</w:t>
            </w:r>
          </w:p>
        </w:tc>
        <w:tc>
          <w:tcPr>
            <w:tcW w:w="16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5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3480" w:type="dxa"/>
            <w:vAlign w:val="bottom"/>
            <w:gridSpan w:val="3"/>
            <w:vMerge w:val="continue"/>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960" w:type="dxa"/>
            <w:vAlign w:val="bottom"/>
          </w:tcPr>
          <w:p>
            <w:pPr>
              <w:spacing w:after="0"/>
              <w:rPr>
                <w:sz w:val="17"/>
                <w:szCs w:val="17"/>
                <w:color w:val="auto"/>
              </w:rPr>
            </w:pPr>
          </w:p>
        </w:tc>
        <w:tc>
          <w:tcPr>
            <w:tcW w:w="2520" w:type="dxa"/>
            <w:vAlign w:val="bottom"/>
            <w:gridSpan w:val="2"/>
          </w:tcPr>
          <w:p>
            <w:pPr>
              <w:jc w:val="center"/>
              <w:ind w:right="1240"/>
              <w:spacing w:after="0" w:line="197" w:lineRule="exact"/>
              <w:rPr>
                <w:sz w:val="20"/>
                <w:szCs w:val="20"/>
                <w:color w:val="auto"/>
              </w:rPr>
            </w:pPr>
            <w:r>
              <w:rPr>
                <w:rFonts w:ascii="Arial" w:cs="Arial" w:eastAsia="Arial" w:hAnsi="Arial"/>
                <w:sz w:val="18"/>
                <w:szCs w:val="18"/>
                <w:color w:val="auto"/>
                <w:w w:val="88"/>
              </w:rPr>
              <w:t>Title of each class</w:t>
            </w: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40" w:type="dxa"/>
            <w:vAlign w:val="bottom"/>
            <w:gridSpan w:val="3"/>
          </w:tcPr>
          <w:p>
            <w:pPr>
              <w:jc w:val="center"/>
              <w:ind w:right="1100"/>
              <w:spacing w:after="0" w:line="197" w:lineRule="exact"/>
              <w:rPr>
                <w:sz w:val="20"/>
                <w:szCs w:val="20"/>
                <w:color w:val="auto"/>
              </w:rPr>
            </w:pPr>
            <w:r>
              <w:rPr>
                <w:rFonts w:ascii="Arial" w:cs="Arial" w:eastAsia="Arial" w:hAnsi="Arial"/>
                <w:sz w:val="18"/>
                <w:szCs w:val="18"/>
                <w:color w:val="auto"/>
                <w:w w:val="91"/>
              </w:rPr>
              <w:t>Trading Symbol(s)</w:t>
            </w:r>
          </w:p>
        </w:tc>
        <w:tc>
          <w:tcPr>
            <w:tcW w:w="3300" w:type="dxa"/>
            <w:vAlign w:val="bottom"/>
            <w:gridSpan w:val="2"/>
          </w:tcPr>
          <w:p>
            <w:pPr>
              <w:jc w:val="center"/>
              <w:ind w:left="71"/>
              <w:spacing w:after="0" w:line="197" w:lineRule="exact"/>
              <w:rPr>
                <w:sz w:val="20"/>
                <w:szCs w:val="20"/>
                <w:color w:val="auto"/>
              </w:rPr>
            </w:pPr>
            <w:r>
              <w:rPr>
                <w:rFonts w:ascii="Arial" w:cs="Arial" w:eastAsia="Arial" w:hAnsi="Arial"/>
                <w:sz w:val="18"/>
                <w:szCs w:val="18"/>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4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Common Stock (Par Value $0.0001)</w:t>
            </w: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40" w:type="dxa"/>
            <w:vAlign w:val="bottom"/>
            <w:gridSpan w:val="3"/>
          </w:tcPr>
          <w:p>
            <w:pPr>
              <w:jc w:val="center"/>
              <w:ind w:right="1080"/>
              <w:spacing w:after="0"/>
              <w:rPr>
                <w:sz w:val="20"/>
                <w:szCs w:val="20"/>
                <w:color w:val="auto"/>
              </w:rPr>
            </w:pPr>
            <w:r>
              <w:rPr>
                <w:rFonts w:ascii="Arial" w:cs="Arial" w:eastAsia="Arial" w:hAnsi="Arial"/>
                <w:sz w:val="18"/>
                <w:szCs w:val="18"/>
                <w:color w:val="auto"/>
                <w:w w:val="95"/>
              </w:rPr>
              <w:t>GLDD</w:t>
            </w:r>
          </w:p>
        </w:tc>
        <w:tc>
          <w:tcPr>
            <w:tcW w:w="160" w:type="dxa"/>
            <w:vAlign w:val="bottom"/>
          </w:tcPr>
          <w:p>
            <w:pPr>
              <w:spacing w:after="0"/>
              <w:rPr>
                <w:sz w:val="23"/>
                <w:szCs w:val="23"/>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Nasdaq Stock Market, LLC</w:t>
            </w:r>
          </w:p>
        </w:tc>
        <w:tc>
          <w:tcPr>
            <w:tcW w:w="0" w:type="dxa"/>
            <w:vAlign w:val="bottom"/>
          </w:tcPr>
          <w:p>
            <w:pPr>
              <w:spacing w:after="0"/>
              <w:rPr>
                <w:sz w:val="1"/>
                <w:szCs w:val="1"/>
                <w:color w:val="auto"/>
              </w:rPr>
            </w:pPr>
          </w:p>
        </w:tc>
      </w:tr>
    </w:tbl>
    <w:p>
      <w:pPr>
        <w:spacing w:after="0" w:line="68" w:lineRule="exact"/>
        <w:rPr>
          <w:sz w:val="24"/>
          <w:szCs w:val="24"/>
          <w:color w:val="auto"/>
        </w:rPr>
      </w:pPr>
    </w:p>
    <w:p>
      <w:pPr>
        <w:ind w:right="220" w:firstLine="51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 w:lineRule="exact"/>
        <w:rPr>
          <w:sz w:val="24"/>
          <w:szCs w:val="24"/>
          <w:color w:val="auto"/>
        </w:rPr>
      </w:pPr>
    </w:p>
    <w:p>
      <w:pPr>
        <w:ind w:firstLine="510"/>
        <w:spacing w:after="0" w:line="30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60" w:val="left"/>
          <w:tab w:leader="none" w:pos="124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51" w:lineRule="exact"/>
        <w:rPr>
          <w:sz w:val="24"/>
          <w:szCs w:val="24"/>
          <w:color w:val="auto"/>
        </w:rPr>
      </w:pPr>
    </w:p>
    <w:p>
      <w:pPr>
        <w:jc w:val="both"/>
        <w:ind w:right="40" w:firstLine="51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2"/>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0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35" w:lineRule="exact"/>
        <w:rPr>
          <w:sz w:val="24"/>
          <w:szCs w:val="24"/>
          <w:color w:val="auto"/>
        </w:rPr>
      </w:pPr>
    </w:p>
    <w:p>
      <w:pPr>
        <w:ind w:right="160" w:firstLine="510"/>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340"/>
        <w:spacing w:after="0" w:line="24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29, 2020, 64,970,532 shares of the Registrant’s Common Stock, par value $.0001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51435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68580</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211455</wp:posOffset>
            </wp:positionV>
            <wp:extent cx="71348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537"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Page</w:t>
            </w:r>
          </w:p>
        </w:tc>
      </w:tr>
      <w:tr>
        <w:trPr>
          <w:trHeight w:val="324"/>
        </w:trPr>
        <w:tc>
          <w:tcPr>
            <w:tcW w:w="820" w:type="dxa"/>
            <w:vAlign w:val="bottom"/>
          </w:tcPr>
          <w:p>
            <w:pPr>
              <w:spacing w:after="0"/>
              <w:rPr>
                <w:sz w:val="24"/>
                <w:szCs w:val="24"/>
                <w:color w:val="auto"/>
              </w:rPr>
            </w:pPr>
          </w:p>
        </w:tc>
        <w:tc>
          <w:tcPr>
            <w:tcW w:w="9540" w:type="dxa"/>
            <w:vAlign w:val="bottom"/>
            <w:gridSpan w:val="5"/>
          </w:tcPr>
          <w:p>
            <w:pPr>
              <w:ind w:left="20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 (Unaudited)</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2"/>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2"/>
        </w:trPr>
        <w:tc>
          <w:tcPr>
            <w:tcW w:w="820" w:type="dxa"/>
            <w:vAlign w:val="bottom"/>
          </w:tcPr>
          <w:p>
            <w:pPr>
              <w:spacing w:after="0"/>
              <w:rPr>
                <w:sz w:val="24"/>
                <w:szCs w:val="24"/>
                <w:color w:val="auto"/>
              </w:rPr>
            </w:pP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at September 30, 2020 and December 31, 2019</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2"/>
        </w:trPr>
        <w:tc>
          <w:tcPr>
            <w:tcW w:w="820" w:type="dxa"/>
            <w:vAlign w:val="bottom"/>
          </w:tcPr>
          <w:p>
            <w:pPr>
              <w:spacing w:after="0"/>
              <w:rPr>
                <w:sz w:val="24"/>
                <w:szCs w:val="24"/>
                <w:color w:val="auto"/>
              </w:rPr>
            </w:pPr>
          </w:p>
        </w:tc>
        <w:tc>
          <w:tcPr>
            <w:tcW w:w="9540" w:type="dxa"/>
            <w:vAlign w:val="bottom"/>
            <w:gridSpan w:val="5"/>
          </w:tcPr>
          <w:p>
            <w:pPr>
              <w:ind w:left="200"/>
              <w:spacing w:after="0"/>
              <w:rPr>
                <w:rFonts w:ascii="Arial" w:cs="Arial" w:eastAsia="Arial" w:hAnsi="Arial"/>
                <w:sz w:val="18"/>
                <w:szCs w:val="18"/>
                <w:u w:val="single" w:color="auto"/>
                <w:color w:val="0000EE"/>
                <w:w w:val="96"/>
              </w:rPr>
            </w:pPr>
            <w:hyperlink w:anchor="page4">
              <w:r>
                <w:rPr>
                  <w:rFonts w:ascii="Arial" w:cs="Arial" w:eastAsia="Arial" w:hAnsi="Arial"/>
                  <w:sz w:val="18"/>
                  <w:szCs w:val="18"/>
                  <w:u w:val="single" w:color="auto"/>
                  <w:color w:val="0000EE"/>
                  <w:w w:val="96"/>
                </w:rPr>
                <w:t>Condensed Consolidated Statements of Operations for the Three and Nine Months ended September 30, 2020 and 2019</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3"/>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340" w:type="dxa"/>
            <w:vAlign w:val="bottom"/>
            <w:gridSpan w:val="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for the Three and Nine Months ended September 30, 2020 and</w:t>
              </w:r>
            </w:hyperlink>
          </w:p>
        </w:tc>
        <w:tc>
          <w:tcPr>
            <w:tcW w:w="880" w:type="dxa"/>
            <w:vAlign w:val="bottom"/>
          </w:tcPr>
          <w:p>
            <w:pPr>
              <w:spacing w:after="0"/>
              <w:rPr>
                <w:sz w:val="24"/>
                <w:szCs w:val="24"/>
                <w:color w:val="auto"/>
              </w:rPr>
            </w:pPr>
          </w:p>
        </w:tc>
      </w:tr>
      <w:tr>
        <w:trPr>
          <w:trHeight w:val="192"/>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tcPr>
          <w:p>
            <w:pPr>
              <w:jc w:val="right"/>
              <w:spacing w:after="0" w:line="193"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2019</w:t>
              </w:r>
            </w:hyperlink>
          </w:p>
        </w:tc>
        <w:tc>
          <w:tcPr>
            <w:tcW w:w="8400" w:type="dxa"/>
            <w:vAlign w:val="bottom"/>
            <w:tcBorders>
              <w:top w:val="single" w:sz="8" w:color="0000EE"/>
            </w:tcBorders>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Arial" w:cs="Arial" w:eastAsia="Arial" w:hAnsi="Arial"/>
                <w:sz w:val="18"/>
                <w:szCs w:val="18"/>
                <w:color w:val="auto"/>
              </w:rPr>
              <w:t>5</w:t>
            </w:r>
          </w:p>
        </w:tc>
      </w:tr>
      <w:tr>
        <w:trPr>
          <w:trHeight w:val="351"/>
        </w:trPr>
        <w:tc>
          <w:tcPr>
            <w:tcW w:w="820" w:type="dxa"/>
            <w:vAlign w:val="bottom"/>
          </w:tcPr>
          <w:p>
            <w:pPr>
              <w:spacing w:after="0"/>
              <w:rPr>
                <w:sz w:val="24"/>
                <w:szCs w:val="24"/>
                <w:color w:val="auto"/>
              </w:rPr>
            </w:pP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Equity for the Three and Nine Months ended September 30, 2020 and 2019</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32"/>
        </w:trPr>
        <w:tc>
          <w:tcPr>
            <w:tcW w:w="820" w:type="dxa"/>
            <w:vAlign w:val="bottom"/>
          </w:tcPr>
          <w:p>
            <w:pPr>
              <w:spacing w:after="0"/>
              <w:rPr>
                <w:sz w:val="24"/>
                <w:szCs w:val="24"/>
                <w:color w:val="auto"/>
              </w:rPr>
            </w:pP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Nine Months Ended September 30, 2020 and 2019</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2"/>
        </w:trPr>
        <w:tc>
          <w:tcPr>
            <w:tcW w:w="820" w:type="dxa"/>
            <w:vAlign w:val="bottom"/>
          </w:tcPr>
          <w:p>
            <w:pPr>
              <w:spacing w:after="0"/>
              <w:rPr>
                <w:sz w:val="24"/>
                <w:szCs w:val="24"/>
                <w:color w:val="auto"/>
              </w:rPr>
            </w:pP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2"/>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32"/>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Quantitative and Qualitative Disclosures About Market Risk</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2"/>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Controls and Procedures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2"/>
        </w:trPr>
        <w:tc>
          <w:tcPr>
            <w:tcW w:w="820" w:type="dxa"/>
            <w:vAlign w:val="bottom"/>
          </w:tcPr>
          <w:p>
            <w:pPr>
              <w:spacing w:after="0"/>
              <w:rPr>
                <w:sz w:val="24"/>
                <w:szCs w:val="24"/>
                <w:color w:val="auto"/>
              </w:rPr>
            </w:pPr>
          </w:p>
        </w:tc>
        <w:tc>
          <w:tcPr>
            <w:tcW w:w="9540" w:type="dxa"/>
            <w:vAlign w:val="bottom"/>
            <w:gridSpan w:val="5"/>
          </w:tcPr>
          <w:p>
            <w:pPr>
              <w:ind w:left="200"/>
              <w:spacing w:after="0"/>
              <w:rPr>
                <w:rFonts w:ascii="Arial" w:cs="Arial" w:eastAsia="Arial" w:hAnsi="Arial"/>
                <w:sz w:val="18"/>
                <w:szCs w:val="18"/>
                <w:b w:val="1"/>
                <w:bCs w:val="1"/>
                <w:u w:val="single" w:color="auto"/>
                <w:color w:val="0000EE"/>
              </w:rPr>
            </w:pPr>
            <w:hyperlink w:anchor="page26">
              <w:r>
                <w:rPr>
                  <w:rFonts w:ascii="Arial" w:cs="Arial" w:eastAsia="Arial" w:hAnsi="Arial"/>
                  <w:sz w:val="18"/>
                  <w:szCs w:val="18"/>
                  <w:b w:val="1"/>
                  <w:bCs w:val="1"/>
                  <w:u w:val="single" w:color="auto"/>
                  <w:color w:val="0000EE"/>
                </w:rPr>
                <w:t>Part II Other Information</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2"/>
        </w:trPr>
        <w:tc>
          <w:tcPr>
            <w:tcW w:w="82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Legal Proceedings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2"/>
        </w:trPr>
        <w:tc>
          <w:tcPr>
            <w:tcW w:w="820" w:type="dxa"/>
            <w:vAlign w:val="bottom"/>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2"/>
        </w:trPr>
        <w:tc>
          <w:tcPr>
            <w:tcW w:w="820" w:type="dxa"/>
            <w:vAlign w:val="bottom"/>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Unregistered Sales of Equity Securities and Use of Proceeds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2"/>
        </w:trPr>
        <w:tc>
          <w:tcPr>
            <w:tcW w:w="820" w:type="dxa"/>
            <w:vAlign w:val="bottom"/>
          </w:tcPr>
          <w:p>
            <w:pPr>
              <w:spacing w:after="0"/>
              <w:rPr>
                <w:sz w:val="20"/>
                <w:szCs w:val="20"/>
                <w:color w:val="auto"/>
              </w:rPr>
            </w:pPr>
            <w:r>
              <w:rPr>
                <w:rFonts w:ascii="Arial" w:cs="Arial" w:eastAsia="Arial" w:hAnsi="Arial"/>
                <w:sz w:val="18"/>
                <w:szCs w:val="18"/>
                <w:color w:val="auto"/>
              </w:rPr>
              <w:t>Item 3</w:t>
            </w: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Defaults Upon Senior Securities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2"/>
        </w:trPr>
        <w:tc>
          <w:tcPr>
            <w:tcW w:w="820" w:type="dxa"/>
            <w:vAlign w:val="bottom"/>
          </w:tcPr>
          <w:p>
            <w:pPr>
              <w:spacing w:after="0"/>
              <w:rPr>
                <w:sz w:val="20"/>
                <w:szCs w:val="20"/>
                <w:color w:val="auto"/>
              </w:rPr>
            </w:pPr>
            <w:r>
              <w:rPr>
                <w:rFonts w:ascii="Arial" w:cs="Arial" w:eastAsia="Arial" w:hAnsi="Arial"/>
                <w:sz w:val="18"/>
                <w:szCs w:val="18"/>
                <w:color w:val="auto"/>
              </w:rPr>
              <w:t>Item 4</w:t>
            </w: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Mine Safety Disclosures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2"/>
        </w:trPr>
        <w:tc>
          <w:tcPr>
            <w:tcW w:w="820" w:type="dxa"/>
            <w:vAlign w:val="bottom"/>
          </w:tcPr>
          <w:p>
            <w:pPr>
              <w:spacing w:after="0"/>
              <w:rPr>
                <w:sz w:val="20"/>
                <w:szCs w:val="20"/>
                <w:color w:val="auto"/>
              </w:rPr>
            </w:pPr>
            <w:r>
              <w:rPr>
                <w:rFonts w:ascii="Arial" w:cs="Arial" w:eastAsia="Arial" w:hAnsi="Arial"/>
                <w:sz w:val="18"/>
                <w:szCs w:val="18"/>
                <w:color w:val="auto"/>
              </w:rPr>
              <w:t>Item 5</w:t>
            </w: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Information</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32"/>
        </w:trPr>
        <w:tc>
          <w:tcPr>
            <w:tcW w:w="820" w:type="dxa"/>
            <w:vAlign w:val="bottom"/>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5"/>
          </w:tcPr>
          <w:p>
            <w:pPr>
              <w:ind w:left="20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Exhibits</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2"/>
        </w:trPr>
        <w:tc>
          <w:tcPr>
            <w:tcW w:w="820" w:type="dxa"/>
            <w:vAlign w:val="bottom"/>
          </w:tcPr>
          <w:p>
            <w:pPr>
              <w:spacing w:after="0"/>
              <w:rPr>
                <w:sz w:val="24"/>
                <w:szCs w:val="24"/>
                <w:color w:val="auto"/>
              </w:rPr>
            </w:pPr>
          </w:p>
        </w:tc>
        <w:tc>
          <w:tcPr>
            <w:tcW w:w="9540" w:type="dxa"/>
            <w:vAlign w:val="bottom"/>
            <w:gridSpan w:val="5"/>
          </w:tcPr>
          <w:p>
            <w:pPr>
              <w:ind w:left="20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Signature</w:t>
              </w:r>
            </w:hyperlink>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229,725</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Arial" w:cs="Arial" w:eastAsia="Arial" w:hAnsi="Arial"/>
                <w:sz w:val="18"/>
                <w:szCs w:val="18"/>
                <w:color w:val="auto"/>
              </w:rPr>
              <w:t>Accounts receivable—net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47,218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Contract revenues in excess of billings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32,980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364,731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gridSpan w:val="2"/>
          </w:tcPr>
          <w:p>
            <w:pPr>
              <w:spacing w:after="0"/>
              <w:rPr>
                <w:sz w:val="20"/>
                <w:szCs w:val="20"/>
                <w:color w:val="auto"/>
              </w:rPr>
            </w:pPr>
            <w:r>
              <w:rPr>
                <w:rFonts w:ascii="Arial" w:cs="Arial" w:eastAsia="Arial" w:hAnsi="Arial"/>
                <w:sz w:val="18"/>
                <w:szCs w:val="18"/>
                <w:color w:val="auto"/>
              </w:rPr>
              <w:t>PROPERTY AND EQUIPMENT—Net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372,847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ASSETS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66,148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76,576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INVENTORIES—Noncurrent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gridSpan w:val="2"/>
          </w:tcPr>
          <w:p>
            <w:pPr>
              <w:spacing w:after="0"/>
              <w:rPr>
                <w:sz w:val="20"/>
                <w:szCs w:val="20"/>
                <w:color w:val="auto"/>
              </w:rPr>
            </w:pPr>
            <w:r>
              <w:rPr>
                <w:rFonts w:ascii="Arial" w:cs="Arial" w:eastAsia="Arial" w:hAnsi="Arial"/>
                <w:sz w:val="18"/>
                <w:szCs w:val="18"/>
                <w:color w:val="auto"/>
              </w:rPr>
              <w:t>ASSETS HELD FOR SALE— Noncurrent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954,465</w:t>
            </w:r>
          </w:p>
        </w:tc>
        <w:tc>
          <w:tcPr>
            <w:tcW w:w="180" w:type="dxa"/>
            <w:vAlign w:val="bottom"/>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897,552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78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79,312</w:t>
            </w:r>
          </w:p>
        </w:tc>
        <w:tc>
          <w:tcPr>
            <w:tcW w:w="18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52,112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Billings in excess of contract revenues</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188,597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323,512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322,843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LIABILITIES—Noncurrent</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53,299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8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621,566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618,153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0" w:type="dxa"/>
            <w:vAlign w:val="bottom"/>
          </w:tcPr>
          <w:p>
            <w:pPr>
              <w:ind w:left="220"/>
              <w:spacing w:after="0"/>
              <w:rPr>
                <w:sz w:val="20"/>
                <w:szCs w:val="20"/>
                <w:color w:val="auto"/>
              </w:rPr>
            </w:pPr>
            <w:r>
              <w:rPr>
                <w:rFonts w:ascii="Arial" w:cs="Arial" w:eastAsia="Arial" w:hAnsi="Arial"/>
                <w:sz w:val="18"/>
                <w:szCs w:val="18"/>
                <w:color w:val="auto"/>
                <w:w w:val="90"/>
              </w:rPr>
              <w:t>Common stock—$.0001 par value; 90,000 authorized, 64,645 and 64,283 shares issued and outstanding</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Arial" w:cs="Arial" w:eastAsia="Arial" w:hAnsi="Arial"/>
                <w:sz w:val="18"/>
                <w:szCs w:val="18"/>
                <w:color w:val="auto"/>
              </w:rPr>
              <w:t>at September 30, 2020 and December 31, 2019, respectively.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305,070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800" w:type="dxa"/>
            <w:vAlign w:val="bottom"/>
          </w:tcPr>
          <w:p>
            <w:pPr>
              <w:ind w:left="220"/>
              <w:spacing w:after="0"/>
              <w:rPr>
                <w:sz w:val="20"/>
                <w:szCs w:val="20"/>
                <w:color w:val="auto"/>
              </w:rPr>
            </w:pPr>
            <w:r>
              <w:rPr>
                <w:rFonts w:ascii="Arial" w:cs="Arial" w:eastAsia="Arial" w:hAnsi="Arial"/>
                <w:sz w:val="18"/>
                <w:szCs w:val="18"/>
                <w:color w:val="auto"/>
              </w:rPr>
              <w:t>Retained earnings (accumulated deficit)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30,335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(23,091)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332,899</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954,465</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Contract revenues</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175,841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169,775</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561,456</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547,223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Costs of contract revenues</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139,490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137,942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423,615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137,841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14,888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45,263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loss of use claim</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(1,723)</w:t>
            </w: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(1,723)</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380" w:type="dxa"/>
            <w:vAlign w:val="bottom"/>
          </w:tcPr>
          <w:p>
            <w:pPr>
              <w:spacing w:after="0"/>
              <w:rPr>
                <w:sz w:val="20"/>
                <w:szCs w:val="20"/>
                <w:color w:val="auto"/>
              </w:rPr>
            </w:pPr>
            <w:r>
              <w:rPr>
                <w:rFonts w:ascii="Arial" w:cs="Arial" w:eastAsia="Arial" w:hAnsi="Arial"/>
                <w:sz w:val="18"/>
                <w:szCs w:val="18"/>
                <w:color w:val="auto"/>
              </w:rPr>
              <w:t>(Gain) loss on sale of assets—net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23,186</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18,372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94,485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20"/>
                <w:szCs w:val="20"/>
                <w:color w:val="auto"/>
              </w:rPr>
            </w:pPr>
            <w:r>
              <w:rPr>
                <w:rFonts w:ascii="Arial" w:cs="Arial" w:eastAsia="Arial" w:hAnsi="Arial"/>
                <w:sz w:val="18"/>
                <w:szCs w:val="18"/>
                <w:color w:val="auto"/>
              </w:rPr>
              <w:t>Interest expense—net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(6,719)</w:t>
            </w:r>
          </w:p>
        </w:tc>
        <w:tc>
          <w:tcPr>
            <w:tcW w:w="3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(6,335)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(21,074)</w:t>
            </w:r>
          </w:p>
        </w:tc>
        <w:tc>
          <w:tcPr>
            <w:tcW w:w="0" w:type="dxa"/>
            <w:vAlign w:val="bottom"/>
          </w:tcPr>
          <w:p>
            <w:pPr>
              <w:spacing w:after="0"/>
              <w:rPr>
                <w:sz w:val="1"/>
                <w:szCs w:val="1"/>
                <w:color w:val="auto"/>
              </w:rPr>
            </w:pPr>
          </w:p>
        </w:tc>
      </w:tr>
      <w:tr>
        <w:trPr>
          <w:trHeight w:val="22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80" w:type="dxa"/>
            <w:vAlign w:val="bottom"/>
          </w:tcPr>
          <w:p>
            <w:pPr>
              <w:ind w:left="24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16,623</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(4,076)</w:t>
            </w: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(3,204)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(18,517)</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(14,280)</w:t>
            </w:r>
          </w:p>
        </w:tc>
        <w:tc>
          <w:tcPr>
            <w:tcW w:w="0" w:type="dxa"/>
            <w:vAlign w:val="bottom"/>
          </w:tcPr>
          <w:p>
            <w:pPr>
              <w:spacing w:after="0"/>
              <w:rPr>
                <w:sz w:val="1"/>
                <w:szCs w:val="1"/>
                <w:color w:val="auto"/>
              </w:rPr>
            </w:pPr>
          </w:p>
        </w:tc>
      </w:tr>
      <w:tr>
        <w:trPr>
          <w:trHeight w:val="218"/>
        </w:trPr>
        <w:tc>
          <w:tcPr>
            <w:tcW w:w="5380" w:type="dxa"/>
            <w:vAlign w:val="bottom"/>
          </w:tcPr>
          <w:p>
            <w:pPr>
              <w:ind w:left="2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12,547</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55,494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2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380" w:type="dxa"/>
            <w:vAlign w:val="bottom"/>
            <w:vMerge w:val="continue"/>
          </w:tcPr>
          <w:p>
            <w:pPr>
              <w:spacing w:after="0"/>
              <w:rPr>
                <w:sz w:val="22"/>
                <w:szCs w:val="2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12,547</w:t>
            </w:r>
          </w:p>
        </w:tc>
        <w:tc>
          <w:tcPr>
            <w:tcW w:w="240" w:type="dxa"/>
            <w:vAlign w:val="bottom"/>
          </w:tcPr>
          <w:p>
            <w:pPr>
              <w:spacing w:after="0"/>
              <w:rPr>
                <w:sz w:val="22"/>
                <w:szCs w:val="22"/>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7,952</w:t>
            </w:r>
          </w:p>
        </w:tc>
        <w:tc>
          <w:tcPr>
            <w:tcW w:w="140" w:type="dxa"/>
            <w:vAlign w:val="bottom"/>
          </w:tcPr>
          <w:p>
            <w:pPr>
              <w:spacing w:after="0"/>
              <w:rPr>
                <w:sz w:val="22"/>
                <w:szCs w:val="22"/>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55,494</w:t>
            </w:r>
          </w:p>
        </w:tc>
        <w:tc>
          <w:tcPr>
            <w:tcW w:w="160" w:type="dxa"/>
            <w:vAlign w:val="bottom"/>
          </w:tcPr>
          <w:p>
            <w:pPr>
              <w:spacing w:after="0"/>
              <w:rPr>
                <w:sz w:val="22"/>
                <w:szCs w:val="22"/>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33,366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3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20"/>
                <w:szCs w:val="20"/>
                <w:color w:val="auto"/>
              </w:rPr>
            </w:pPr>
            <w:r>
              <w:rPr>
                <w:rFonts w:ascii="Arial" w:cs="Arial" w:eastAsia="Arial" w:hAnsi="Arial"/>
                <w:sz w:val="18"/>
                <w:szCs w:val="18"/>
                <w:color w:val="auto"/>
              </w:rPr>
              <w:t>Basic earnings per share attributable to continuing operations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19"/>
                <w:szCs w:val="19"/>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0.86</w:t>
            </w:r>
          </w:p>
        </w:tc>
        <w:tc>
          <w:tcPr>
            <w:tcW w:w="160" w:type="dxa"/>
            <w:vAlign w:val="bottom"/>
          </w:tcPr>
          <w:p>
            <w:pPr>
              <w:spacing w:after="0"/>
              <w:rPr>
                <w:sz w:val="19"/>
                <w:szCs w:val="19"/>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w w:val="96"/>
              </w:rPr>
              <w:t>Basic loss per share attributable to discontinued operations, net of tax</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80" w:type="dxa"/>
            <w:vAlign w:val="bottom"/>
            <w:vMerge w:val="continue"/>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Pr>
          <w:p>
            <w:pPr>
              <w:spacing w:after="0"/>
              <w:rPr>
                <w:sz w:val="19"/>
                <w:szCs w:val="19"/>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0.86</w:t>
            </w:r>
          </w:p>
        </w:tc>
        <w:tc>
          <w:tcPr>
            <w:tcW w:w="160" w:type="dxa"/>
            <w:vAlign w:val="bottom"/>
          </w:tcPr>
          <w:p>
            <w:pPr>
              <w:spacing w:after="0"/>
              <w:rPr>
                <w:sz w:val="19"/>
                <w:szCs w:val="19"/>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Basic weighted average shares</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64,860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63,861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attributable to continuing operations</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20"/>
                <w:szCs w:val="20"/>
                <w:color w:val="auto"/>
              </w:rPr>
            </w:pPr>
            <w:r>
              <w:rPr>
                <w:rFonts w:ascii="Arial" w:cs="Arial" w:eastAsia="Arial" w:hAnsi="Arial"/>
                <w:sz w:val="18"/>
                <w:szCs w:val="18"/>
                <w:color w:val="auto"/>
                <w:w w:val="94"/>
              </w:rPr>
              <w:t>Diluted loss per share attributable to discontinued operations, net of tax</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3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380" w:type="dxa"/>
            <w:vAlign w:val="bottom"/>
            <w:vMerge w:val="continue"/>
            <w:shd w:val="clear" w:color="auto" w:fill="CFF0FC"/>
          </w:tcPr>
          <w:p>
            <w:pPr>
              <w:spacing w:after="0"/>
              <w:rPr>
                <w:sz w:val="19"/>
                <w:szCs w:val="19"/>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80" w:type="dxa"/>
            <w:vAlign w:val="bottom"/>
          </w:tcPr>
          <w:p>
            <w:pPr>
              <w:spacing w:after="0"/>
              <w:rPr>
                <w:sz w:val="20"/>
                <w:szCs w:val="20"/>
                <w:color w:val="auto"/>
              </w:rPr>
            </w:pPr>
            <w:r>
              <w:rPr>
                <w:rFonts w:ascii="Arial" w:cs="Arial" w:eastAsia="Arial" w:hAnsi="Arial"/>
                <w:sz w:val="18"/>
                <w:szCs w:val="18"/>
                <w:color w:val="auto"/>
              </w:rPr>
              <w:t>Diluted weighted average shares</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65,894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0"/>
              <w:spacing w:after="0" w:line="153" w:lineRule="exact"/>
              <w:rPr>
                <w:sz w:val="20"/>
                <w:szCs w:val="20"/>
                <w:color w:val="auto"/>
              </w:rPr>
            </w:pPr>
            <w:r>
              <w:rPr>
                <w:rFonts w:ascii="Arial" w:cs="Arial" w:eastAsia="Arial" w:hAnsi="Arial"/>
                <w:sz w:val="14"/>
                <w:szCs w:val="14"/>
                <w:b w:val="1"/>
                <w:bCs w:val="1"/>
                <w:color w:val="auto"/>
              </w:rPr>
              <w:t>2020</w:t>
            </w:r>
          </w:p>
        </w:tc>
        <w:tc>
          <w:tcPr>
            <w:tcW w:w="960" w:type="dxa"/>
            <w:vAlign w:val="bottom"/>
            <w:gridSpan w:val="2"/>
          </w:tcPr>
          <w:p>
            <w:pPr>
              <w:jc w:val="right"/>
              <w:ind w:right="20"/>
              <w:spacing w:after="0" w:line="153"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0"/>
              <w:spacing w:after="0" w:line="153"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8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12,547</w:t>
            </w:r>
          </w:p>
        </w:tc>
        <w:tc>
          <w:tcPr>
            <w:tcW w:w="9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7,952</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55,494</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Pr>
          <w:p>
            <w:pPr>
              <w:spacing w:after="0"/>
              <w:rPr>
                <w:sz w:val="20"/>
                <w:szCs w:val="20"/>
                <w:color w:val="auto"/>
              </w:rPr>
            </w:pPr>
            <w:r>
              <w:rPr>
                <w:rFonts w:ascii="Arial" w:cs="Arial" w:eastAsia="Arial" w:hAnsi="Arial"/>
                <w:sz w:val="18"/>
                <w:szCs w:val="18"/>
                <w:color w:val="auto"/>
              </w:rPr>
              <w:t>Net unrealized (gain) loss on derivatives—net of tax (1)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84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13,426</w:t>
            </w:r>
          </w:p>
        </w:tc>
        <w:tc>
          <w:tcPr>
            <w:tcW w:w="960" w:type="dxa"/>
            <w:vAlign w:val="bottom"/>
            <w:gridSpan w:val="2"/>
            <w:shd w:val="clear" w:color="auto" w:fill="CFF0FC"/>
          </w:tcPr>
          <w:p>
            <w:pPr>
              <w:jc w:val="right"/>
              <w:ind w:right="6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7,792</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52,687</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20" w:right="380" w:hanging="514"/>
        <w:spacing w:after="0" w:line="265"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(provision) benefit of $296 and $(57) for the three months ended September 30, 2020 and 2019, respectively. Net of income tax (provision) benefit of $(959) and $998 for the nine months ended September 30, 2020 and 2019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5"/>
          <w:szCs w:val="15"/>
          <w:b w:val="1"/>
          <w:bCs w:val="1"/>
          <w:color w:val="auto"/>
        </w:rPr>
        <w:t>Great Lakes Dredge &amp; Dock Corporation and Subsidiaries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0140"/>
          </w:cols>
          <w:pgMar w:left="860" w:top="334"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2020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w:t>
      </w:r>
    </w:p>
    <w:p>
      <w:pPr>
        <w:spacing w:after="0" w:line="10" w:lineRule="exact"/>
        <w:rPr>
          <w:sz w:val="20"/>
          <w:szCs w:val="20"/>
          <w:color w:val="auto"/>
        </w:rPr>
      </w:pPr>
    </w:p>
    <w:p>
      <w:pPr>
        <w:ind w:left="240" w:right="220"/>
        <w:spacing w:after="0" w:line="227"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40"/>
        <w:spacing w:after="0" w:line="227" w:lineRule="auto"/>
        <w:rPr>
          <w:sz w:val="20"/>
          <w:szCs w:val="20"/>
          <w:color w:val="auto"/>
        </w:rPr>
      </w:pPr>
      <w:r>
        <w:rPr>
          <w:rFonts w:ascii="Arial" w:cs="Arial" w:eastAsia="Arial" w:hAnsi="Arial"/>
          <w:sz w:val="14"/>
          <w:szCs w:val="14"/>
          <w:color w:val="auto"/>
        </w:rPr>
        <w:t>Exercise of options and purchases from employee stock plans</w:t>
      </w:r>
    </w:p>
    <w:p>
      <w:pPr>
        <w:ind w:left="240"/>
        <w:spacing w:after="0"/>
        <w:rPr>
          <w:sz w:val="20"/>
          <w:szCs w:val="20"/>
          <w:color w:val="auto"/>
        </w:rPr>
      </w:pPr>
      <w:r>
        <w:rPr>
          <w:rFonts w:ascii="Arial" w:cs="Arial" w:eastAsia="Arial" w:hAnsi="Arial"/>
          <w:sz w:val="14"/>
          <w:szCs w:val="14"/>
          <w:color w:val="auto"/>
        </w:rPr>
        <w:t>Repurchase of common stock</w:t>
      </w:r>
    </w:p>
    <w:p>
      <w:pPr>
        <w:ind w:left="240"/>
        <w:spacing w:after="0" w:line="237" w:lineRule="auto"/>
        <w:rPr>
          <w:sz w:val="20"/>
          <w:szCs w:val="20"/>
          <w:color w:val="auto"/>
        </w:rPr>
      </w:pPr>
      <w:r>
        <w:rPr>
          <w:rFonts w:ascii="Arial" w:cs="Arial" w:eastAsia="Arial" w:hAnsi="Arial"/>
          <w:sz w:val="14"/>
          <w:szCs w:val="14"/>
          <w:color w:val="auto"/>
        </w:rPr>
        <w:t>Net income</w:t>
      </w:r>
    </w:p>
    <w:p>
      <w:pPr>
        <w:ind w:left="240"/>
        <w:spacing w:after="0"/>
        <w:rPr>
          <w:sz w:val="20"/>
          <w:szCs w:val="20"/>
          <w:color w:val="auto"/>
        </w:rPr>
      </w:pPr>
      <w:r>
        <w:rPr>
          <w:rFonts w:ascii="Arial" w:cs="Arial" w:eastAsia="Arial" w:hAnsi="Arial"/>
          <w:sz w:val="14"/>
          <w:szCs w:val="14"/>
          <w:color w:val="auto"/>
        </w:rPr>
        <w:t>Other comprehensive loss—net of tax</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BALANCE—September 30, 2020</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BALANCE—January 1, 2019</w:t>
      </w:r>
    </w:p>
    <w:p>
      <w:pPr>
        <w:spacing w:after="0" w:line="158" w:lineRule="exact"/>
        <w:rPr>
          <w:sz w:val="20"/>
          <w:szCs w:val="20"/>
          <w:color w:val="auto"/>
        </w:rPr>
      </w:pPr>
    </w:p>
    <w:p>
      <w:pPr>
        <w:ind w:left="240" w:right="620"/>
        <w:spacing w:after="0" w:line="236" w:lineRule="auto"/>
        <w:rPr>
          <w:sz w:val="20"/>
          <w:szCs w:val="20"/>
          <w:color w:val="auto"/>
        </w:rPr>
      </w:pPr>
      <w:r>
        <w:rPr>
          <w:rFonts w:ascii="Arial" w:cs="Arial" w:eastAsia="Arial" w:hAnsi="Arial"/>
          <w:sz w:val="14"/>
          <w:szCs w:val="14"/>
          <w:color w:val="auto"/>
        </w:rPr>
        <w:t>Cumulative effect of recent accounting pronouncements</w:t>
      </w:r>
    </w:p>
    <w:p>
      <w:pPr>
        <w:ind w:left="240"/>
        <w:spacing w:after="0"/>
        <w:rPr>
          <w:sz w:val="20"/>
          <w:szCs w:val="20"/>
          <w:color w:val="auto"/>
        </w:rPr>
      </w:pPr>
      <w:r>
        <w:rPr>
          <w:rFonts w:ascii="Arial" w:cs="Arial" w:eastAsia="Arial" w:hAnsi="Arial"/>
          <w:sz w:val="14"/>
          <w:szCs w:val="14"/>
          <w:color w:val="auto"/>
        </w:rPr>
        <w:t>Share-based compensation</w:t>
      </w:r>
    </w:p>
    <w:p>
      <w:pPr>
        <w:ind w:left="240" w:right="220"/>
        <w:spacing w:after="0" w:line="227"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40"/>
        <w:spacing w:after="0" w:line="227" w:lineRule="auto"/>
        <w:rPr>
          <w:sz w:val="20"/>
          <w:szCs w:val="20"/>
          <w:color w:val="auto"/>
        </w:rPr>
      </w:pPr>
      <w:r>
        <w:rPr>
          <w:rFonts w:ascii="Arial" w:cs="Arial" w:eastAsia="Arial" w:hAnsi="Arial"/>
          <w:sz w:val="14"/>
          <w:szCs w:val="14"/>
          <w:color w:val="auto"/>
        </w:rPr>
        <w:t>Exercise of options and purchases from employee stock plans</w:t>
      </w:r>
    </w:p>
    <w:p>
      <w:pPr>
        <w:ind w:left="240"/>
        <w:spacing w:after="0"/>
        <w:rPr>
          <w:sz w:val="20"/>
          <w:szCs w:val="20"/>
          <w:color w:val="auto"/>
        </w:rPr>
      </w:pPr>
      <w:r>
        <w:rPr>
          <w:rFonts w:ascii="Arial" w:cs="Arial" w:eastAsia="Arial" w:hAnsi="Arial"/>
          <w:sz w:val="14"/>
          <w:szCs w:val="14"/>
          <w:color w:val="auto"/>
        </w:rPr>
        <w:t>Cancellation of treasury stock</w:t>
      </w:r>
    </w:p>
    <w:p>
      <w:pPr>
        <w:ind w:left="240"/>
        <w:spacing w:after="0" w:line="237" w:lineRule="auto"/>
        <w:rPr>
          <w:sz w:val="20"/>
          <w:szCs w:val="20"/>
          <w:color w:val="auto"/>
        </w:rPr>
      </w:pPr>
      <w:r>
        <w:rPr>
          <w:rFonts w:ascii="Arial" w:cs="Arial" w:eastAsia="Arial" w:hAnsi="Arial"/>
          <w:sz w:val="14"/>
          <w:szCs w:val="14"/>
          <w:color w:val="auto"/>
        </w:rPr>
        <w:t>Net income</w:t>
      </w:r>
    </w:p>
    <w:p>
      <w:pPr>
        <w:ind w:left="240"/>
        <w:spacing w:after="0"/>
        <w:rPr>
          <w:sz w:val="20"/>
          <w:szCs w:val="20"/>
          <w:color w:val="auto"/>
        </w:rPr>
      </w:pPr>
      <w:r>
        <w:rPr>
          <w:rFonts w:ascii="Arial" w:cs="Arial" w:eastAsia="Arial" w:hAnsi="Arial"/>
          <w:sz w:val="14"/>
          <w:szCs w:val="14"/>
          <w:color w:val="auto"/>
        </w:rPr>
        <w:t>Other comprehensive income—net of tax</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BALANCE—September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BALANCE—July 1, 2020</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w:t>
      </w:r>
    </w:p>
    <w:p>
      <w:pPr>
        <w:spacing w:after="0" w:line="10" w:lineRule="exact"/>
        <w:rPr>
          <w:sz w:val="20"/>
          <w:szCs w:val="20"/>
          <w:color w:val="auto"/>
        </w:rPr>
      </w:pPr>
    </w:p>
    <w:p>
      <w:pPr>
        <w:ind w:left="240" w:right="220"/>
        <w:spacing w:after="0" w:line="227"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40"/>
        <w:spacing w:after="0" w:line="227" w:lineRule="auto"/>
        <w:rPr>
          <w:sz w:val="20"/>
          <w:szCs w:val="20"/>
          <w:color w:val="auto"/>
        </w:rPr>
      </w:pPr>
      <w:r>
        <w:rPr>
          <w:rFonts w:ascii="Arial" w:cs="Arial" w:eastAsia="Arial" w:hAnsi="Arial"/>
          <w:sz w:val="14"/>
          <w:szCs w:val="14"/>
          <w:color w:val="auto"/>
        </w:rPr>
        <w:t>Exercise of options and purchases from employee stock plans</w:t>
      </w:r>
    </w:p>
    <w:p>
      <w:pPr>
        <w:ind w:left="240"/>
        <w:spacing w:after="0"/>
        <w:rPr>
          <w:sz w:val="20"/>
          <w:szCs w:val="20"/>
          <w:color w:val="auto"/>
        </w:rPr>
      </w:pPr>
      <w:r>
        <w:rPr>
          <w:rFonts w:ascii="Arial" w:cs="Arial" w:eastAsia="Arial" w:hAnsi="Arial"/>
          <w:sz w:val="14"/>
          <w:szCs w:val="14"/>
          <w:color w:val="auto"/>
        </w:rPr>
        <w:t>Repurchase of common stock</w:t>
      </w:r>
    </w:p>
    <w:p>
      <w:pPr>
        <w:ind w:left="240"/>
        <w:spacing w:after="0" w:line="237" w:lineRule="auto"/>
        <w:rPr>
          <w:sz w:val="20"/>
          <w:szCs w:val="20"/>
          <w:color w:val="auto"/>
        </w:rPr>
      </w:pPr>
      <w:r>
        <w:rPr>
          <w:rFonts w:ascii="Arial" w:cs="Arial" w:eastAsia="Arial" w:hAnsi="Arial"/>
          <w:sz w:val="14"/>
          <w:szCs w:val="14"/>
          <w:color w:val="auto"/>
        </w:rPr>
        <w:t>Net income</w:t>
      </w:r>
    </w:p>
    <w:p>
      <w:pPr>
        <w:ind w:left="240"/>
        <w:spacing w:after="0"/>
        <w:rPr>
          <w:sz w:val="20"/>
          <w:szCs w:val="20"/>
          <w:color w:val="auto"/>
        </w:rPr>
      </w:pPr>
      <w:r>
        <w:rPr>
          <w:rFonts w:ascii="Arial" w:cs="Arial" w:eastAsia="Arial" w:hAnsi="Arial"/>
          <w:sz w:val="14"/>
          <w:szCs w:val="14"/>
          <w:color w:val="auto"/>
        </w:rPr>
        <w:t>Other comprehensive income—net of tax</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BALANCE—September 30, 2020</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BALANCE—July 1, 2019</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4"/>
          <w:szCs w:val="14"/>
          <w:color w:val="auto"/>
        </w:rPr>
        <w:t>Share-based compensation</w:t>
      </w:r>
    </w:p>
    <w:p>
      <w:pPr>
        <w:spacing w:after="0" w:line="10" w:lineRule="exact"/>
        <w:rPr>
          <w:sz w:val="20"/>
          <w:szCs w:val="20"/>
          <w:color w:val="auto"/>
        </w:rPr>
      </w:pPr>
    </w:p>
    <w:p>
      <w:pPr>
        <w:ind w:left="240" w:right="220"/>
        <w:spacing w:after="0" w:line="227" w:lineRule="auto"/>
        <w:rPr>
          <w:sz w:val="20"/>
          <w:szCs w:val="20"/>
          <w:color w:val="auto"/>
        </w:rPr>
      </w:pPr>
      <w:r>
        <w:rPr>
          <w:rFonts w:ascii="Arial" w:cs="Arial" w:eastAsia="Arial" w:hAnsi="Arial"/>
          <w:sz w:val="14"/>
          <w:szCs w:val="14"/>
          <w:color w:val="auto"/>
        </w:rPr>
        <w:t>Vesting of restricted stock units and impact of shares withheld for taxes</w:t>
      </w:r>
    </w:p>
    <w:p>
      <w:pPr>
        <w:spacing w:after="0" w:line="1" w:lineRule="exact"/>
        <w:rPr>
          <w:sz w:val="20"/>
          <w:szCs w:val="20"/>
          <w:color w:val="auto"/>
        </w:rPr>
      </w:pPr>
    </w:p>
    <w:p>
      <w:pPr>
        <w:ind w:left="240"/>
        <w:spacing w:after="0" w:line="227" w:lineRule="auto"/>
        <w:rPr>
          <w:sz w:val="20"/>
          <w:szCs w:val="20"/>
          <w:color w:val="auto"/>
        </w:rPr>
      </w:pPr>
      <w:r>
        <w:rPr>
          <w:rFonts w:ascii="Arial" w:cs="Arial" w:eastAsia="Arial" w:hAnsi="Arial"/>
          <w:sz w:val="14"/>
          <w:szCs w:val="14"/>
          <w:color w:val="auto"/>
        </w:rPr>
        <w:t>Exercise of options and purchases from employee stock plans</w:t>
      </w:r>
    </w:p>
    <w:p>
      <w:pPr>
        <w:ind w:left="240"/>
        <w:spacing w:after="0"/>
        <w:rPr>
          <w:sz w:val="20"/>
          <w:szCs w:val="20"/>
          <w:color w:val="auto"/>
        </w:rPr>
      </w:pPr>
      <w:r>
        <w:rPr>
          <w:rFonts w:ascii="Arial" w:cs="Arial" w:eastAsia="Arial" w:hAnsi="Arial"/>
          <w:sz w:val="14"/>
          <w:szCs w:val="14"/>
          <w:color w:val="auto"/>
        </w:rPr>
        <w:t>Net income</w:t>
      </w:r>
    </w:p>
    <w:p>
      <w:pPr>
        <w:ind w:left="240"/>
        <w:spacing w:after="0"/>
        <w:rPr>
          <w:sz w:val="20"/>
          <w:szCs w:val="20"/>
          <w:color w:val="auto"/>
        </w:rPr>
      </w:pPr>
      <w:r>
        <w:rPr>
          <w:rFonts w:ascii="Arial" w:cs="Arial" w:eastAsia="Arial" w:hAnsi="Arial"/>
          <w:sz w:val="14"/>
          <w:szCs w:val="14"/>
          <w:color w:val="auto"/>
        </w:rPr>
        <w:t>Other comprehensive loss—net of tax</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BALANCE—September 30, 2019</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Retained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5"/>
        </w:trPr>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Shares of</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Shares of</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8"/>
              </w:rPr>
              <w:t>Additional</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Earnings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9"/>
        </w:trPr>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Common</w:t>
            </w:r>
          </w:p>
        </w:tc>
        <w:tc>
          <w:tcPr>
            <w:tcW w:w="60" w:type="dxa"/>
            <w:vAlign w:val="bottom"/>
          </w:tcPr>
          <w:p>
            <w:pPr>
              <w:spacing w:after="0"/>
              <w:rPr>
                <w:sz w:val="13"/>
                <w:szCs w:val="13"/>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6"/>
              </w:rPr>
              <w:t>Common</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Treasury</w:t>
            </w:r>
          </w:p>
        </w:tc>
        <w:tc>
          <w:tcPr>
            <w:tcW w:w="6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4"/>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Paid-In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w w:val="91"/>
              </w:rPr>
              <w:t>Stock</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3"/>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0"/>
              </w:rPr>
              <w:t>Income (Loss)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4"/>
                <w:szCs w:val="14"/>
                <w:color w:val="auto"/>
              </w:rPr>
            </w:pPr>
          </w:p>
        </w:tc>
      </w:tr>
      <w:tr>
        <w:trPr>
          <w:trHeight w:val="303"/>
        </w:trPr>
        <w:tc>
          <w:tcPr>
            <w:tcW w:w="580" w:type="dxa"/>
            <w:vAlign w:val="bottom"/>
          </w:tcPr>
          <w:p>
            <w:pPr>
              <w:jc w:val="right"/>
              <w:spacing w:after="0"/>
              <w:rPr>
                <w:sz w:val="20"/>
                <w:szCs w:val="20"/>
                <w:color w:val="auto"/>
              </w:rPr>
            </w:pPr>
            <w:r>
              <w:rPr>
                <w:rFonts w:ascii="Arial" w:cs="Arial" w:eastAsia="Arial" w:hAnsi="Arial"/>
                <w:sz w:val="14"/>
                <w:szCs w:val="14"/>
                <w:color w:val="auto"/>
              </w:rPr>
              <w:t>64,283</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302,189</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(23,091)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295</w:t>
            </w:r>
          </w:p>
        </w:tc>
        <w:tc>
          <w:tcPr>
            <w:tcW w:w="160" w:type="dxa"/>
            <w:vAlign w:val="bottom"/>
          </w:tcPr>
          <w:p>
            <w:pPr>
              <w:spacing w:after="0"/>
              <w:rPr>
                <w:sz w:val="24"/>
                <w:szCs w:val="24"/>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279,399</w:t>
            </w:r>
          </w:p>
        </w:tc>
        <w:tc>
          <w:tcPr>
            <w:tcW w:w="40" w:type="dxa"/>
            <w:vAlign w:val="bottom"/>
          </w:tcPr>
          <w:p>
            <w:pPr>
              <w:spacing w:after="0"/>
              <w:rPr>
                <w:sz w:val="24"/>
                <w:szCs w:val="24"/>
                <w:color w:val="auto"/>
              </w:rPr>
            </w:pPr>
          </w:p>
        </w:tc>
      </w:tr>
      <w:tr>
        <w:trPr>
          <w:trHeight w:val="319"/>
        </w:trPr>
        <w:tc>
          <w:tcPr>
            <w:tcW w:w="5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4,891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4,891</w:t>
            </w:r>
          </w:p>
        </w:tc>
        <w:tc>
          <w:tcPr>
            <w:tcW w:w="40" w:type="dxa"/>
            <w:vAlign w:val="bottom"/>
          </w:tcPr>
          <w:p>
            <w:pPr>
              <w:spacing w:after="0"/>
              <w:rPr>
                <w:sz w:val="24"/>
                <w:szCs w:val="24"/>
                <w:color w:val="auto"/>
              </w:rPr>
            </w:pPr>
          </w:p>
        </w:tc>
      </w:tr>
      <w:tr>
        <w:trPr>
          <w:trHeight w:val="226"/>
        </w:trPr>
        <w:tc>
          <w:tcPr>
            <w:tcW w:w="58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(2,174)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(2,174)</w:t>
            </w:r>
          </w:p>
        </w:tc>
      </w:tr>
      <w:tr>
        <w:trPr>
          <w:trHeight w:val="305"/>
        </w:trPr>
        <w:tc>
          <w:tcPr>
            <w:tcW w:w="58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1,956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1,956</w:t>
            </w:r>
          </w:p>
        </w:tc>
        <w:tc>
          <w:tcPr>
            <w:tcW w:w="40" w:type="dxa"/>
            <w:vAlign w:val="bottom"/>
          </w:tcPr>
          <w:p>
            <w:pPr>
              <w:spacing w:after="0"/>
              <w:rPr>
                <w:sz w:val="24"/>
                <w:szCs w:val="24"/>
                <w:color w:val="auto"/>
              </w:rPr>
            </w:pPr>
          </w:p>
        </w:tc>
      </w:tr>
      <w:tr>
        <w:trPr>
          <w:trHeight w:val="218"/>
        </w:trPr>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(1,792)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(2,068)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(3,860)</w:t>
            </w:r>
          </w:p>
        </w:tc>
      </w:tr>
      <w:tr>
        <w:trPr>
          <w:trHeight w:val="159"/>
        </w:trPr>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55,494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55,494</w:t>
            </w:r>
          </w:p>
        </w:tc>
        <w:tc>
          <w:tcPr>
            <w:tcW w:w="40" w:type="dxa"/>
            <w:vAlign w:val="bottom"/>
          </w:tcPr>
          <w:p>
            <w:pPr>
              <w:spacing w:after="0"/>
              <w:rPr>
                <w:sz w:val="13"/>
                <w:szCs w:val="13"/>
                <w:color w:val="auto"/>
              </w:rPr>
            </w:pPr>
          </w:p>
        </w:tc>
      </w:tr>
      <w:tr>
        <w:trPr>
          <w:trHeight w:val="165"/>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(2,807)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(2,807)</w:t>
            </w:r>
          </w:p>
        </w:tc>
      </w:tr>
      <w:tr>
        <w:trPr>
          <w:trHeight w:val="153"/>
        </w:trPr>
        <w:tc>
          <w:tcPr>
            <w:tcW w:w="5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64,645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305,070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30,335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(2,512)</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8"/>
              </w:rPr>
              <w:t>332,899</w:t>
            </w:r>
          </w:p>
        </w:tc>
        <w:tc>
          <w:tcPr>
            <w:tcW w:w="40" w:type="dxa"/>
            <w:vAlign w:val="bottom"/>
          </w:tcPr>
          <w:p>
            <w:pPr>
              <w:spacing w:after="0"/>
              <w:rPr>
                <w:sz w:val="13"/>
                <w:szCs w:val="13"/>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4"/>
        </w:trPr>
        <w:tc>
          <w:tcPr>
            <w:tcW w:w="580" w:type="dxa"/>
            <w:vAlign w:val="bottom"/>
          </w:tcPr>
          <w:p>
            <w:pPr>
              <w:jc w:val="right"/>
              <w:spacing w:after="0"/>
              <w:rPr>
                <w:sz w:val="20"/>
                <w:szCs w:val="20"/>
                <w:color w:val="auto"/>
              </w:rPr>
            </w:pPr>
            <w:r>
              <w:rPr>
                <w:rFonts w:ascii="Arial" w:cs="Arial" w:eastAsia="Arial" w:hAnsi="Arial"/>
                <w:sz w:val="14"/>
                <w:szCs w:val="14"/>
                <w:color w:val="auto"/>
              </w:rPr>
              <w:t>62,830</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(278)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(1,433)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295,135</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(74,971)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(3,809)</w:t>
            </w:r>
          </w:p>
        </w:tc>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214,928</w:t>
            </w:r>
          </w:p>
        </w:tc>
        <w:tc>
          <w:tcPr>
            <w:tcW w:w="40" w:type="dxa"/>
            <w:vAlign w:val="bottom"/>
          </w:tcPr>
          <w:p>
            <w:pPr>
              <w:spacing w:after="0"/>
              <w:rPr>
                <w:sz w:val="24"/>
                <w:szCs w:val="24"/>
                <w:color w:val="auto"/>
              </w:rPr>
            </w:pPr>
          </w:p>
        </w:tc>
      </w:tr>
      <w:tr>
        <w:trPr>
          <w:trHeight w:val="385"/>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2,802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2,802</w:t>
            </w:r>
          </w:p>
        </w:tc>
        <w:tc>
          <w:tcPr>
            <w:tcW w:w="40" w:type="dxa"/>
            <w:vAlign w:val="bottom"/>
          </w:tcPr>
          <w:p>
            <w:pPr>
              <w:spacing w:after="0"/>
              <w:rPr>
                <w:sz w:val="24"/>
                <w:szCs w:val="24"/>
                <w:color w:val="auto"/>
              </w:rPr>
            </w:pPr>
          </w:p>
        </w:tc>
      </w:tr>
      <w:tr>
        <w:trPr>
          <w:trHeight w:val="239"/>
        </w:trPr>
        <w:tc>
          <w:tcPr>
            <w:tcW w:w="5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6,720</w:t>
            </w:r>
          </w:p>
        </w:tc>
        <w:tc>
          <w:tcPr>
            <w:tcW w:w="40" w:type="dxa"/>
            <w:vAlign w:val="bottom"/>
          </w:tcPr>
          <w:p>
            <w:pPr>
              <w:spacing w:after="0"/>
              <w:rPr>
                <w:sz w:val="20"/>
                <w:szCs w:val="20"/>
                <w:color w:val="auto"/>
              </w:rPr>
            </w:pPr>
          </w:p>
        </w:tc>
      </w:tr>
      <w:tr>
        <w:trPr>
          <w:trHeight w:val="226"/>
        </w:trPr>
        <w:tc>
          <w:tcPr>
            <w:tcW w:w="58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(3,164)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(3,164)</w:t>
            </w:r>
          </w:p>
        </w:tc>
      </w:tr>
      <w:tr>
        <w:trPr>
          <w:trHeight w:val="305"/>
        </w:trPr>
        <w:tc>
          <w:tcPr>
            <w:tcW w:w="580" w:type="dxa"/>
            <w:vAlign w:val="bottom"/>
          </w:tcPr>
          <w:p>
            <w:pPr>
              <w:jc w:val="right"/>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4,355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4,355</w:t>
            </w:r>
          </w:p>
        </w:tc>
        <w:tc>
          <w:tcPr>
            <w:tcW w:w="40" w:type="dxa"/>
            <w:vAlign w:val="bottom"/>
          </w:tcPr>
          <w:p>
            <w:pPr>
              <w:spacing w:after="0"/>
              <w:rPr>
                <w:sz w:val="24"/>
                <w:szCs w:val="24"/>
                <w:color w:val="auto"/>
              </w:rPr>
            </w:pPr>
          </w:p>
        </w:tc>
      </w:tr>
      <w:tr>
        <w:trPr>
          <w:trHeight w:val="218"/>
        </w:trPr>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(1,173)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59"/>
        </w:trPr>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33,366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33,366</w:t>
            </w:r>
          </w:p>
        </w:tc>
        <w:tc>
          <w:tcPr>
            <w:tcW w:w="40" w:type="dxa"/>
            <w:vAlign w:val="bottom"/>
          </w:tcPr>
          <w:p>
            <w:pPr>
              <w:spacing w:after="0"/>
              <w:rPr>
                <w:sz w:val="13"/>
                <w:szCs w:val="13"/>
                <w:color w:val="auto"/>
              </w:rPr>
            </w:pPr>
          </w:p>
        </w:tc>
      </w:tr>
      <w:tr>
        <w:trPr>
          <w:trHeight w:val="165"/>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2,817</w:t>
            </w:r>
          </w:p>
        </w:tc>
        <w:tc>
          <w:tcPr>
            <w:tcW w:w="40" w:type="dxa"/>
            <w:vAlign w:val="bottom"/>
          </w:tcPr>
          <w:p>
            <w:pPr>
              <w:spacing w:after="0"/>
              <w:rPr>
                <w:sz w:val="14"/>
                <w:szCs w:val="14"/>
                <w:color w:val="auto"/>
              </w:rPr>
            </w:pPr>
          </w:p>
        </w:tc>
      </w:tr>
      <w:tr>
        <w:trPr>
          <w:trHeight w:val="153"/>
        </w:trPr>
        <w:tc>
          <w:tcPr>
            <w:tcW w:w="5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63,916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301,874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(39,064)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(992)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8"/>
              </w:rPr>
              <w:t>261,824</w:t>
            </w:r>
          </w:p>
        </w:tc>
        <w:tc>
          <w:tcPr>
            <w:tcW w:w="40" w:type="dxa"/>
            <w:vAlign w:val="bottom"/>
          </w:tcPr>
          <w:p>
            <w:pPr>
              <w:spacing w:after="0"/>
              <w:rPr>
                <w:sz w:val="13"/>
                <w:szCs w:val="13"/>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3"/>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Retained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9"/>
        </w:trPr>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Shares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Shares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8"/>
              </w:rPr>
              <w:t>Additional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3"/>
              </w:rPr>
              <w:t>Earnings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9"/>
        </w:trPr>
        <w:tc>
          <w:tcPr>
            <w:tcW w:w="6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Common</w:t>
            </w:r>
          </w:p>
        </w:tc>
        <w:tc>
          <w:tcPr>
            <w:tcW w:w="60" w:type="dxa"/>
            <w:vAlign w:val="bottom"/>
          </w:tcPr>
          <w:p>
            <w:pPr>
              <w:spacing w:after="0"/>
              <w:rPr>
                <w:sz w:val="13"/>
                <w:szCs w:val="13"/>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6"/>
              </w:rPr>
              <w:t>Common</w:t>
            </w:r>
          </w:p>
        </w:tc>
        <w:tc>
          <w:tcPr>
            <w:tcW w:w="7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Treasury</w:t>
            </w:r>
          </w:p>
        </w:tc>
        <w:tc>
          <w:tcPr>
            <w:tcW w:w="60" w:type="dxa"/>
            <w:vAlign w:val="bottom"/>
          </w:tcPr>
          <w:p>
            <w:pPr>
              <w:spacing w:after="0"/>
              <w:rPr>
                <w:sz w:val="13"/>
                <w:szCs w:val="13"/>
                <w:color w:val="auto"/>
              </w:rPr>
            </w:pPr>
          </w:p>
        </w:tc>
        <w:tc>
          <w:tcPr>
            <w:tcW w:w="6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4"/>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Paid-In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(Accumulated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w w:val="91"/>
              </w:rPr>
              <w:t>Stock</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Stock</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3"/>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90"/>
              </w:rPr>
              <w:t>Income (Loss)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4"/>
                <w:szCs w:val="14"/>
                <w:color w:val="auto"/>
              </w:rPr>
            </w:pPr>
          </w:p>
        </w:tc>
      </w:tr>
      <w:tr>
        <w:trPr>
          <w:trHeight w:val="329"/>
        </w:trPr>
        <w:tc>
          <w:tcPr>
            <w:tcW w:w="580" w:type="dxa"/>
            <w:vAlign w:val="bottom"/>
          </w:tcPr>
          <w:p>
            <w:pPr>
              <w:jc w:val="right"/>
              <w:spacing w:after="0"/>
              <w:rPr>
                <w:sz w:val="20"/>
                <w:szCs w:val="20"/>
                <w:color w:val="auto"/>
              </w:rPr>
            </w:pPr>
            <w:r>
              <w:rPr>
                <w:rFonts w:ascii="Arial" w:cs="Arial" w:eastAsia="Arial" w:hAnsi="Arial"/>
                <w:sz w:val="14"/>
                <w:szCs w:val="14"/>
                <w:color w:val="auto"/>
              </w:rPr>
              <w:t>64,947</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304,531</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19,856</w:t>
            </w: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(3,391)</w:t>
            </w:r>
          </w:p>
        </w:tc>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321,002</w:t>
            </w:r>
          </w:p>
        </w:tc>
        <w:tc>
          <w:tcPr>
            <w:tcW w:w="40" w:type="dxa"/>
            <w:vAlign w:val="bottom"/>
          </w:tcPr>
          <w:p>
            <w:pPr>
              <w:spacing w:after="0"/>
              <w:rPr>
                <w:sz w:val="24"/>
                <w:szCs w:val="24"/>
                <w:color w:val="auto"/>
              </w:rPr>
            </w:pPr>
          </w:p>
        </w:tc>
      </w:tr>
      <w:tr>
        <w:trPr>
          <w:trHeight w:val="319"/>
        </w:trPr>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1,761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1,761</w:t>
            </w:r>
          </w:p>
        </w:tc>
        <w:tc>
          <w:tcPr>
            <w:tcW w:w="40" w:type="dxa"/>
            <w:vAlign w:val="bottom"/>
          </w:tcPr>
          <w:p>
            <w:pPr>
              <w:spacing w:after="0"/>
              <w:rPr>
                <w:sz w:val="24"/>
                <w:szCs w:val="24"/>
                <w:color w:val="auto"/>
              </w:rPr>
            </w:pPr>
          </w:p>
        </w:tc>
      </w:tr>
      <w:tr>
        <w:trPr>
          <w:trHeight w:val="226"/>
        </w:trPr>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(68)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(68)</w:t>
            </w:r>
          </w:p>
        </w:tc>
      </w:tr>
      <w:tr>
        <w:trPr>
          <w:trHeight w:val="305"/>
        </w:trPr>
        <w:tc>
          <w:tcPr>
            <w:tcW w:w="58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638</w:t>
            </w:r>
          </w:p>
        </w:tc>
        <w:tc>
          <w:tcPr>
            <w:tcW w:w="40" w:type="dxa"/>
            <w:vAlign w:val="bottom"/>
          </w:tcPr>
          <w:p>
            <w:pPr>
              <w:spacing w:after="0"/>
              <w:rPr>
                <w:sz w:val="24"/>
                <w:szCs w:val="24"/>
                <w:color w:val="auto"/>
              </w:rPr>
            </w:pPr>
          </w:p>
        </w:tc>
      </w:tr>
      <w:tr>
        <w:trPr>
          <w:trHeight w:val="218"/>
        </w:trPr>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(1,792)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(2,068)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(3,860)</w:t>
            </w:r>
          </w:p>
        </w:tc>
      </w:tr>
      <w:tr>
        <w:trPr>
          <w:trHeight w:val="159"/>
        </w:trPr>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12,547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12,547</w:t>
            </w:r>
          </w:p>
        </w:tc>
        <w:tc>
          <w:tcPr>
            <w:tcW w:w="40" w:type="dxa"/>
            <w:vAlign w:val="bottom"/>
          </w:tcPr>
          <w:p>
            <w:pPr>
              <w:spacing w:after="0"/>
              <w:rPr>
                <w:sz w:val="13"/>
                <w:szCs w:val="13"/>
                <w:color w:val="auto"/>
              </w:rPr>
            </w:pPr>
          </w:p>
        </w:tc>
      </w:tr>
      <w:tr>
        <w:trPr>
          <w:trHeight w:val="165"/>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879</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879</w:t>
            </w:r>
          </w:p>
        </w:tc>
        <w:tc>
          <w:tcPr>
            <w:tcW w:w="40" w:type="dxa"/>
            <w:vAlign w:val="bottom"/>
          </w:tcPr>
          <w:p>
            <w:pPr>
              <w:spacing w:after="0"/>
              <w:rPr>
                <w:sz w:val="14"/>
                <w:szCs w:val="14"/>
                <w:color w:val="auto"/>
              </w:rPr>
            </w:pPr>
          </w:p>
        </w:tc>
      </w:tr>
      <w:tr>
        <w:trPr>
          <w:trHeight w:val="153"/>
        </w:trPr>
        <w:tc>
          <w:tcPr>
            <w:tcW w:w="5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64,645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305,070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30,335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(2,512)</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8"/>
              </w:rPr>
              <w:t>332,899</w:t>
            </w:r>
          </w:p>
        </w:tc>
        <w:tc>
          <w:tcPr>
            <w:tcW w:w="40" w:type="dxa"/>
            <w:vAlign w:val="bottom"/>
          </w:tcPr>
          <w:p>
            <w:pPr>
              <w:spacing w:after="0"/>
              <w:rPr>
                <w:sz w:val="13"/>
                <w:szCs w:val="13"/>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4"/>
        </w:trPr>
        <w:tc>
          <w:tcPr>
            <w:tcW w:w="580" w:type="dxa"/>
            <w:vAlign w:val="bottom"/>
          </w:tcPr>
          <w:p>
            <w:pPr>
              <w:jc w:val="right"/>
              <w:spacing w:after="0"/>
              <w:rPr>
                <w:sz w:val="20"/>
                <w:szCs w:val="20"/>
                <w:color w:val="auto"/>
              </w:rPr>
            </w:pPr>
            <w:r>
              <w:rPr>
                <w:rFonts w:ascii="Arial" w:cs="Arial" w:eastAsia="Arial" w:hAnsi="Arial"/>
                <w:sz w:val="14"/>
                <w:szCs w:val="14"/>
                <w:color w:val="auto"/>
              </w:rPr>
              <w:t>63,769</w:t>
            </w:r>
          </w:p>
        </w:tc>
        <w:tc>
          <w:tcPr>
            <w:tcW w:w="1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299,320</w:t>
            </w:r>
          </w:p>
        </w:tc>
        <w:tc>
          <w:tcPr>
            <w:tcW w:w="1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(47,016)</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(832)</w:t>
            </w:r>
          </w:p>
        </w:tc>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8"/>
              </w:rPr>
              <w:t>251,478</w:t>
            </w:r>
          </w:p>
        </w:tc>
        <w:tc>
          <w:tcPr>
            <w:tcW w:w="40" w:type="dxa"/>
            <w:vAlign w:val="bottom"/>
          </w:tcPr>
          <w:p>
            <w:pPr>
              <w:spacing w:after="0"/>
              <w:rPr>
                <w:sz w:val="24"/>
                <w:szCs w:val="24"/>
                <w:color w:val="auto"/>
              </w:rPr>
            </w:pPr>
          </w:p>
        </w:tc>
      </w:tr>
      <w:tr>
        <w:trPr>
          <w:trHeight w:val="319"/>
        </w:trPr>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2,190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2,190</w:t>
            </w:r>
          </w:p>
        </w:tc>
        <w:tc>
          <w:tcPr>
            <w:tcW w:w="40" w:type="dxa"/>
            <w:vAlign w:val="bottom"/>
          </w:tcPr>
          <w:p>
            <w:pPr>
              <w:spacing w:after="0"/>
              <w:rPr>
                <w:sz w:val="24"/>
                <w:szCs w:val="24"/>
                <w:color w:val="auto"/>
              </w:rPr>
            </w:pPr>
          </w:p>
        </w:tc>
      </w:tr>
      <w:tr>
        <w:trPr>
          <w:trHeight w:val="226"/>
        </w:trPr>
        <w:tc>
          <w:tcPr>
            <w:tcW w:w="58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(235)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(235)</w:t>
            </w:r>
          </w:p>
        </w:tc>
      </w:tr>
      <w:tr>
        <w:trPr>
          <w:trHeight w:val="305"/>
        </w:trPr>
        <w:tc>
          <w:tcPr>
            <w:tcW w:w="58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599</w:t>
            </w:r>
          </w:p>
        </w:tc>
        <w:tc>
          <w:tcPr>
            <w:tcW w:w="40" w:type="dxa"/>
            <w:vAlign w:val="bottom"/>
          </w:tcPr>
          <w:p>
            <w:pPr>
              <w:spacing w:after="0"/>
              <w:rPr>
                <w:sz w:val="24"/>
                <w:szCs w:val="24"/>
                <w:color w:val="auto"/>
              </w:rPr>
            </w:pPr>
          </w:p>
        </w:tc>
      </w:tr>
      <w:tr>
        <w:trPr>
          <w:trHeight w:val="218"/>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7,952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7,952</w:t>
            </w:r>
          </w:p>
        </w:tc>
        <w:tc>
          <w:tcPr>
            <w:tcW w:w="40" w:type="dxa"/>
            <w:vAlign w:val="bottom"/>
          </w:tcPr>
          <w:p>
            <w:pPr>
              <w:spacing w:after="0"/>
              <w:rPr>
                <w:sz w:val="18"/>
                <w:szCs w:val="18"/>
                <w:color w:val="auto"/>
              </w:rPr>
            </w:pPr>
          </w:p>
        </w:tc>
      </w:tr>
      <w:tr>
        <w:trPr>
          <w:trHeight w:val="165"/>
        </w:trPr>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(160)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(160)</w:t>
            </w:r>
          </w:p>
        </w:tc>
      </w:tr>
      <w:tr>
        <w:trPr>
          <w:trHeight w:val="153"/>
        </w:trPr>
        <w:tc>
          <w:tcPr>
            <w:tcW w:w="5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63,916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301,874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(39,064)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(992)</w:t>
            </w:r>
          </w:p>
        </w:tc>
        <w:tc>
          <w:tcPr>
            <w:tcW w:w="1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98"/>
              </w:rPr>
              <w:t>261,824</w:t>
            </w:r>
          </w:p>
        </w:tc>
        <w:tc>
          <w:tcPr>
            <w:tcW w:w="40" w:type="dxa"/>
            <w:vAlign w:val="bottom"/>
          </w:tcPr>
          <w:p>
            <w:pPr>
              <w:spacing w:after="0"/>
              <w:rPr>
                <w:sz w:val="13"/>
                <w:szCs w:val="13"/>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-5480685</wp:posOffset>
            </wp:positionV>
            <wp:extent cx="6468110" cy="100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8110" cy="10096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-5278755</wp:posOffset>
            </wp:positionV>
            <wp:extent cx="6468110" cy="100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8110" cy="10096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-4983480</wp:posOffset>
            </wp:positionV>
            <wp:extent cx="6468110" cy="193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8110" cy="19367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-4688205</wp:posOffset>
            </wp:positionV>
            <wp:extent cx="6468110" cy="100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8110" cy="10096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-4485640</wp:posOffset>
            </wp:positionV>
            <wp:extent cx="6468110" cy="118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8110" cy="11811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-4249420</wp:posOffset>
            </wp:positionV>
            <wp:extent cx="6468110" cy="100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8110" cy="10096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-4047490</wp:posOffset>
            </wp:positionV>
            <wp:extent cx="6468110" cy="193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68110" cy="19367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-3752215</wp:posOffset>
            </wp:positionV>
            <wp:extent cx="6468110" cy="1936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8110" cy="19367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-3364230</wp:posOffset>
            </wp:positionV>
            <wp:extent cx="6468110" cy="1009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8110" cy="10096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-3161665</wp:posOffset>
            </wp:positionV>
            <wp:extent cx="6468110" cy="1009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8110" cy="10096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-2158365</wp:posOffset>
            </wp:positionV>
            <wp:extent cx="6468110" cy="1009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8110" cy="10096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-1955800</wp:posOffset>
            </wp:positionV>
            <wp:extent cx="6468110" cy="1936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8110" cy="19367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-1567815</wp:posOffset>
            </wp:positionV>
            <wp:extent cx="6468110" cy="100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8110" cy="10096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-1365250</wp:posOffset>
            </wp:positionV>
            <wp:extent cx="6468110" cy="100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8110" cy="10096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-1146175</wp:posOffset>
            </wp:positionV>
            <wp:extent cx="6468110" cy="118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8110" cy="118110"/>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-927100</wp:posOffset>
            </wp:positionV>
            <wp:extent cx="6468110" cy="100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8110" cy="10096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-724535</wp:posOffset>
            </wp:positionV>
            <wp:extent cx="6468110" cy="1936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8110" cy="19367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-336550</wp:posOffset>
            </wp:positionV>
            <wp:extent cx="6468110" cy="100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8110" cy="100965"/>
                    </a:xfrm>
                    <a:prstGeom prst="rect">
                      <a:avLst/>
                    </a:prstGeom>
                    <a:noFill/>
                  </pic:spPr>
                </pic:pic>
              </a:graphicData>
            </a:graphic>
          </wp:anchor>
        </w:drawing>
        <w:drawing>
          <wp:anchor simplePos="0" relativeHeight="251657728" behindDoc="1" locked="0" layoutInCell="0" allowOverlap="1">
            <wp:simplePos x="0" y="0"/>
            <wp:positionH relativeFrom="column">
              <wp:posOffset>-2071370</wp:posOffset>
            </wp:positionH>
            <wp:positionV relativeFrom="paragraph">
              <wp:posOffset>-133985</wp:posOffset>
            </wp:positionV>
            <wp:extent cx="6468110" cy="1181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8110" cy="118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200"/>
            <w:col w:w="6880"/>
          </w:cols>
          <w:pgMar w:left="860" w:top="334" w:right="899" w:bottom="1440" w:gutter="0" w:footer="0" w:header="0"/>
          <w:type w:val="continuous"/>
        </w:sectPr>
      </w:pPr>
    </w:p>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See notes to unaudited condensed consolidated financial statements.</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78740</wp:posOffset>
            </wp:positionV>
            <wp:extent cx="71348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0140"/>
          </w:cols>
          <w:pgMar w:left="860" w:top="334" w:right="8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77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55,494</w:t>
            </w:r>
          </w:p>
        </w:tc>
        <w:tc>
          <w:tcPr>
            <w:tcW w:w="280" w:type="dxa"/>
            <w:vAlign w:val="bottom"/>
          </w:tcPr>
          <w:p>
            <w:pPr>
              <w:spacing w:after="0"/>
              <w:rPr>
                <w:sz w:val="19"/>
                <w:szCs w:val="19"/>
                <w:color w:val="auto"/>
              </w:rPr>
            </w:pPr>
          </w:p>
        </w:tc>
        <w:tc>
          <w:tcPr>
            <w:tcW w:w="560" w:type="dxa"/>
            <w:vAlign w:val="bottom"/>
          </w:tcPr>
          <w:p>
            <w:pPr>
              <w:jc w:val="right"/>
              <w:ind w:right="37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33,366</w:t>
            </w: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Loss from discontinued operations, net of income taxes</w:t>
            </w: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(7,490)</w:t>
            </w:r>
          </w:p>
        </w:tc>
      </w:tr>
      <w:tr>
        <w:trPr>
          <w:trHeight w:val="218"/>
        </w:trPr>
        <w:tc>
          <w:tcPr>
            <w:tcW w:w="77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960" w:type="dxa"/>
            <w:vAlign w:val="bottom"/>
            <w:tcBorders>
              <w:top w:val="single" w:sz="8" w:color="auto"/>
            </w:tcBorders>
          </w:tcPr>
          <w:p>
            <w:pPr>
              <w:jc w:val="right"/>
              <w:ind w:right="777"/>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55,494</w:t>
            </w: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ind w:right="37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40,856</w:t>
            </w: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flows provided by operating activities: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27,584</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26,772</w:t>
            </w: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14,382</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(Gain) loss on sale of assets</w:t>
            </w:r>
          </w:p>
        </w:tc>
        <w:tc>
          <w:tcPr>
            <w:tcW w:w="9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deferred financing fees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2,344</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Share-based compensation expense</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4,891</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5,234</w:t>
            </w: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assets and liabilities: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(27,379)</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33,736</w:t>
            </w: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Contract revenues in excess of billings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(7,430)</w:t>
            </w:r>
          </w:p>
        </w:tc>
      </w:tr>
      <w:tr>
        <w:trPr>
          <w:trHeight w:val="225"/>
        </w:trPr>
        <w:tc>
          <w:tcPr>
            <w:tcW w:w="774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(3,080)</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(1,178)</w:t>
            </w:r>
          </w:p>
        </w:tc>
      </w:tr>
      <w:tr>
        <w:trPr>
          <w:trHeight w:val="226"/>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4,707</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13,384</w:t>
            </w:r>
          </w:p>
        </w:tc>
        <w:tc>
          <w:tcPr>
            <w:tcW w:w="120" w:type="dxa"/>
            <w:vAlign w:val="bottom"/>
          </w:tcPr>
          <w:p>
            <w:pPr>
              <w:spacing w:after="0"/>
              <w:rPr>
                <w:sz w:val="19"/>
                <w:szCs w:val="19"/>
                <w:color w:val="auto"/>
              </w:rPr>
            </w:pPr>
          </w:p>
        </w:tc>
      </w:tr>
      <w:tr>
        <w:trPr>
          <w:trHeight w:val="226"/>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Billings in excess of contract revenues</w:t>
            </w: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2"/>
              </w:rPr>
              <w:t>(17,112)</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51,594</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noncurrent assets and liabilities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Borders>
              <w:bottom w:val="single" w:sz="8" w:color="CFF0FC"/>
            </w:tcBorders>
          </w:tcPr>
          <w:p>
            <w:pPr>
              <w:spacing w:after="0"/>
              <w:rPr>
                <w:sz w:val="19"/>
                <w:szCs w:val="19"/>
                <w:color w:val="auto"/>
              </w:rPr>
            </w:pPr>
          </w:p>
        </w:tc>
      </w:tr>
      <w:tr>
        <w:trPr>
          <w:trHeight w:val="220"/>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flows provided by operating activities from continuing operations</w:t>
            </w: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75,996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182,037</w:t>
            </w:r>
          </w:p>
        </w:tc>
        <w:tc>
          <w:tcPr>
            <w:tcW w:w="120" w:type="dxa"/>
            <w:vAlign w:val="bottom"/>
            <w:shd w:val="clear" w:color="auto" w:fill="CFF0FC"/>
          </w:tcPr>
          <w:p>
            <w:pPr>
              <w:spacing w:after="0"/>
              <w:rPr>
                <w:sz w:val="19"/>
                <w:szCs w:val="19"/>
                <w:color w:val="auto"/>
              </w:rPr>
            </w:pPr>
          </w:p>
        </w:tc>
      </w:tr>
      <w:tr>
        <w:trPr>
          <w:trHeight w:val="225"/>
        </w:trPr>
        <w:tc>
          <w:tcPr>
            <w:tcW w:w="7740" w:type="dxa"/>
            <w:vAlign w:val="bottom"/>
          </w:tcPr>
          <w:p>
            <w:pPr>
              <w:ind w:left="240"/>
              <w:spacing w:after="0"/>
              <w:rPr>
                <w:sz w:val="20"/>
                <w:szCs w:val="20"/>
                <w:color w:val="auto"/>
              </w:rPr>
            </w:pPr>
            <w:r>
              <w:rPr>
                <w:rFonts w:ascii="Arial" w:cs="Arial" w:eastAsia="Arial" w:hAnsi="Arial"/>
                <w:sz w:val="18"/>
                <w:szCs w:val="18"/>
                <w:color w:val="auto"/>
              </w:rPr>
              <w:t>Net cash flows used in operating activities of discontinued operations</w:t>
            </w:r>
          </w:p>
        </w:tc>
        <w:tc>
          <w:tcPr>
            <w:tcW w:w="9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(8,757)</w:t>
            </w:r>
          </w:p>
        </w:tc>
      </w:tr>
      <w:tr>
        <w:trPr>
          <w:trHeight w:val="220"/>
        </w:trPr>
        <w:tc>
          <w:tcPr>
            <w:tcW w:w="7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Cash provided by 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75,996</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173,280</w:t>
            </w:r>
          </w:p>
        </w:tc>
        <w:tc>
          <w:tcPr>
            <w:tcW w:w="120" w:type="dxa"/>
            <w:vAlign w:val="bottom"/>
            <w:tcBorders>
              <w:top w:val="single" w:sz="8" w:color="CFF0FC"/>
            </w:tcBorders>
            <w:shd w:val="clear" w:color="auto" w:fill="CFF0FC"/>
          </w:tcPr>
          <w:p>
            <w:pPr>
              <w:spacing w:after="0"/>
              <w:rPr>
                <w:sz w:val="19"/>
                <w:szCs w:val="19"/>
                <w:color w:val="auto"/>
              </w:rPr>
            </w:pPr>
          </w:p>
        </w:tc>
      </w:tr>
      <w:tr>
        <w:trPr>
          <w:trHeight w:val="451"/>
        </w:trPr>
        <w:tc>
          <w:tcPr>
            <w:tcW w:w="77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2"/>
              </w:rPr>
              <w:t>(30,124)</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(37,608)</w:t>
            </w:r>
          </w:p>
        </w:tc>
      </w:tr>
      <w:tr>
        <w:trPr>
          <w:trHeight w:val="225"/>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dispositions of property and equipment</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20" w:type="dxa"/>
            <w:vAlign w:val="bottom"/>
            <w:tcBorders>
              <w:bottom w:val="single" w:sz="8" w:color="CFF0FC"/>
            </w:tcBorders>
          </w:tcPr>
          <w:p>
            <w:pPr>
              <w:spacing w:after="0"/>
              <w:rPr>
                <w:sz w:val="19"/>
                <w:szCs w:val="19"/>
                <w:color w:val="auto"/>
              </w:rPr>
            </w:pPr>
          </w:p>
        </w:tc>
      </w:tr>
      <w:tr>
        <w:trPr>
          <w:trHeight w:val="220"/>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flows used in investing activities of continuing operations</w:t>
            </w: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2"/>
              </w:rPr>
              <w:t>(29,188)</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(32,051)</w:t>
            </w:r>
          </w:p>
        </w:tc>
      </w:tr>
      <w:tr>
        <w:trPr>
          <w:trHeight w:val="225"/>
        </w:trPr>
        <w:tc>
          <w:tcPr>
            <w:tcW w:w="77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cash flows provided by investing activities of discontinued operations</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18,056</w:t>
            </w:r>
          </w:p>
        </w:tc>
        <w:tc>
          <w:tcPr>
            <w:tcW w:w="120" w:type="dxa"/>
            <w:vAlign w:val="bottom"/>
            <w:tcBorders>
              <w:bottom w:val="single" w:sz="8" w:color="CFF0FC"/>
            </w:tcBorders>
          </w:tcPr>
          <w:p>
            <w:pPr>
              <w:spacing w:after="0"/>
              <w:rPr>
                <w:sz w:val="19"/>
                <w:szCs w:val="19"/>
                <w:color w:val="auto"/>
              </w:rPr>
            </w:pPr>
          </w:p>
        </w:tc>
      </w:tr>
      <w:tr>
        <w:trPr>
          <w:trHeight w:val="220"/>
        </w:trPr>
        <w:tc>
          <w:tcPr>
            <w:tcW w:w="7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used in investing activities</w:t>
            </w: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2"/>
              </w:rPr>
              <w:t>(29,188)</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(13,995)</w:t>
            </w:r>
          </w:p>
        </w:tc>
      </w:tr>
      <w:tr>
        <w:trPr>
          <w:trHeight w:val="424"/>
        </w:trPr>
        <w:tc>
          <w:tcPr>
            <w:tcW w:w="7740" w:type="dxa"/>
            <w:vAlign w:val="bottom"/>
          </w:tcPr>
          <w:p>
            <w:pPr>
              <w:ind w:left="5580"/>
              <w:spacing w:after="0"/>
              <w:rPr>
                <w:sz w:val="20"/>
                <w:szCs w:val="20"/>
                <w:color w:val="auto"/>
              </w:rPr>
            </w:pPr>
            <w:r>
              <w:rPr>
                <w:rFonts w:ascii="Arial" w:cs="Arial" w:eastAsia="Arial" w:hAnsi="Arial"/>
                <w:sz w:val="18"/>
                <w:szCs w:val="18"/>
                <w:color w:val="auto"/>
              </w:rPr>
              <w:t>7</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4"/>
        </w:trPr>
        <w:tc>
          <w:tcPr>
            <w:tcW w:w="77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3"/>
              <w:spacing w:after="0" w:line="153"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7740" w:type="dxa"/>
            <w:vAlign w:val="bottom"/>
            <w:gridSpan w:val="2"/>
            <w:vMerge w:val="continue"/>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fees</w:t>
            </w:r>
          </w:p>
        </w:tc>
        <w:tc>
          <w:tcPr>
            <w:tcW w:w="9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25"/>
        </w:trPr>
        <w:tc>
          <w:tcPr>
            <w:tcW w:w="7740" w:type="dxa"/>
            <w:vAlign w:val="bottom"/>
            <w:gridSpan w:val="2"/>
          </w:tcPr>
          <w:p>
            <w:pPr>
              <w:spacing w:after="0"/>
              <w:rPr>
                <w:sz w:val="20"/>
                <w:szCs w:val="20"/>
                <w:color w:val="auto"/>
              </w:rPr>
            </w:pPr>
            <w:r>
              <w:rPr>
                <w:rFonts w:ascii="Arial" w:cs="Arial" w:eastAsia="Arial" w:hAnsi="Arial"/>
                <w:sz w:val="18"/>
                <w:szCs w:val="18"/>
                <w:color w:val="auto"/>
              </w:rPr>
              <w:t>Taxes paid on settlement of vested share awards</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(2,174)</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and purchases from employee stock plans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gridSpan w:val="2"/>
          </w:tcPr>
          <w:p>
            <w:pPr>
              <w:spacing w:after="0"/>
              <w:rPr>
                <w:sz w:val="20"/>
                <w:szCs w:val="20"/>
                <w:color w:val="auto"/>
              </w:rPr>
            </w:pPr>
            <w:r>
              <w:rPr>
                <w:rFonts w:ascii="Arial" w:cs="Arial" w:eastAsia="Arial" w:hAnsi="Arial"/>
                <w:sz w:val="18"/>
                <w:szCs w:val="18"/>
                <w:color w:val="auto"/>
              </w:rPr>
              <w:t>Repurchase of common stock</w:t>
            </w: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(3,860)</w:t>
            </w:r>
          </w:p>
        </w:tc>
        <w:tc>
          <w:tcPr>
            <w:tcW w:w="5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Repayments of revolving loans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220"/>
              <w:spacing w:after="0"/>
              <w:rPr>
                <w:sz w:val="20"/>
                <w:szCs w:val="20"/>
                <w:color w:val="auto"/>
              </w:rPr>
            </w:pPr>
            <w:r>
              <w:rPr>
                <w:rFonts w:ascii="Arial" w:cs="Arial" w:eastAsia="Arial" w:hAnsi="Arial"/>
                <w:sz w:val="18"/>
                <w:szCs w:val="18"/>
                <w:color w:val="auto"/>
              </w:rPr>
              <w:t>Net cash flows used in financing activities of continuing operations</w:t>
            </w: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(4,078)</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(12,697)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cash flows used in financing activities of discontinued operations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vMerge w:val="restart"/>
          </w:tcPr>
          <w:p>
            <w:pPr>
              <w:ind w:left="220"/>
              <w:spacing w:after="0"/>
              <w:rPr>
                <w:sz w:val="20"/>
                <w:szCs w:val="20"/>
                <w:color w:val="auto"/>
              </w:rPr>
            </w:pPr>
            <w:r>
              <w:rPr>
                <w:rFonts w:ascii="Arial" w:cs="Arial" w:eastAsia="Arial" w:hAnsi="Arial"/>
                <w:sz w:val="18"/>
                <w:szCs w:val="18"/>
                <w:color w:val="auto"/>
              </w:rPr>
              <w:t>Cash used in financing activities</w:t>
            </w: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7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(4,078)</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(12,888)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94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42,730</w:t>
            </w:r>
          </w:p>
        </w:tc>
        <w:tc>
          <w:tcPr>
            <w:tcW w:w="2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186,995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40" w:type="dxa"/>
            <w:vAlign w:val="bottom"/>
            <w:tcBorders>
              <w:top w:val="single" w:sz="8" w:color="auto"/>
              <w:bottom w:val="single" w:sz="8" w:color="auto"/>
            </w:tcBorders>
            <w:shd w:val="clear" w:color="auto" w:fill="CFF0FC"/>
          </w:tcPr>
          <w:p>
            <w:pPr>
              <w:jc w:val="right"/>
              <w:ind w:right="75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229,725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180,855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774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12,659</w:t>
            </w:r>
          </w:p>
        </w:tc>
        <w:tc>
          <w:tcPr>
            <w:tcW w:w="280" w:type="dxa"/>
            <w:vAlign w:val="bottom"/>
          </w:tcPr>
          <w:p>
            <w:pPr>
              <w:spacing w:after="0"/>
              <w:rPr>
                <w:sz w:val="23"/>
                <w:szCs w:val="23"/>
                <w:color w:val="auto"/>
              </w:rPr>
            </w:pPr>
          </w:p>
        </w:tc>
        <w:tc>
          <w:tcPr>
            <w:tcW w:w="5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20" w:type="dxa"/>
            <w:vAlign w:val="bottom"/>
            <w:tcBorders>
              <w:top w:val="single" w:sz="8" w:color="CFF0FC"/>
              <w:bottom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Cash paid for income taxes</w:t>
            </w:r>
          </w:p>
        </w:tc>
        <w:tc>
          <w:tcPr>
            <w:tcW w:w="940" w:type="dxa"/>
            <w:vAlign w:val="bottom"/>
            <w:tcBorders>
              <w:top w:val="single" w:sz="8" w:color="auto"/>
              <w:bottom w:val="single" w:sz="8" w:color="auto"/>
            </w:tcBorders>
            <w:shd w:val="clear" w:color="auto" w:fill="CFF0FC"/>
          </w:tcPr>
          <w:p>
            <w:pPr>
              <w:jc w:val="right"/>
              <w:ind w:right="755"/>
              <w:spacing w:after="0" w:line="20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385</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jc w:val="right"/>
              <w:ind w:right="371"/>
              <w:spacing w:after="0" w:line="20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344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gridSpan w:val="2"/>
          </w:tcPr>
          <w:p>
            <w:pPr>
              <w:spacing w:after="0"/>
              <w:rPr>
                <w:sz w:val="20"/>
                <w:szCs w:val="20"/>
                <w:color w:val="auto"/>
              </w:rPr>
            </w:pPr>
            <w:r>
              <w:rPr>
                <w:rFonts w:ascii="Arial" w:cs="Arial" w:eastAsia="Arial" w:hAnsi="Arial"/>
                <w:sz w:val="18"/>
                <w:szCs w:val="18"/>
                <w:color w:val="auto"/>
              </w:rPr>
              <w:t>Property and equipment purchased but not yet paid</w:t>
            </w:r>
          </w:p>
        </w:tc>
        <w:tc>
          <w:tcPr>
            <w:tcW w:w="940" w:type="dxa"/>
            <w:vAlign w:val="bottom"/>
            <w:tcBorders>
              <w:bottom w:val="single" w:sz="8" w:color="auto"/>
            </w:tcBorders>
          </w:tcPr>
          <w:p>
            <w:pPr>
              <w:jc w:val="right"/>
              <w:ind w:right="75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t>GREAT LAKES DREDGE &amp; DOCK CORPORATION AND SUBSIDIARIES</w:t>
      </w: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 amounts in thousands, except per share amounts or as otherwise noted)</w:t>
      </w:r>
    </w:p>
    <w:p>
      <w:pPr>
        <w:spacing w:after="0" w:line="227" w:lineRule="exact"/>
        <w:rPr>
          <w:sz w:val="20"/>
          <w:szCs w:val="20"/>
          <w:color w:val="auto"/>
        </w:rPr>
      </w:pPr>
    </w:p>
    <w:p>
      <w:pPr>
        <w:ind w:left="520" w:hanging="514"/>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unaudited condensed consolidated financial statements and notes herein should be read in conjunction with the audited consolidated financial statements of Great Lakes Dredge &amp; Dock Corporation and Subsidiaries (the “Company” or “Great Lakes”) and the notes thereto, included in the Company’s Annual Report on Form 10-K for the year ended December 31, 2019. The condensed consolidated financial statements included herein have been prepared by the Company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the SEC’s rules and regulations, although management believes that the disclosures are adequate and make the information presented not misleading. In the opinion of management, all adjustments, which are of a normal and recurring nature (except as otherwise noted), that are necessary to present fairly the Company’s financial position as of September 30, 2020 and December 31, 2019, and its results of operations for the three and nine months ended September 30, 2020 and 2019 and cash flows for the nine months ended September 30, 2020 and 2019 have been included.</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On March 27, 2020, the U.S. government enacted the Coronavirus Aid, Relief and Economic Security Act (the “CARES Act”). The CARES Act is an emergency economic stimulus package in response to the coronavirus (COVID-19) pandemic which, among other things, includes various tax provisions relating to refundable payroll tax credits, deferment of the employer side of certain payroll taxes and social security payments, net operating loss carryback periods, alternative minimum tax credit refunds, modifications to the net interest deduction limitations and technical corrections to tax depreciation methods for qualified improvement property. The Company has elected to defer the employer side of certain payroll taxes and is continually assessing the financial impact of these tax-related changes. As of September 30, 2020, the Company has not been significantly impacted by COVID-19 but the uncertainty that surrounds this virus means that the Company must continue to monitor and assess any potential future impact on the Company’s business, financial condition and results of operations.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components of costs of contract revenues include labor, equipment (including depreciation, maintenance, insurance and long-term rentals), subcontracts, fuel, supplies, short-term rentals and project overhead. Hourly labor is generally hired on a project-by-project basis. Costs of contract revenues vary significantly depending on the type and location of work performed and assets utilized.</w:t>
      </w:r>
    </w:p>
    <w:p>
      <w:pPr>
        <w:spacing w:after="0" w:line="18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one operating segment which is also the Company’s reportable segment and reporting unit of which the Company tests goodwill for impairment. The Company performed its most recent annual test of impairment as of July 1, 2020 with no indication of impairment as of the test date. The Company will perform its next scheduled annual test of goodwill in the third quarter of 2021.</w:t>
      </w:r>
    </w:p>
    <w:p>
      <w:pPr>
        <w:spacing w:after="0" w:line="188"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On August 4, 2020, the Company announced that its board of directors approved a share repurchase program, authorizing, but not obligating, the repurchase of up to an aggregate amount of $75.0 million of its common stock from time to time through July 31, 2021.</w:t>
      </w:r>
    </w:p>
    <w:p>
      <w:pPr>
        <w:spacing w:after="0" w:line="180"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The condensed consolidated results of operations and comprehensive income for the interim periods presented herein are not necessarily indicative of the results to be expected for the full year.</w:t>
      </w:r>
    </w:p>
    <w:p>
      <w:pPr>
        <w:spacing w:after="0" w:line="174" w:lineRule="exact"/>
        <w:rPr>
          <w:sz w:val="20"/>
          <w:szCs w:val="20"/>
          <w:color w:val="auto"/>
        </w:rPr>
      </w:pPr>
    </w:p>
    <w:p>
      <w:pPr>
        <w:ind w:left="520" w:hanging="514"/>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18"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reporting period. Diluted earnings per share is computed similar to basic earnings per share except that it reflects the potential dilution that could occur if dilutive securities or other obligations to issue common stock were exercised or converted into common stock.</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computations for basic and diluted earnings per share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574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 in thousands)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
              <w:spacing w:after="0" w:line="153"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5"/>
              <w:spacing w:after="0" w:line="153"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3"/>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from continuing operations</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8,811</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55,494</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Loss from discontinued operations, net of income taxes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(7,490)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8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80" w:type="dxa"/>
            <w:vAlign w:val="bottom"/>
            <w:gridSpan w:val="2"/>
            <w:vMerge w:val="continue"/>
            <w:shd w:val="clear" w:color="auto" w:fill="CFF0FC"/>
          </w:tcPr>
          <w:p>
            <w:pPr>
              <w:spacing w:after="0"/>
              <w:rPr>
                <w:sz w:val="19"/>
                <w:szCs w:val="19"/>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7,952</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55,494</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4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64,860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63,861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64,726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Effect of stock options and restricted stock units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43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right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20" w:type="dxa"/>
            <w:vAlign w:val="bottom"/>
          </w:tcPr>
          <w:p>
            <w:pPr>
              <w:spacing w:after="0"/>
              <w:rPr>
                <w:sz w:val="23"/>
                <w:szCs w:val="23"/>
                <w:color w:val="auto"/>
              </w:rPr>
            </w:pP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65,894</w:t>
            </w:r>
          </w:p>
        </w:tc>
        <w:tc>
          <w:tcPr>
            <w:tcW w:w="2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65,071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65,861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CFF0FC"/>
            </w:tcBorders>
            <w:shd w:val="clear" w:color="auto" w:fill="CFF0FC"/>
          </w:tcPr>
          <w:p>
            <w:pPr>
              <w:spacing w:after="0"/>
              <w:rPr>
                <w:sz w:val="17"/>
                <w:szCs w:val="17"/>
                <w:color w:val="auto"/>
              </w:rPr>
            </w:pPr>
          </w:p>
        </w:tc>
        <w:tc>
          <w:tcPr>
            <w:tcW w:w="43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740" w:type="dxa"/>
            <w:vAlign w:val="bottom"/>
            <w:gridSpan w:val="3"/>
          </w:tcPr>
          <w:p>
            <w:pPr>
              <w:ind w:left="260"/>
              <w:spacing w:after="0"/>
              <w:rPr>
                <w:sz w:val="20"/>
                <w:szCs w:val="20"/>
                <w:color w:val="auto"/>
              </w:rPr>
            </w:pPr>
            <w:r>
              <w:rPr>
                <w:rFonts w:ascii="Arial" w:cs="Arial" w:eastAsia="Arial" w:hAnsi="Arial"/>
                <w:sz w:val="18"/>
                <w:szCs w:val="18"/>
                <w:color w:val="auto"/>
              </w:rPr>
              <w:t>Earnings per share from continuing operations — basic</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0.86</w:t>
            </w:r>
          </w:p>
        </w:tc>
        <w:tc>
          <w:tcPr>
            <w:tcW w:w="8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Earnings per share from continuing operations — diluted</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64"/>
        </w:trPr>
        <w:tc>
          <w:tcPr>
            <w:tcW w:w="320" w:type="dxa"/>
            <w:vAlign w:val="bottom"/>
          </w:tcPr>
          <w:p>
            <w:pPr>
              <w:spacing w:after="0"/>
              <w:rPr>
                <w:sz w:val="20"/>
                <w:szCs w:val="20"/>
                <w:color w:val="auto"/>
              </w:rPr>
            </w:pPr>
            <w:r>
              <w:rPr>
                <w:rFonts w:ascii="Arial" w:cs="Arial" w:eastAsia="Arial" w:hAnsi="Arial"/>
                <w:sz w:val="18"/>
                <w:szCs w:val="18"/>
                <w:b w:val="1"/>
                <w:bCs w:val="1"/>
                <w:color w:val="auto"/>
              </w:rPr>
              <w:t>3.</w:t>
            </w:r>
          </w:p>
        </w:tc>
        <w:tc>
          <w:tcPr>
            <w:tcW w:w="5740" w:type="dxa"/>
            <w:vAlign w:val="bottom"/>
            <w:gridSpan w:val="3"/>
          </w:tcPr>
          <w:p>
            <w:pPr>
              <w:ind w:left="200"/>
              <w:spacing w:after="0"/>
              <w:rPr>
                <w:sz w:val="20"/>
                <w:szCs w:val="20"/>
                <w:color w:val="auto"/>
              </w:rPr>
            </w:pPr>
            <w:r>
              <w:rPr>
                <w:rFonts w:ascii="Arial" w:cs="Arial" w:eastAsia="Arial" w:hAnsi="Arial"/>
                <w:sz w:val="18"/>
                <w:szCs w:val="18"/>
                <w:b w:val="1"/>
                <w:bCs w:val="1"/>
                <w:color w:val="auto"/>
              </w:rPr>
              <w:t>Accrued expenses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060" w:type="dxa"/>
            <w:vAlign w:val="bottom"/>
            <w:gridSpan w:val="4"/>
          </w:tcPr>
          <w:p>
            <w:pPr>
              <w:spacing w:after="0"/>
              <w:rPr>
                <w:sz w:val="20"/>
                <w:szCs w:val="20"/>
                <w:color w:val="auto"/>
              </w:rPr>
            </w:pPr>
            <w:r>
              <w:rPr>
                <w:rFonts w:ascii="Arial" w:cs="Arial" w:eastAsia="Arial" w:hAnsi="Arial"/>
                <w:sz w:val="18"/>
                <w:szCs w:val="18"/>
                <w:color w:val="auto"/>
                <w:w w:val="90"/>
              </w:rPr>
              <w:t>Accrued expenses at September 30, 2020 and December 31, 2019 were as follows: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gridSpan w:val="5"/>
          </w:tcPr>
          <w:p>
            <w:pPr>
              <w:ind w:left="16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Insurance</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15,512</w:t>
            </w:r>
          </w:p>
        </w:tc>
        <w:tc>
          <w:tcPr>
            <w:tcW w:w="2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15,702</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Payroll and employee benefits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10,627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3,284</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Contract reserves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3,052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Income and other taxes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8,022</w:t>
            </w: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7,535</w:t>
            </w:r>
          </w:p>
        </w:tc>
        <w:tc>
          <w:tcPr>
            <w:tcW w:w="8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Total accrued expenses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52,112</w:t>
            </w:r>
          </w:p>
        </w:tc>
        <w:tc>
          <w:tcPr>
            <w:tcW w:w="20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51,225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20" w:hanging="514"/>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September 30, 2020 and December 31, 2019, the Company had no borrowings outstanding under our $200,000 amended and restated revolving credit and security agreement (as amended, the “Amended Credit Agreement”). There were $36,391 and $35,779 of letters of credit outstanding and $163,247 and $163,729 of availability under the Amended Credit Agreement as of September 30, 2020 and December 31, 2019, respectively. The availability under the Amended Credit Agreement is suppressed by $362 and $492 as of September 30, 2020 and December 31, 2019, respectively, as a result of certain limitations set forth in the Amended Credit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subsidiary guarantors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In May 2017, the Company issued $325,000 of 8.000% senior notes (“8% Senior Notes”) due May 15, 2022. The interest is paid semi-annually.</w:t>
      </w:r>
    </w:p>
    <w:p>
      <w:pPr>
        <w:spacing w:after="0" w:line="23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The Company’s obligations under these Senior Notes are guaranteed by certain of the Company’s 100% owned domestic subsidiaries. Such guarantees are full, unconditional and joint and several. The parent company issuer has no independent assets or operations and all non-guarantor subsidiaries have been determined to be minor.</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40"/>
          </w:cols>
          <w:pgMar w:left="320" w:top="552" w:right="439" w:bottom="1440" w:gutter="0" w:footer="0" w:header="0"/>
        </w:sectPr>
      </w:pPr>
    </w:p>
    <w:bookmarkStart w:id="10" w:name="page11"/>
    <w:bookmarkEnd w:id="10"/>
    <w:p>
      <w:pPr>
        <w:ind w:left="520" w:hanging="514"/>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inputs and minimize the use of unobservable inputs when measuring fair value. The accounting guidance describes three levels of inputs that may be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18" w:lineRule="exact"/>
        <w:rPr>
          <w:sz w:val="20"/>
          <w:szCs w:val="20"/>
          <w:color w:val="auto"/>
        </w:rPr>
      </w:pPr>
    </w:p>
    <w:p>
      <w:pPr>
        <w:ind w:right="280"/>
        <w:spacing w:after="0" w:line="366" w:lineRule="auto"/>
        <w:rPr>
          <w:sz w:val="20"/>
          <w:szCs w:val="20"/>
          <w:color w:val="auto"/>
        </w:rPr>
      </w:pPr>
      <w:r>
        <w:rPr>
          <w:rFonts w:ascii="Arial" w:cs="Arial" w:eastAsia="Arial" w:hAnsi="Arial"/>
          <w:sz w:val="15"/>
          <w:szCs w:val="15"/>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Level 3—Unobservable inputs that are supported by little or no market activity and that are significant to the fair value of the assets or liabilities.</w:t>
      </w:r>
    </w:p>
    <w:p>
      <w:pPr>
        <w:spacing w:after="0" w:line="23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commodity price risk. The Company does not hold or issue derivatives for speculative or trading purposes. The fair values of these financial instruments are summarized as follows: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46"/>
              <w:spacing w:after="0" w:line="130" w:lineRule="exact"/>
              <w:rPr>
                <w:sz w:val="20"/>
                <w:szCs w:val="20"/>
                <w:color w:val="auto"/>
              </w:rPr>
            </w:pPr>
            <w:r>
              <w:rPr>
                <w:rFonts w:ascii="Arial" w:cs="Arial" w:eastAsia="Arial" w:hAnsi="Arial"/>
                <w:sz w:val="14"/>
                <w:szCs w:val="14"/>
                <w:b w:val="1"/>
                <w:bCs w:val="1"/>
                <w:color w:val="auto"/>
                <w:w w:val="89"/>
              </w:rPr>
              <w:t>Quoted Prices in</w:t>
            </w:r>
          </w:p>
        </w:tc>
        <w:tc>
          <w:tcPr>
            <w:tcW w:w="220" w:type="dxa"/>
            <w:vAlign w:val="bottom"/>
          </w:tcPr>
          <w:p>
            <w:pPr>
              <w:spacing w:after="0"/>
              <w:rPr>
                <w:sz w:val="11"/>
                <w:szCs w:val="11"/>
                <w:color w:val="auto"/>
              </w:rPr>
            </w:pP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49"/>
              <w:spacing w:after="0"/>
              <w:rPr>
                <w:sz w:val="20"/>
                <w:szCs w:val="20"/>
                <w:color w:val="auto"/>
              </w:rPr>
            </w:pPr>
            <w:r>
              <w:rPr>
                <w:rFonts w:ascii="Arial" w:cs="Arial" w:eastAsia="Arial" w:hAnsi="Arial"/>
                <w:sz w:val="14"/>
                <w:szCs w:val="14"/>
                <w:b w:val="1"/>
                <w:bCs w:val="1"/>
                <w:color w:val="auto"/>
                <w:w w:val="89"/>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520" w:type="dxa"/>
            <w:vAlign w:val="bottom"/>
            <w:gridSpan w:val="2"/>
            <w:vMerge w:val="restart"/>
          </w:tcPr>
          <w:p>
            <w:pPr>
              <w:jc w:val="right"/>
              <w:ind w:right="17"/>
              <w:spacing w:after="0"/>
              <w:rPr>
                <w:sz w:val="20"/>
                <w:szCs w:val="20"/>
                <w:color w:val="auto"/>
              </w:rPr>
            </w:pPr>
            <w:r>
              <w:rPr>
                <w:rFonts w:ascii="Arial" w:cs="Arial" w:eastAsia="Arial" w:hAnsi="Arial"/>
                <w:sz w:val="14"/>
                <w:szCs w:val="14"/>
                <w:b w:val="1"/>
                <w:bCs w:val="1"/>
                <w:color w:val="auto"/>
                <w:w w:val="93"/>
              </w:rPr>
              <w:t>At September 30, 2020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66"/>
              <w:spacing w:after="0" w:line="146" w:lineRule="exact"/>
              <w:rPr>
                <w:sz w:val="20"/>
                <w:szCs w:val="20"/>
                <w:color w:val="auto"/>
              </w:rPr>
            </w:pPr>
            <w:r>
              <w:rPr>
                <w:rFonts w:ascii="Arial" w:cs="Arial" w:eastAsia="Arial" w:hAnsi="Arial"/>
                <w:sz w:val="14"/>
                <w:szCs w:val="14"/>
                <w:b w:val="1"/>
                <w:bCs w:val="1"/>
                <w:color w:val="auto"/>
                <w:w w:val="88"/>
              </w:rPr>
              <w:t>Identical Assets</w:t>
            </w:r>
          </w:p>
        </w:tc>
        <w:tc>
          <w:tcPr>
            <w:tcW w:w="220" w:type="dxa"/>
            <w:vAlign w:val="bottom"/>
          </w:tcPr>
          <w:p>
            <w:pPr>
              <w:spacing w:after="0"/>
              <w:rPr>
                <w:sz w:val="12"/>
                <w:szCs w:val="12"/>
                <w:color w:val="auto"/>
              </w:rPr>
            </w:pPr>
          </w:p>
        </w:tc>
        <w:tc>
          <w:tcPr>
            <w:tcW w:w="1420" w:type="dxa"/>
            <w:vAlign w:val="bottom"/>
            <w:gridSpan w:val="3"/>
          </w:tcPr>
          <w:p>
            <w:pPr>
              <w:jc w:val="center"/>
              <w:ind w:right="220"/>
              <w:spacing w:after="0" w:line="146" w:lineRule="exact"/>
              <w:rPr>
                <w:sz w:val="20"/>
                <w:szCs w:val="20"/>
                <w:color w:val="auto"/>
              </w:rPr>
            </w:pPr>
            <w:r>
              <w:rPr>
                <w:rFonts w:ascii="Arial" w:cs="Arial" w:eastAsia="Arial" w:hAnsi="Arial"/>
                <w:sz w:val="14"/>
                <w:szCs w:val="14"/>
                <w:b w:val="1"/>
                <w:bCs w:val="1"/>
                <w:color w:val="auto"/>
                <w:w w:val="91"/>
              </w:rPr>
              <w:t>Observable Inputs</w:t>
            </w:r>
          </w:p>
        </w:tc>
        <w:tc>
          <w:tcPr>
            <w:tcW w:w="130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69"/>
        </w:trPr>
        <w:tc>
          <w:tcPr>
            <w:tcW w:w="39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1"/>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91"/>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3980" w:type="dxa"/>
            <w:vAlign w:val="bottom"/>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2,917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Pr>
          <w:p>
            <w:pPr>
              <w:spacing w:after="0"/>
              <w:rPr>
                <w:sz w:val="24"/>
                <w:szCs w:val="24"/>
                <w:color w:val="auto"/>
              </w:rPr>
            </w:pPr>
          </w:p>
        </w:tc>
        <w:tc>
          <w:tcPr>
            <w:tcW w:w="1040" w:type="dxa"/>
            <w:vAlign w:val="bottom"/>
            <w:gridSpan w:val="2"/>
          </w:tcPr>
          <w:p>
            <w:pPr>
              <w:jc w:val="right"/>
              <w:ind w:right="869"/>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229"/>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46"/>
              <w:spacing w:after="0" w:line="130" w:lineRule="exact"/>
              <w:rPr>
                <w:sz w:val="20"/>
                <w:szCs w:val="20"/>
                <w:color w:val="auto"/>
              </w:rPr>
            </w:pPr>
            <w:r>
              <w:rPr>
                <w:rFonts w:ascii="Arial" w:cs="Arial" w:eastAsia="Arial" w:hAnsi="Arial"/>
                <w:sz w:val="14"/>
                <w:szCs w:val="14"/>
                <w:b w:val="1"/>
                <w:bCs w:val="1"/>
                <w:color w:val="auto"/>
                <w:w w:val="89"/>
              </w:rPr>
              <w:t>Quoted Prices in</w:t>
            </w:r>
          </w:p>
        </w:tc>
        <w:tc>
          <w:tcPr>
            <w:tcW w:w="220" w:type="dxa"/>
            <w:vAlign w:val="bottom"/>
          </w:tcPr>
          <w:p>
            <w:pPr>
              <w:spacing w:after="0"/>
              <w:rPr>
                <w:sz w:val="11"/>
                <w:szCs w:val="11"/>
                <w:color w:val="auto"/>
              </w:rPr>
            </w:pPr>
          </w:p>
        </w:tc>
        <w:tc>
          <w:tcPr>
            <w:tcW w:w="14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 w:type="dxa"/>
            <w:vAlign w:val="bottom"/>
          </w:tcPr>
          <w:p>
            <w:pPr>
              <w:spacing w:after="0"/>
              <w:rPr>
                <w:sz w:val="11"/>
                <w:szCs w:val="11"/>
                <w:color w:val="auto"/>
              </w:rPr>
            </w:pPr>
          </w:p>
        </w:tc>
        <w:tc>
          <w:tcPr>
            <w:tcW w:w="1020" w:type="dxa"/>
            <w:vAlign w:val="bottom"/>
            <w:vMerge w:val="restart"/>
          </w:tcPr>
          <w:p>
            <w:pPr>
              <w:jc w:val="center"/>
              <w:ind w:left="149"/>
              <w:spacing w:after="0"/>
              <w:rPr>
                <w:sz w:val="20"/>
                <w:szCs w:val="20"/>
                <w:color w:val="auto"/>
              </w:rPr>
            </w:pPr>
            <w:r>
              <w:rPr>
                <w:rFonts w:ascii="Arial" w:cs="Arial" w:eastAsia="Arial" w:hAnsi="Arial"/>
                <w:sz w:val="14"/>
                <w:szCs w:val="14"/>
                <w:b w:val="1"/>
                <w:bCs w:val="1"/>
                <w:color w:val="auto"/>
                <w:w w:val="89"/>
              </w:rPr>
              <w:t>Significant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5"/>
              </w:rPr>
              <w:t>Active Markets for</w:t>
            </w:r>
          </w:p>
        </w:tc>
        <w:tc>
          <w:tcPr>
            <w:tcW w:w="22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89"/>
              </w:rPr>
              <w:t>At December 31, 2019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66"/>
              <w:spacing w:after="0" w:line="146" w:lineRule="exact"/>
              <w:rPr>
                <w:sz w:val="20"/>
                <w:szCs w:val="20"/>
                <w:color w:val="auto"/>
              </w:rPr>
            </w:pPr>
            <w:r>
              <w:rPr>
                <w:rFonts w:ascii="Arial" w:cs="Arial" w:eastAsia="Arial" w:hAnsi="Arial"/>
                <w:sz w:val="14"/>
                <w:szCs w:val="14"/>
                <w:b w:val="1"/>
                <w:bCs w:val="1"/>
                <w:color w:val="auto"/>
                <w:w w:val="88"/>
              </w:rPr>
              <w:t>Identical Assets</w:t>
            </w:r>
          </w:p>
        </w:tc>
        <w:tc>
          <w:tcPr>
            <w:tcW w:w="220" w:type="dxa"/>
            <w:vAlign w:val="bottom"/>
          </w:tcPr>
          <w:p>
            <w:pPr>
              <w:spacing w:after="0"/>
              <w:rPr>
                <w:sz w:val="12"/>
                <w:szCs w:val="12"/>
                <w:color w:val="auto"/>
              </w:rPr>
            </w:pPr>
          </w:p>
        </w:tc>
        <w:tc>
          <w:tcPr>
            <w:tcW w:w="1420" w:type="dxa"/>
            <w:vAlign w:val="bottom"/>
            <w:gridSpan w:val="3"/>
          </w:tcPr>
          <w:p>
            <w:pPr>
              <w:jc w:val="center"/>
              <w:ind w:right="220"/>
              <w:spacing w:after="0" w:line="146" w:lineRule="exact"/>
              <w:rPr>
                <w:sz w:val="20"/>
                <w:szCs w:val="20"/>
                <w:color w:val="auto"/>
              </w:rPr>
            </w:pPr>
            <w:r>
              <w:rPr>
                <w:rFonts w:ascii="Arial" w:cs="Arial" w:eastAsia="Arial" w:hAnsi="Arial"/>
                <w:sz w:val="14"/>
                <w:szCs w:val="14"/>
                <w:b w:val="1"/>
                <w:bCs w:val="1"/>
                <w:color w:val="auto"/>
                <w:w w:val="91"/>
              </w:rPr>
              <w:t>Observable Inputs</w:t>
            </w:r>
          </w:p>
        </w:tc>
        <w:tc>
          <w:tcPr>
            <w:tcW w:w="130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69"/>
        </w:trPr>
        <w:tc>
          <w:tcPr>
            <w:tcW w:w="39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1"/>
              </w:rPr>
              <w:t>(Level 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auto"/>
                <w:w w:val="91"/>
              </w:rPr>
              <w:t>(Level 3)</w:t>
            </w:r>
          </w:p>
        </w:tc>
        <w:tc>
          <w:tcPr>
            <w:tcW w:w="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3980" w:type="dxa"/>
            <w:vAlign w:val="bottom"/>
          </w:tcPr>
          <w:p>
            <w:pPr>
              <w:spacing w:after="0"/>
              <w:rPr>
                <w:sz w:val="20"/>
                <w:szCs w:val="20"/>
                <w:color w:val="auto"/>
              </w:rPr>
            </w:pPr>
            <w:r>
              <w:rPr>
                <w:rFonts w:ascii="Arial" w:cs="Arial" w:eastAsia="Arial" w:hAnsi="Arial"/>
                <w:sz w:val="18"/>
                <w:szCs w:val="18"/>
                <w:color w:val="auto"/>
              </w:rPr>
              <w:t>Fuel hedge contracts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92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24"/>
                <w:szCs w:val="24"/>
                <w:color w:val="auto"/>
              </w:rPr>
            </w:pPr>
          </w:p>
        </w:tc>
        <w:tc>
          <w:tcPr>
            <w:tcW w:w="1040" w:type="dxa"/>
            <w:vAlign w:val="bottom"/>
            <w:gridSpan w:val="2"/>
          </w:tcPr>
          <w:p>
            <w:pPr>
              <w:jc w:val="right"/>
              <w:ind w:right="869"/>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Fuel hedge contracts</w:t>
      </w:r>
    </w:p>
    <w:p>
      <w:pPr>
        <w:spacing w:after="0" w:line="1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is exposed to certain market risks, primarily commodity price risk as it relates to diesel fuel purchase requirements, which occur in the normal course of business. The Company enters into heating oil commodity swap contracts to hedge the risk that fluctuations in diesel fuel prices could have an adverse impact on cash flows associated with its domestic dredging contracts. The Company’s typical goal is to hedge approximately 80% of the fuel requirements for work in domestic backlog.</w:t>
      </w:r>
    </w:p>
    <w:p>
      <w:pPr>
        <w:spacing w:after="0" w:line="19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of September 30, 2020, the Company was party to various swap arrangements to hedge the price of its diesel fuel purchase requirements for work in its backlog to be performed through September 2021. As of September 30, 2020, there were 11.6 million gallons remaining on these contracts which represent approximately 80% of the Company’s forecasted domestic fuel purchases through September 2021. Under these swap agreements, the Company will pay fixed prices ranging from $1.12 to $2.00 per gallon.</w:t>
      </w:r>
    </w:p>
    <w:p>
      <w:pPr>
        <w:spacing w:after="0" w:line="19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At September 30, 2020, the fair value liability of the fuel hedge contracts was estimated to be $2,917, and is recorded in accrued expenses. At December 31, 2019, the fair value asset of the fuel hedge contracts was estimated to be $849, and is recorded in prepaid expenses and other current assets. For fuel hedge contracts considered to be highly effective, the losses reclassified to earnings from changes in fair value of derivatives, net of cash settlements and taxes, for the nine months ended September 30, 2020 were $5,338. The remaining gains and losses included in accumulated other comprehensive loss at September 30, 2020 will be reclassified into earnings over the next twelve months, corresponding to the period during which the hedged fuel is expected to be utilized. Changes in the fair value of fuel hedge contracts not considered highly effective are recorded as cost of contract revenues in the Statement of Operations. The fair values of fuel hedges are corroborated using inputs that are readily observable in public markets; therefore, the Company determines fair value of these fuel hedges using Level 2 inputs.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60"/>
          </w:cols>
          <w:pgMar w:left="320" w:top="546" w:right="419" w:bottom="1440" w:gutter="0" w:footer="0" w:header="0"/>
        </w:sectPr>
      </w:pPr>
    </w:p>
    <w:bookmarkStart w:id="11" w:name="page12"/>
    <w:bookmarkEnd w:id="11"/>
    <w:p>
      <w:pPr>
        <w:jc w:val="both"/>
        <w:ind w:right="100"/>
        <w:spacing w:after="0" w:line="256" w:lineRule="auto"/>
        <w:rPr>
          <w:sz w:val="20"/>
          <w:szCs w:val="20"/>
          <w:color w:val="auto"/>
        </w:rPr>
      </w:pPr>
      <w:r>
        <w:rPr>
          <w:rFonts w:ascii="Arial" w:cs="Arial" w:eastAsia="Arial" w:hAnsi="Arial"/>
          <w:sz w:val="18"/>
          <w:szCs w:val="18"/>
          <w:color w:val="auto"/>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fuel hedge contracts outstanding as of September 30, 2020 and December 31, 2019 is as follows:</w:t>
      </w:r>
    </w:p>
    <w:p>
      <w:pPr>
        <w:spacing w:after="0" w:line="287"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3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Fair Value at</w:t>
            </w: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3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jc w:val="right"/>
              <w:ind w:right="362"/>
              <w:spacing w:after="0" w:line="14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60" w:type="dxa"/>
            <w:vAlign w:val="bottom"/>
          </w:tcPr>
          <w:p>
            <w:pPr>
              <w:jc w:val="right"/>
              <w:ind w:right="380"/>
              <w:spacing w:after="0" w:line="143"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2"/>
                <w:szCs w:val="12"/>
                <w:color w:val="auto"/>
              </w:rPr>
            </w:pPr>
          </w:p>
        </w:tc>
      </w:tr>
      <w:tr>
        <w:trPr>
          <w:trHeight w:val="169"/>
        </w:trPr>
        <w:tc>
          <w:tcPr>
            <w:tcW w:w="3180" w:type="dxa"/>
            <w:vAlign w:val="bottom"/>
          </w:tcPr>
          <w:p>
            <w:pPr>
              <w:spacing w:after="0"/>
              <w:rPr>
                <w:sz w:val="14"/>
                <w:szCs w:val="14"/>
                <w:color w:val="auto"/>
              </w:rPr>
            </w:pPr>
          </w:p>
        </w:tc>
        <w:tc>
          <w:tcPr>
            <w:tcW w:w="296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64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ind w:right="6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19"/>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 derivatives:</w:t>
            </w:r>
          </w:p>
        </w:tc>
        <w:tc>
          <w:tcPr>
            <w:tcW w:w="540" w:type="dxa"/>
            <w:vAlign w:val="bottom"/>
            <w:tcBorders>
              <w:top w:val="single" w:sz="8" w:color="CFF0FC"/>
            </w:tcBorders>
            <w:shd w:val="clear" w:color="auto" w:fill="CFF0FC"/>
          </w:tcPr>
          <w:p>
            <w:pPr>
              <w:spacing w:after="0"/>
              <w:rPr>
                <w:sz w:val="19"/>
                <w:szCs w:val="19"/>
                <w:color w:val="auto"/>
              </w:rPr>
            </w:pPr>
          </w:p>
        </w:tc>
        <w:tc>
          <w:tcPr>
            <w:tcW w:w="2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3"/>
        </w:trPr>
        <w:tc>
          <w:tcPr>
            <w:tcW w:w="3180" w:type="dxa"/>
            <w:vAlign w:val="bottom"/>
          </w:tcPr>
          <w:p>
            <w:pPr>
              <w:ind w:left="240"/>
              <w:spacing w:after="0"/>
              <w:rPr>
                <w:sz w:val="20"/>
                <w:szCs w:val="20"/>
                <w:color w:val="auto"/>
              </w:rPr>
            </w:pPr>
            <w:r>
              <w:rPr>
                <w:rFonts w:ascii="Arial" w:cs="Arial" w:eastAsia="Arial" w:hAnsi="Arial"/>
                <w:sz w:val="18"/>
                <w:szCs w:val="18"/>
                <w:color w:val="auto"/>
              </w:rPr>
              <w:t>Derivatives designated as hedging</w:t>
            </w:r>
          </w:p>
        </w:tc>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318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3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96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4"/>
        </w:trPr>
        <w:tc>
          <w:tcPr>
            <w:tcW w:w="3180" w:type="dxa"/>
            <w:vAlign w:val="bottom"/>
            <w:shd w:val="clear" w:color="auto" w:fill="CFF0FC"/>
          </w:tcPr>
          <w:p>
            <w:pPr>
              <w:spacing w:after="0"/>
              <w:rPr>
                <w:sz w:val="19"/>
                <w:szCs w:val="19"/>
                <w:color w:val="auto"/>
              </w:rPr>
            </w:pPr>
          </w:p>
        </w:tc>
        <w:tc>
          <w:tcPr>
            <w:tcW w:w="296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current assets</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FF0FC"/>
          </w:tcPr>
          <w:p>
            <w:pPr>
              <w:spacing w:after="0"/>
              <w:rPr>
                <w:sz w:val="19"/>
                <w:szCs w:val="19"/>
                <w:color w:val="auto"/>
              </w:rPr>
            </w:pPr>
          </w:p>
        </w:tc>
      </w:tr>
      <w:tr>
        <w:trPr>
          <w:trHeight w:val="20"/>
        </w:trPr>
        <w:tc>
          <w:tcPr>
            <w:tcW w:w="31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6"/>
        </w:trPr>
        <w:tc>
          <w:tcPr>
            <w:tcW w:w="3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Liability derivatives:</w:t>
            </w:r>
          </w:p>
        </w:tc>
        <w:tc>
          <w:tcPr>
            <w:tcW w:w="54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3180" w:type="dxa"/>
            <w:vAlign w:val="bottom"/>
          </w:tcPr>
          <w:p>
            <w:pPr>
              <w:ind w:left="240"/>
              <w:spacing w:after="0"/>
              <w:rPr>
                <w:sz w:val="20"/>
                <w:szCs w:val="20"/>
                <w:color w:val="auto"/>
              </w:rPr>
            </w:pPr>
            <w:r>
              <w:rPr>
                <w:rFonts w:ascii="Arial" w:cs="Arial" w:eastAsia="Arial" w:hAnsi="Arial"/>
                <w:sz w:val="18"/>
                <w:szCs w:val="18"/>
                <w:color w:val="auto"/>
              </w:rPr>
              <w:t>Derivatives designated as hedging</w:t>
            </w:r>
          </w:p>
        </w:tc>
        <w:tc>
          <w:tcPr>
            <w:tcW w:w="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3180" w:type="dxa"/>
            <w:vAlign w:val="bottom"/>
          </w:tcPr>
          <w:p>
            <w:pPr>
              <w:ind w:left="240"/>
              <w:spacing w:after="0"/>
              <w:rPr>
                <w:sz w:val="20"/>
                <w:szCs w:val="20"/>
                <w:color w:val="auto"/>
              </w:rPr>
            </w:pPr>
            <w:r>
              <w:rPr>
                <w:rFonts w:ascii="Arial" w:cs="Arial" w:eastAsia="Arial" w:hAnsi="Arial"/>
                <w:sz w:val="18"/>
                <w:szCs w:val="18"/>
                <w:color w:val="auto"/>
              </w:rPr>
              <w:t>instruments</w:t>
            </w:r>
          </w:p>
        </w:tc>
        <w:tc>
          <w:tcPr>
            <w:tcW w:w="5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Fuel hedge contracts</w:t>
            </w:r>
          </w:p>
        </w:tc>
        <w:tc>
          <w:tcPr>
            <w:tcW w:w="296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Accrued expenses</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31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the accumulated balances of other comprehensive income (loss) are as follows:</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center"/>
              <w:ind w:left="349"/>
              <w:spacing w:after="0"/>
              <w:rPr>
                <w:sz w:val="20"/>
                <w:szCs w:val="20"/>
                <w:color w:val="auto"/>
              </w:rPr>
            </w:pPr>
            <w:r>
              <w:rPr>
                <w:rFonts w:ascii="Arial" w:cs="Arial" w:eastAsia="Arial" w:hAnsi="Arial"/>
                <w:sz w:val="14"/>
                <w:szCs w:val="14"/>
                <w:b w:val="1"/>
                <w:bCs w:val="1"/>
                <w:color w:val="auto"/>
                <w:w w:val="92"/>
              </w:rPr>
              <w:t>Three Months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left="380"/>
              <w:spacing w:after="0"/>
              <w:rPr>
                <w:sz w:val="20"/>
                <w:szCs w:val="20"/>
                <w:color w:val="auto"/>
              </w:rPr>
            </w:pPr>
            <w:r>
              <w:rPr>
                <w:rFonts w:ascii="Arial" w:cs="Arial" w:eastAsia="Arial" w:hAnsi="Arial"/>
                <w:sz w:val="14"/>
                <w:szCs w:val="14"/>
                <w:b w:val="1"/>
                <w:bCs w:val="1"/>
                <w:color w:val="auto"/>
                <w:w w:val="89"/>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80"/>
              <w:spacing w:after="0" w:line="153"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80"/>
              <w:spacing w:after="0" w:line="153"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36"/>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Arial" w:cs="Arial" w:eastAsia="Arial" w:hAnsi="Arial"/>
                <w:sz w:val="18"/>
                <w:szCs w:val="18"/>
                <w:color w:val="auto"/>
                <w:w w:val="91"/>
              </w:rPr>
              <w:t>Reclassification of derivative losses to earnings—net of</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00" w:type="dxa"/>
            <w:vAlign w:val="bottom"/>
          </w:tcPr>
          <w:p>
            <w:pPr>
              <w:ind w:left="240"/>
              <w:spacing w:after="0"/>
              <w:rPr>
                <w:sz w:val="20"/>
                <w:szCs w:val="20"/>
                <w:color w:val="auto"/>
              </w:rPr>
            </w:pPr>
            <w:r>
              <w:rPr>
                <w:rFonts w:ascii="Arial" w:cs="Arial" w:eastAsia="Arial" w:hAnsi="Arial"/>
                <w:sz w:val="18"/>
                <w:szCs w:val="18"/>
                <w:color w:val="auto"/>
              </w:rPr>
              <w:t>tax</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derivatives—net of tax</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(8,145)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Total other comprehensive income (loss)</w:t>
            </w: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00" w:type="dxa"/>
            <w:vAlign w:val="bottom"/>
            <w:vMerge w:val="continue"/>
          </w:tcPr>
          <w:p>
            <w:pPr>
              <w:spacing w:after="0"/>
              <w:rPr>
                <w:sz w:val="19"/>
                <w:szCs w:val="19"/>
                <w:color w:val="auto"/>
              </w:rPr>
            </w:pPr>
          </w:p>
        </w:tc>
        <w:tc>
          <w:tcPr>
            <w:tcW w:w="980" w:type="dxa"/>
            <w:vAlign w:val="bottom"/>
            <w:gridSpan w:val="2"/>
          </w:tcPr>
          <w:p>
            <w:pPr>
              <w:jc w:val="right"/>
              <w:ind w:right="70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879</w:t>
            </w:r>
          </w:p>
        </w:tc>
        <w:tc>
          <w:tcPr>
            <w:tcW w:w="140" w:type="dxa"/>
            <w:vAlign w:val="bottom"/>
          </w:tcPr>
          <w:p>
            <w:pPr>
              <w:spacing w:after="0"/>
              <w:rPr>
                <w:sz w:val="19"/>
                <w:szCs w:val="19"/>
                <w:color w:val="auto"/>
              </w:rPr>
            </w:pPr>
          </w:p>
        </w:tc>
        <w:tc>
          <w:tcPr>
            <w:tcW w:w="9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(2,807)</w:t>
            </w:r>
          </w:p>
        </w:tc>
        <w:tc>
          <w:tcPr>
            <w:tcW w:w="3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Adjustments reclassified from accumulated balances of other comprehensive income (loss) to earnings are as follows:</w:t>
      </w:r>
    </w:p>
    <w:p>
      <w:pPr>
        <w:spacing w:after="0" w:line="287"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r>
      <w:tr>
        <w:trPr>
          <w:trHeight w:val="197"/>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r>
      <w:tr>
        <w:trPr>
          <w:trHeight w:val="206"/>
        </w:trPr>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680" w:type="dxa"/>
            <w:vAlign w:val="bottom"/>
            <w:gridSpan w:val="2"/>
          </w:tcPr>
          <w:p>
            <w:pPr>
              <w:ind w:left="260"/>
              <w:spacing w:after="0"/>
              <w:rPr>
                <w:sz w:val="20"/>
                <w:szCs w:val="20"/>
                <w:color w:val="auto"/>
              </w:rPr>
            </w:pPr>
            <w:r>
              <w:rPr>
                <w:rFonts w:ascii="Arial" w:cs="Arial" w:eastAsia="Arial" w:hAnsi="Arial"/>
                <w:sz w:val="14"/>
                <w:szCs w:val="14"/>
                <w:b w:val="1"/>
                <w:bCs w:val="1"/>
                <w:color w:val="auto"/>
              </w:rPr>
              <w:t>Statement of Operations Location</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1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w:t>
            </w:r>
          </w:p>
        </w:tc>
        <w:tc>
          <w:tcPr>
            <w:tcW w:w="260" w:type="dxa"/>
            <w:vAlign w:val="bottom"/>
            <w:tcBorders>
              <w:top w:val="single" w:sz="8" w:color="CFF0FC"/>
            </w:tcBorders>
            <w:shd w:val="clear" w:color="auto" w:fill="CFF0FC"/>
          </w:tcPr>
          <w:p>
            <w:pPr>
              <w:spacing w:after="0"/>
              <w:rPr>
                <w:sz w:val="19"/>
                <w:szCs w:val="19"/>
                <w:color w:val="auto"/>
              </w:rPr>
            </w:pPr>
          </w:p>
        </w:tc>
        <w:tc>
          <w:tcPr>
            <w:tcW w:w="34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1960" w:type="dxa"/>
            <w:vAlign w:val="bottom"/>
          </w:tcPr>
          <w:p>
            <w:pPr>
              <w:ind w:left="220"/>
              <w:spacing w:after="0"/>
              <w:rPr>
                <w:sz w:val="20"/>
                <w:szCs w:val="20"/>
                <w:color w:val="auto"/>
              </w:rPr>
            </w:pPr>
            <w:r>
              <w:rPr>
                <w:rFonts w:ascii="Arial" w:cs="Arial" w:eastAsia="Arial" w:hAnsi="Arial"/>
                <w:sz w:val="18"/>
                <w:szCs w:val="18"/>
                <w:color w:val="auto"/>
              </w:rPr>
              <w:t>Fuel hedge contracts</w:t>
            </w: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rPr>
              <w:t>Costs of contract revenues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2,029</w:t>
            </w: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443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7,161</w:t>
            </w:r>
          </w:p>
        </w:tc>
        <w:tc>
          <w:tcPr>
            <w:tcW w:w="1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36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FF0FC"/>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1,510</w:t>
            </w: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327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5,338</w:t>
            </w:r>
          </w:p>
        </w:tc>
        <w:tc>
          <w:tcPr>
            <w:tcW w:w="1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carrying value of financial instruments included in current assets and current liabilities approximates fair value due to the short-term maturities of these instruments. Based on timing of the cash flows and comparison to current market interest rates, the carrying value of our revolving credit agreement approximates fair value. In May 2017, the Company issued a total of $325,000 of 8% senior notes due May 15, 2022, which were outstanding at September 30, 2020 (see Note 4, Long-term debt). The 8% Senior Notes are senior unsecured obligations of the Company and its subsidiaries that guarantee the 8% Senior Notes. The fair value of the senior notes was $333,278 at September 30, 2020,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spacing w:after="0" w:line="1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40"/>
          </w:cols>
          <w:pgMar w:left="320" w:top="552" w:right="539" w:bottom="1440" w:gutter="0" w:footer="0" w:header="0"/>
        </w:sectPr>
      </w:pPr>
    </w:p>
    <w:bookmarkStart w:id="12" w:name="page13"/>
    <w:bookmarkEnd w:id="12"/>
    <w:p>
      <w:pPr>
        <w:ind w:left="520" w:hanging="514"/>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May 11, 2017, the Company’s stockholders approved the Great Lakes Dredge &amp; Dock Corporation 2017 Long-Term Incentive Plan (the “Incentive Plan”), which previously had been approved by the Company’s board of directors subject to stockholder approval. The Incentive Plan permits the granting of stock options, stock appreciation rights, restricted stock and restricted stock units to the Company’s employees and directors for up to 3.3 million shares of common stock, plus an additional 1.7 million shares underlying equity awards issued under the 2007 Long-Term Incentive Plan.</w:t>
      </w:r>
    </w:p>
    <w:p>
      <w:pPr>
        <w:spacing w:after="0" w:line="176"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During the nine months ended September 30, 2020, the Company granted 790 thousand restricted stock units to certain employees. In addition, all non-employee directors on the Company’s board of directors are paid a portion of their board-related compensation in stock grants or restricted stock units. Compensation cost charged to expense related to share-based compensation arrangements was $1,761 and $1,615 for the three months ended September 30, 2020 and 2019, respectively. Compensation cost charged to expense related to share-based compensation arrangements was $4,891 and $5,234 for the nine months ended September 30, 2020 and 2019, respectively.</w:t>
      </w:r>
    </w:p>
    <w:p>
      <w:pPr>
        <w:spacing w:after="0" w:line="187" w:lineRule="exact"/>
        <w:rPr>
          <w:sz w:val="20"/>
          <w:szCs w:val="20"/>
          <w:color w:val="auto"/>
        </w:rPr>
      </w:pPr>
    </w:p>
    <w:p>
      <w:pPr>
        <w:ind w:left="520" w:hanging="514"/>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8" w:lineRule="exact"/>
        <w:rPr>
          <w:sz w:val="20"/>
          <w:szCs w:val="20"/>
          <w:color w:val="auto"/>
        </w:rPr>
      </w:pPr>
    </w:p>
    <w:p>
      <w:pPr>
        <w:ind w:right="360"/>
        <w:spacing w:after="0" w:line="295" w:lineRule="auto"/>
        <w:rPr>
          <w:sz w:val="20"/>
          <w:szCs w:val="20"/>
          <w:color w:val="auto"/>
        </w:rPr>
      </w:pPr>
      <w:r>
        <w:rPr>
          <w:rFonts w:ascii="Arial" w:cs="Arial" w:eastAsia="Arial" w:hAnsi="Arial"/>
          <w:sz w:val="17"/>
          <w:szCs w:val="17"/>
          <w:color w:val="auto"/>
        </w:rPr>
        <w:t>At September 30, 2020, the Company had $661,281 of remaining performance obligations, which the Company refers to as total backlog. Approximately 28% of the Company’s backlog will be completed in 2020 with the remaining balance expected to be completed in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presents our revenue disaggregated by several categories.</w:t>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Domestically, our work generally is performed in coastal waterways and deep water ports. The U.S. dredging market consists of four primary types of work: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capital, coastal protection, maintenance and rivers &amp; lakes. Foreign projects typically involve capital work.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6"/>
        </w:trPr>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0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20" w:type="dxa"/>
            <w:vAlign w:val="bottom"/>
          </w:tcPr>
          <w:p>
            <w:pPr>
              <w:spacing w:after="0"/>
              <w:rPr>
                <w:sz w:val="16"/>
                <w:szCs w:val="16"/>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ind w:right="314"/>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27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40" w:type="dxa"/>
            <w:vAlign w:val="bottom"/>
            <w:vMerge w:val="restart"/>
          </w:tcPr>
          <w:p>
            <w:pPr>
              <w:spacing w:after="0"/>
              <w:rPr>
                <w:sz w:val="20"/>
                <w:szCs w:val="20"/>
                <w:color w:val="auto"/>
              </w:rPr>
            </w:pPr>
            <w:r>
              <w:rPr>
                <w:rFonts w:ascii="Arial" w:cs="Arial" w:eastAsia="Arial" w:hAnsi="Arial"/>
                <w:sz w:val="18"/>
                <w:szCs w:val="18"/>
                <w:color w:val="auto"/>
              </w:rPr>
              <w:t>Dredging:</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Capital—U.S.</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98,194</w:t>
            </w:r>
          </w:p>
        </w:tc>
        <w:tc>
          <w:tcPr>
            <w:tcW w:w="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62,518</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245,183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214,668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40" w:type="dxa"/>
            <w:vAlign w:val="bottom"/>
          </w:tcPr>
          <w:p>
            <w:pPr>
              <w:ind w:left="240"/>
              <w:spacing w:after="0"/>
              <w:rPr>
                <w:sz w:val="20"/>
                <w:szCs w:val="20"/>
                <w:color w:val="auto"/>
              </w:rPr>
            </w:pPr>
            <w:r>
              <w:rPr>
                <w:rFonts w:ascii="Arial" w:cs="Arial" w:eastAsia="Arial" w:hAnsi="Arial"/>
                <w:sz w:val="18"/>
                <w:szCs w:val="18"/>
                <w:color w:val="auto"/>
              </w:rPr>
              <w:t>Capital—foreign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9,787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20,630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165,668</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133,897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4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33,453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30,074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117,806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89,911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22,670</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12,169</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40" w:type="dxa"/>
            <w:vAlign w:val="bottom"/>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175,841</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169,775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561,456</w:t>
            </w:r>
          </w:p>
        </w:tc>
        <w:tc>
          <w:tcPr>
            <w:tcW w:w="2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547,223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revenues by type of customer, for the periods indicated,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1680" w:type="dxa"/>
            <w:vAlign w:val="bottom"/>
          </w:tcPr>
          <w:p>
            <w:pPr>
              <w:spacing w:after="0"/>
              <w:rPr>
                <w:sz w:val="19"/>
                <w:szCs w:val="19"/>
                <w:color w:val="auto"/>
              </w:rPr>
            </w:pPr>
          </w:p>
        </w:tc>
      </w:tr>
      <w:tr>
        <w:trPr>
          <w:trHeight w:val="210"/>
        </w:trPr>
        <w:tc>
          <w:tcPr>
            <w:tcW w:w="1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9"/>
        </w:trPr>
        <w:tc>
          <w:tcPr>
            <w:tcW w:w="1700" w:type="dxa"/>
            <w:vAlign w:val="bottom"/>
          </w:tcPr>
          <w:p>
            <w:pPr>
              <w:spacing w:after="0"/>
              <w:rPr>
                <w:sz w:val="19"/>
                <w:szCs w:val="19"/>
                <w:color w:val="auto"/>
              </w:rPr>
            </w:pPr>
          </w:p>
        </w:tc>
        <w:tc>
          <w:tcPr>
            <w:tcW w:w="304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19"/>
        </w:trPr>
        <w:tc>
          <w:tcPr>
            <w:tcW w:w="170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Dredging:</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5"/>
        </w:trPr>
        <w:tc>
          <w:tcPr>
            <w:tcW w:w="170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Federal government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154,083</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134,763</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453,346</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431,722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6"/>
        </w:trPr>
        <w:tc>
          <w:tcPr>
            <w:tcW w:w="170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76,489</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69,077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5"/>
        </w:trPr>
        <w:tc>
          <w:tcPr>
            <w:tcW w:w="170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Private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7,507</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10,991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6,901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6"/>
        </w:trPr>
        <w:tc>
          <w:tcPr>
            <w:tcW w:w="170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9,787</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12,554</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20,630</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39,523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18"/>
        </w:trPr>
        <w:tc>
          <w:tcPr>
            <w:tcW w:w="170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175,841</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169,775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561,456</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547,223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17"/>
        </w:trPr>
        <w:tc>
          <w:tcPr>
            <w:tcW w:w="1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4"/>
        </w:trPr>
        <w:tc>
          <w:tcPr>
            <w:tcW w:w="170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September 30, 2020 and December 31, 2019 are as follows:</w:t>
      </w:r>
    </w:p>
    <w:p>
      <w:pPr>
        <w:spacing w:after="0" w:line="28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3840" w:type="dxa"/>
            <w:vAlign w:val="bottom"/>
            <w:tcBorders>
              <w:bottom w:val="single" w:sz="8" w:color="CFF0FC"/>
            </w:tcBorders>
          </w:tcPr>
          <w:p>
            <w:pPr>
              <w:spacing w:after="0"/>
              <w:rPr>
                <w:sz w:val="14"/>
                <w:szCs w:val="14"/>
                <w:color w:val="auto"/>
              </w:rPr>
            </w:pPr>
          </w:p>
        </w:tc>
        <w:tc>
          <w:tcPr>
            <w:tcW w:w="15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19"/>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Completed contracts</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80" w:type="dxa"/>
            <w:vAlign w:val="bottom"/>
            <w:shd w:val="clear" w:color="auto" w:fill="CFF0FC"/>
          </w:tcPr>
          <w:p>
            <w:pPr>
              <w:spacing w:after="0"/>
              <w:rPr>
                <w:sz w:val="19"/>
                <w:szCs w:val="19"/>
                <w:color w:val="auto"/>
              </w:rPr>
            </w:pPr>
          </w:p>
        </w:tc>
      </w:tr>
      <w:tr>
        <w:trPr>
          <w:trHeight w:val="225"/>
        </w:trPr>
        <w:tc>
          <w:tcPr>
            <w:tcW w:w="3840" w:type="dxa"/>
            <w:vAlign w:val="bottom"/>
          </w:tcPr>
          <w:p>
            <w:pPr>
              <w:spacing w:after="0"/>
              <w:rPr>
                <w:sz w:val="20"/>
                <w:szCs w:val="20"/>
                <w:color w:val="auto"/>
              </w:rPr>
            </w:pPr>
            <w:r>
              <w:rPr>
                <w:rFonts w:ascii="Arial" w:cs="Arial" w:eastAsia="Arial" w:hAnsi="Arial"/>
                <w:sz w:val="18"/>
                <w:szCs w:val="18"/>
                <w:color w:val="auto"/>
              </w:rPr>
              <w:t>Contracts in progress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9,490</w:t>
            </w:r>
          </w:p>
        </w:tc>
        <w:tc>
          <w:tcPr>
            <w:tcW w:w="80" w:type="dxa"/>
            <w:vAlign w:val="bottom"/>
          </w:tcPr>
          <w:p>
            <w:pPr>
              <w:spacing w:after="0"/>
              <w:rPr>
                <w:sz w:val="19"/>
                <w:szCs w:val="19"/>
                <w:color w:val="auto"/>
              </w:rPr>
            </w:pPr>
          </w:p>
        </w:tc>
      </w:tr>
      <w:tr>
        <w:trPr>
          <w:trHeight w:val="226"/>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Retainage</w:t>
            </w:r>
          </w:p>
        </w:tc>
        <w:tc>
          <w:tcPr>
            <w:tcW w:w="15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7,415</w:t>
            </w:r>
          </w:p>
        </w:tc>
        <w:tc>
          <w:tcPr>
            <w:tcW w:w="80" w:type="dxa"/>
            <w:vAlign w:val="bottom"/>
            <w:shd w:val="clear" w:color="auto" w:fill="CFF0FC"/>
          </w:tcPr>
          <w:p>
            <w:pPr>
              <w:spacing w:after="0"/>
              <w:rPr>
                <w:sz w:val="19"/>
                <w:szCs w:val="19"/>
                <w:color w:val="auto"/>
              </w:rPr>
            </w:pPr>
          </w:p>
        </w:tc>
      </w:tr>
      <w:tr>
        <w:trPr>
          <w:trHeight w:val="219"/>
        </w:trPr>
        <w:tc>
          <w:tcPr>
            <w:tcW w:w="3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20,349</w:t>
            </w:r>
          </w:p>
        </w:tc>
        <w:tc>
          <w:tcPr>
            <w:tcW w:w="80" w:type="dxa"/>
            <w:vAlign w:val="bottom"/>
          </w:tcPr>
          <w:p>
            <w:pPr>
              <w:spacing w:after="0"/>
              <w:rPr>
                <w:sz w:val="19"/>
                <w:szCs w:val="19"/>
                <w:color w:val="auto"/>
              </w:rPr>
            </w:pPr>
          </w:p>
        </w:tc>
      </w:tr>
      <w:tr>
        <w:trPr>
          <w:trHeight w:val="226"/>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(564)</w:t>
            </w:r>
          </w:p>
        </w:tc>
      </w:tr>
      <w:tr>
        <w:trPr>
          <w:trHeight w:val="352"/>
        </w:trPr>
        <w:tc>
          <w:tcPr>
            <w:tcW w:w="3840" w:type="dxa"/>
            <w:vAlign w:val="bottom"/>
          </w:tcPr>
          <w:p>
            <w:pPr>
              <w:spacing w:after="0"/>
              <w:rPr>
                <w:sz w:val="20"/>
                <w:szCs w:val="20"/>
                <w:color w:val="auto"/>
              </w:rPr>
            </w:pPr>
            <w:r>
              <w:rPr>
                <w:rFonts w:ascii="Arial" w:cs="Arial" w:eastAsia="Arial" w:hAnsi="Arial"/>
                <w:sz w:val="18"/>
                <w:szCs w:val="18"/>
                <w:color w:val="auto"/>
              </w:rPr>
              <w:t>Total accounts receivable—net</w:t>
            </w:r>
          </w:p>
        </w:tc>
        <w:tc>
          <w:tcPr>
            <w:tcW w:w="15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47,218</w:t>
            </w:r>
          </w:p>
        </w:tc>
        <w:tc>
          <w:tcPr>
            <w:tcW w:w="2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19,785</w:t>
            </w:r>
          </w:p>
        </w:tc>
        <w:tc>
          <w:tcPr>
            <w:tcW w:w="80" w:type="dxa"/>
            <w:vAlign w:val="bottom"/>
          </w:tcPr>
          <w:p>
            <w:pPr>
              <w:spacing w:after="0"/>
              <w:rPr>
                <w:sz w:val="24"/>
                <w:szCs w:val="24"/>
                <w:color w:val="auto"/>
              </w:rPr>
            </w:pPr>
          </w:p>
        </w:tc>
      </w:tr>
      <w:tr>
        <w:trPr>
          <w:trHeight w:val="20"/>
        </w:trPr>
        <w:tc>
          <w:tcPr>
            <w:tcW w:w="3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contracts in progress at September 30, 2020 and December 31, 2019 are as follows:</w:t>
      </w:r>
    </w:p>
    <w:p>
      <w:pPr>
        <w:spacing w:after="0" w:line="28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r>
      <w:tr>
        <w:trPr>
          <w:trHeight w:val="169"/>
        </w:trPr>
        <w:tc>
          <w:tcPr>
            <w:tcW w:w="4940" w:type="dxa"/>
            <w:vAlign w:val="bottom"/>
            <w:tcBorders>
              <w:bottom w:val="single" w:sz="8" w:color="CFF0FC"/>
            </w:tcBorders>
          </w:tcPr>
          <w:p>
            <w:pPr>
              <w:spacing w:after="0"/>
              <w:rPr>
                <w:sz w:val="14"/>
                <w:szCs w:val="14"/>
                <w:color w:val="auto"/>
              </w:rPr>
            </w:pPr>
          </w:p>
        </w:tc>
        <w:tc>
          <w:tcPr>
            <w:tcW w:w="4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Costs and earnings in excess of billings:</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5"/>
        </w:trPr>
        <w:tc>
          <w:tcPr>
            <w:tcW w:w="4940" w:type="dxa"/>
            <w:vAlign w:val="bottom"/>
          </w:tcPr>
          <w:p>
            <w:pPr>
              <w:ind w:left="240"/>
              <w:spacing w:after="0"/>
              <w:rPr>
                <w:sz w:val="20"/>
                <w:szCs w:val="20"/>
                <w:color w:val="auto"/>
              </w:rPr>
            </w:pPr>
            <w:r>
              <w:rPr>
                <w:rFonts w:ascii="Arial" w:cs="Arial" w:eastAsia="Arial" w:hAnsi="Arial"/>
                <w:sz w:val="18"/>
                <w:szCs w:val="18"/>
                <w:color w:val="auto"/>
              </w:rPr>
              <w:t>Costs and earnings for contracts in progress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324,464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104,620</w:t>
            </w:r>
          </w:p>
        </w:tc>
        <w:tc>
          <w:tcPr>
            <w:tcW w:w="80" w:type="dxa"/>
            <w:vAlign w:val="bottom"/>
          </w:tcPr>
          <w:p>
            <w:pPr>
              <w:spacing w:after="0"/>
              <w:rPr>
                <w:sz w:val="19"/>
                <w:szCs w:val="19"/>
                <w:color w:val="auto"/>
              </w:rPr>
            </w:pPr>
          </w:p>
        </w:tc>
      </w:tr>
      <w:tr>
        <w:trPr>
          <w:trHeight w:val="226"/>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Amounts billed</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(307,991)</w:t>
            </w: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(86,074)</w:t>
            </w:r>
          </w:p>
        </w:tc>
      </w:tr>
      <w:tr>
        <w:trPr>
          <w:trHeight w:val="218"/>
        </w:trPr>
        <w:tc>
          <w:tcPr>
            <w:tcW w:w="4940" w:type="dxa"/>
            <w:vAlign w:val="bottom"/>
          </w:tcPr>
          <w:p>
            <w:pPr>
              <w:spacing w:after="0"/>
              <w:rPr>
                <w:sz w:val="20"/>
                <w:szCs w:val="20"/>
                <w:color w:val="auto"/>
              </w:rPr>
            </w:pPr>
            <w:r>
              <w:rPr>
                <w:rFonts w:ascii="Arial" w:cs="Arial" w:eastAsia="Arial" w:hAnsi="Arial"/>
                <w:sz w:val="18"/>
                <w:szCs w:val="18"/>
                <w:color w:val="auto"/>
                <w:w w:val="95"/>
              </w:rPr>
              <w:t>Costs and earnings in excess of billings for contracts in progress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18,546</w:t>
            </w:r>
          </w:p>
        </w:tc>
        <w:tc>
          <w:tcPr>
            <w:tcW w:w="80" w:type="dxa"/>
            <w:vAlign w:val="bottom"/>
          </w:tcPr>
          <w:p>
            <w:pPr>
              <w:spacing w:after="0"/>
              <w:rPr>
                <w:sz w:val="19"/>
                <w:szCs w:val="19"/>
                <w:color w:val="auto"/>
              </w:rPr>
            </w:pPr>
          </w:p>
        </w:tc>
      </w:tr>
      <w:tr>
        <w:trPr>
          <w:trHeight w:val="22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w w:val="96"/>
              </w:rPr>
              <w:t>Costs and earnings in excess of billings for completed contracts</w:t>
            </w:r>
          </w:p>
        </w:tc>
        <w:tc>
          <w:tcPr>
            <w:tcW w:w="4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6,126</w:t>
            </w:r>
          </w:p>
        </w:tc>
        <w:tc>
          <w:tcPr>
            <w:tcW w:w="80" w:type="dxa"/>
            <w:vAlign w:val="bottom"/>
            <w:shd w:val="clear" w:color="auto" w:fill="CFF0FC"/>
          </w:tcPr>
          <w:p>
            <w:pPr>
              <w:spacing w:after="0"/>
              <w:rPr>
                <w:sz w:val="19"/>
                <w:szCs w:val="19"/>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8"/>
                <w:szCs w:val="18"/>
                <w:color w:val="auto"/>
              </w:rPr>
              <w:t>Total contract revenues in excess of billings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22,647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24,672</w:t>
            </w:r>
          </w:p>
        </w:tc>
        <w:tc>
          <w:tcPr>
            <w:tcW w:w="80" w:type="dxa"/>
            <w:vAlign w:val="bottom"/>
          </w:tcPr>
          <w:p>
            <w:pPr>
              <w:spacing w:after="0"/>
              <w:rPr>
                <w:sz w:val="19"/>
                <w:szCs w:val="19"/>
                <w:color w:val="auto"/>
              </w:rPr>
            </w:pPr>
          </w:p>
        </w:tc>
      </w:tr>
      <w:tr>
        <w:trPr>
          <w:trHeight w:val="226"/>
        </w:trPr>
        <w:tc>
          <w:tcPr>
            <w:tcW w:w="49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5"/>
        </w:trPr>
        <w:tc>
          <w:tcPr>
            <w:tcW w:w="4940" w:type="dxa"/>
            <w:vAlign w:val="bottom"/>
          </w:tcPr>
          <w:p>
            <w:pPr>
              <w:spacing w:after="0"/>
              <w:rPr>
                <w:sz w:val="20"/>
                <w:szCs w:val="20"/>
                <w:color w:val="auto"/>
              </w:rPr>
            </w:pPr>
            <w:r>
              <w:rPr>
                <w:rFonts w:ascii="Arial" w:cs="Arial" w:eastAsia="Arial" w:hAnsi="Arial"/>
                <w:sz w:val="18"/>
                <w:szCs w:val="18"/>
                <w:color w:val="auto"/>
              </w:rPr>
              <w:t>Current portion of contract revenues in excess of billings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20,588</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22,560</w:t>
            </w:r>
          </w:p>
        </w:tc>
        <w:tc>
          <w:tcPr>
            <w:tcW w:w="80" w:type="dxa"/>
            <w:vAlign w:val="bottom"/>
          </w:tcPr>
          <w:p>
            <w:pPr>
              <w:spacing w:after="0"/>
              <w:rPr>
                <w:sz w:val="19"/>
                <w:szCs w:val="19"/>
                <w:color w:val="auto"/>
              </w:rPr>
            </w:pPr>
          </w:p>
        </w:tc>
      </w:tr>
      <w:tr>
        <w:trPr>
          <w:trHeight w:val="22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Long-term contract revenues in excess of billings</w:t>
            </w:r>
          </w:p>
        </w:tc>
        <w:tc>
          <w:tcPr>
            <w:tcW w:w="4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CFF0FC"/>
          </w:tcPr>
          <w:p>
            <w:pPr>
              <w:spacing w:after="0"/>
              <w:rPr>
                <w:sz w:val="19"/>
                <w:szCs w:val="19"/>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8"/>
                <w:szCs w:val="18"/>
                <w:color w:val="auto"/>
              </w:rPr>
              <w:t>Total contract revenues in excess of billings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22,647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24,672</w:t>
            </w:r>
          </w:p>
        </w:tc>
        <w:tc>
          <w:tcPr>
            <w:tcW w:w="80" w:type="dxa"/>
            <w:vAlign w:val="bottom"/>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0"/>
        </w:trPr>
        <w:tc>
          <w:tcPr>
            <w:tcW w:w="4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2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Billings in excess of costs and earnings:</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5"/>
        </w:trPr>
        <w:tc>
          <w:tcPr>
            <w:tcW w:w="4940" w:type="dxa"/>
            <w:vAlign w:val="bottom"/>
          </w:tcPr>
          <w:p>
            <w:pPr>
              <w:ind w:left="240"/>
              <w:spacing w:after="0"/>
              <w:rPr>
                <w:sz w:val="20"/>
                <w:szCs w:val="20"/>
                <w:color w:val="auto"/>
              </w:rPr>
            </w:pPr>
            <w:r>
              <w:rPr>
                <w:rFonts w:ascii="Arial" w:cs="Arial" w:eastAsia="Arial" w:hAnsi="Arial"/>
                <w:sz w:val="18"/>
                <w:szCs w:val="18"/>
                <w:color w:val="auto"/>
              </w:rPr>
              <w:t>Amounts billed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(330,853)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(628,491)</w:t>
            </w:r>
          </w:p>
        </w:tc>
      </w:tr>
      <w:tr>
        <w:trPr>
          <w:trHeight w:val="226"/>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Costs and earnings for contracts in progress</w:t>
            </w:r>
          </w:p>
        </w:tc>
        <w:tc>
          <w:tcPr>
            <w:tcW w:w="4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292,699</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573,225</w:t>
            </w:r>
          </w:p>
        </w:tc>
        <w:tc>
          <w:tcPr>
            <w:tcW w:w="80" w:type="dxa"/>
            <w:vAlign w:val="bottom"/>
            <w:shd w:val="clear" w:color="auto" w:fill="CFF0FC"/>
          </w:tcPr>
          <w:p>
            <w:pPr>
              <w:spacing w:after="0"/>
              <w:rPr>
                <w:sz w:val="19"/>
                <w:szCs w:val="19"/>
                <w:color w:val="auto"/>
              </w:rPr>
            </w:pPr>
          </w:p>
        </w:tc>
      </w:tr>
      <w:tr>
        <w:trPr>
          <w:trHeight w:val="218"/>
        </w:trPr>
        <w:tc>
          <w:tcPr>
            <w:tcW w:w="4940" w:type="dxa"/>
            <w:vAlign w:val="bottom"/>
          </w:tcPr>
          <w:p>
            <w:pPr>
              <w:spacing w:after="0"/>
              <w:rPr>
                <w:sz w:val="20"/>
                <w:szCs w:val="20"/>
                <w:color w:val="auto"/>
              </w:rPr>
            </w:pPr>
            <w:r>
              <w:rPr>
                <w:rFonts w:ascii="Arial" w:cs="Arial" w:eastAsia="Arial" w:hAnsi="Arial"/>
                <w:sz w:val="18"/>
                <w:szCs w:val="18"/>
                <w:color w:val="auto"/>
              </w:rPr>
              <w:t>Total billings in excess of contract revenues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(38,154)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(55,266)</w:t>
            </w:r>
          </w:p>
        </w:tc>
      </w:tr>
      <w:tr>
        <w:trPr>
          <w:trHeight w:val="20"/>
        </w:trPr>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line="331" w:lineRule="auto"/>
        <w:rPr>
          <w:sz w:val="20"/>
          <w:szCs w:val="20"/>
          <w:color w:val="auto"/>
        </w:rPr>
      </w:pPr>
      <w:r>
        <w:rPr>
          <w:rFonts w:ascii="Arial" w:cs="Arial" w:eastAsia="Arial" w:hAnsi="Arial"/>
          <w:sz w:val="15"/>
          <w:szCs w:val="15"/>
          <w:color w:val="auto"/>
        </w:rPr>
        <w:t>At September 30, 2020 and December 31, 2019, costs to fulfill a contract with a customer recognized as an asset were $8,848 and $10,300, respectively, and are recorded in other current assets and other noncurrent assets. These costs relate to pre-contract and pre-construction activities. During the three and nine months ended September 30, 2020 and 2019, the Company amortized $2,891 and $11,695 and $3,097 and $8,846, respectively, of pre-construction costs.</w:t>
      </w:r>
    </w:p>
    <w:p>
      <w:pPr>
        <w:spacing w:after="0" w:line="130" w:lineRule="exact"/>
        <w:rPr>
          <w:sz w:val="20"/>
          <w:szCs w:val="20"/>
          <w:color w:val="auto"/>
        </w:rPr>
      </w:pPr>
    </w:p>
    <w:p>
      <w:pPr>
        <w:ind w:left="520" w:hanging="514"/>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commitments</w:t>
      </w:r>
    </w:p>
    <w:p>
      <w:pPr>
        <w:spacing w:after="0" w:line="112"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Performance and bid bonds are customarily required for dredging and marine construction projects, as well as some environmental &amp; infrastructure projects. The Company has bonding agreements with Argonaut Insurance Company, Berkley Insurance Company, Chubb Surety and Liberty Mutual Insurance Company, under which the Company can obtain performance, bid and payment bonds. The Company also has outstanding bonds with Travelers Casualty, Surety Company of America and Zurich American Insurance Company (“Zurich”). Bid bonds are generally obtained for a percentage of bid value and amounts outstanding typically range from $1,000 to $10,000. At September 30, 2020, the Company had outstanding performance bonds with a notional amount of approximately $1,254,315 of which $17,401 relates to projects from the Company’s historical environmental &amp; infrastructure businesses. The revenue value remaining in backlog related to these projects totaled approximately $593,142.</w:t>
      </w:r>
    </w:p>
    <w:p>
      <w:pPr>
        <w:spacing w:after="0" w:line="1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100"/>
          </w:cols>
          <w:pgMar w:left="320" w:top="379" w:right="479" w:bottom="1440" w:gutter="0" w:footer="0" w:header="0"/>
        </w:sectPr>
      </w:pPr>
    </w:p>
    <w:bookmarkStart w:id="14" w:name="page15"/>
    <w:bookmarkEnd w:id="14"/>
    <w:p>
      <w:pPr>
        <w:ind w:right="60"/>
        <w:spacing w:after="0" w:line="266" w:lineRule="auto"/>
        <w:rPr>
          <w:sz w:val="20"/>
          <w:szCs w:val="20"/>
          <w:color w:val="auto"/>
        </w:rPr>
      </w:pPr>
      <w:r>
        <w:rPr>
          <w:rFonts w:ascii="Arial" w:cs="Arial" w:eastAsia="Arial" w:hAnsi="Arial"/>
          <w:sz w:val="17"/>
          <w:szCs w:val="17"/>
          <w:color w:val="auto"/>
        </w:rPr>
        <w:t>In connection with the sale of its historical demolition business, the Company was obligated to keep in place the surety bonds on pending demolition projects for the period required under the respective contract for a project and issued Zurich a letter of credit related to this exposure. In February 2017, the Company was notified by Zurich of an alleged default triggered on a historical demolition surety performance bond in the aggregate of approximately $20,000 for failure of the contractor to perform in accordance with the terms of a project. In May 2017, Zurich drew upon the letter of credit in the amount of $20,881. In order to fund the draw on the letter of credit in May 2017, the Company had to increase the borrowings on its revolving credit facility. As the outstanding letters of credit previously reduced the Company’s availability under the revolving credit facility, this draw down on the Company’s letter of credit did not impact its liquidity or capital availability.</w:t>
      </w:r>
    </w:p>
    <w:p>
      <w:pPr>
        <w:spacing w:after="0" w:line="183"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auto"/>
        </w:rPr>
        <w:t>Pursuant to the terms of sale of its historical demolition business, the Company received an indemnification commitment from the buyer for losses resulting from the bonding arrangement. In April 2020, the Court granted the Company’s motion for entry of final judgment in the amount of $21,934 based upon the buyer’s default of its obligations to indemnify the Company for losses resulting from the bonding arrangement. In May 2020, the Court entered that final judgment, and in June 2020, Defendants filed a notice of appeal from that judgment. The Company cannot estimate the amount or range of collectible recoveries related to the indemnification. It does, however, intend to oppose the appeal and aggressively pursue collection from the buyer for such payment.</w:t>
      </w:r>
    </w:p>
    <w:p>
      <w:pPr>
        <w:spacing w:after="0" w:line="150" w:lineRule="exact"/>
        <w:rPr>
          <w:sz w:val="20"/>
          <w:szCs w:val="20"/>
          <w:color w:val="auto"/>
        </w:rPr>
      </w:pPr>
    </w:p>
    <w:p>
      <w:pPr>
        <w:ind w:right="120"/>
        <w:spacing w:after="0" w:line="331" w:lineRule="auto"/>
        <w:rPr>
          <w:sz w:val="20"/>
          <w:szCs w:val="20"/>
          <w:color w:val="auto"/>
        </w:rPr>
      </w:pPr>
      <w:r>
        <w:rPr>
          <w:rFonts w:ascii="Arial" w:cs="Arial" w:eastAsia="Arial" w:hAnsi="Arial"/>
          <w:sz w:val="15"/>
          <w:szCs w:val="15"/>
          <w:color w:val="auto"/>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other contingencies</w:t>
      </w:r>
    </w:p>
    <w:p>
      <w:pPr>
        <w:spacing w:after="0" w:line="11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spacing w:after="0" w:line="18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On April 23, 2014, the Company completed the sale of NASDI, LLC (“NASDI”) and Yankee Environmental Services, LLC (“Yankee”), which together comprised the Company’s historical demolition business, to a privately owned demolition company. On January 14, 2015, the Company and its subsidiary, NASDI Holdings, LLC, brought an action in the Delaware Court of Chancery to enforce the terms of the Company's agreement to sell NASDI and Yankee. Under the terms of the agreement, the Company received cash of $5,309 and retained the right to receive additional proceeds based upon future collections of outstanding accounts receivable and work in process existing at the date of close. The Company seeks specific performance of the buyer’s obligation to collect and to remit the additional proceeds, and other related relief. Defendants have filed counterclaims alleging that the Company misrepresented the quality of its contracts and receivables prior to the sale. The Company denies defendants’ allegations.</w:t>
      </w:r>
    </w:p>
    <w:p>
      <w:pPr>
        <w:spacing w:after="0" w:line="18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 June 2019, the U.S. Attorney’s Office for the Eastern District of Louisiana informed the Company that it intends to file criminal charges against the Company in connection with a September 2016 oil spill. The oil spill occurred during the Company’s Cheniere Ronquille project, allegedly resulting in the discharge of around 160 barrels of crude oil in Bay Long, Louisiana. The Company has cooperated with the U.S. Attorney’s Office in its investigation of the oil spill and believes that criminal charges are not warranted.</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September 27, 2019, the EPA Region 4 filed an administrative complaint against the Company relating to a project the Company performed at PortMiami from 2013-2015. The EPA is alleging violations of Section 103 of the Marine Protection, Research, and Sanctuaries Act (“MPRSA”) and failure to report violations of the MPRSA. The EPA has calculated and proposed that the administrative court issue a penalty in the total amount of $973. The Company disagrees with the EPA on whether violations occurred and, if any violation did occur, the appropriate penalty calculation.</w:t>
      </w:r>
    </w:p>
    <w:p>
      <w:pPr>
        <w:spacing w:after="0" w:line="17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Except as noted above, the Company has not accrued any amounts with respect to the above matters as the Company does not believe, based on information currently known to it, that a loss relating to these matters is probable, and an estimate of a range of potential losses relating to these matters cannot reasonably be made.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Lease obligations</w:t>
      </w:r>
    </w:p>
    <w:p>
      <w:pPr>
        <w:spacing w:after="0" w:line="11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leases certain operating equipment and office facilities under long-term operating leases expiring at various dates through 2026.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spacing w:after="0" w:line="177" w:lineRule="exact"/>
        <w:rPr>
          <w:sz w:val="20"/>
          <w:szCs w:val="20"/>
          <w:color w:val="auto"/>
        </w:rPr>
      </w:pPr>
    </w:p>
    <w:p>
      <w:pPr>
        <w:ind w:left="520" w:hanging="514"/>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dispositions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second quarter of 2019, the Company entered into an agreement and completed the sale of the historical environmental &amp; infrastructure business. Under the terms of the agreement, the Company received cash of $17,500 in the second quarter of 2019 and received an additional $857 in the third quarter of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historical environmental &amp; infrastructure businesses have been reported in discontinued operations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Nine Months Ended</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center"/>
              <w:ind w:right="38"/>
              <w:spacing w:after="0" w:line="153"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498"/>
              <w:spacing w:after="0" w:line="153"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25,040</w:t>
            </w:r>
          </w:p>
        </w:tc>
        <w:tc>
          <w:tcPr>
            <w:tcW w:w="100" w:type="dxa"/>
            <w:vAlign w:val="bottom"/>
            <w:shd w:val="clear" w:color="auto" w:fill="CFF0FC"/>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80" w:type="dxa"/>
            <w:vAlign w:val="bottom"/>
            <w:gridSpan w:val="2"/>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w w:val="98"/>
              </w:rPr>
              <w:t>Loss before income taxes from discontinued operations</w:t>
            </w:r>
          </w:p>
        </w:tc>
        <w:tc>
          <w:tcPr>
            <w:tcW w:w="2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(7,421)</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80" w:type="dxa"/>
            <w:vAlign w:val="bottom"/>
            <w:gridSpan w:val="2"/>
          </w:tcPr>
          <w:p>
            <w:pPr>
              <w:ind w:left="720"/>
              <w:spacing w:after="0"/>
              <w:rPr>
                <w:sz w:val="20"/>
                <w:szCs w:val="20"/>
                <w:color w:val="auto"/>
              </w:rPr>
            </w:pPr>
            <w:r>
              <w:rPr>
                <w:rFonts w:ascii="Arial" w:cs="Arial" w:eastAsia="Arial" w:hAnsi="Arial"/>
                <w:sz w:val="18"/>
                <w:szCs w:val="18"/>
                <w:color w:val="auto"/>
              </w:rPr>
              <w:t>Loss on disposal of assets held for sale</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(2,632)</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2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2,563</w:t>
            </w:r>
          </w:p>
        </w:tc>
        <w:tc>
          <w:tcPr>
            <w:tcW w:w="100" w:type="dxa"/>
            <w:vAlign w:val="bottom"/>
            <w:shd w:val="clear" w:color="auto" w:fill="CFF0FC"/>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80" w:type="dxa"/>
            <w:vAlign w:val="bottom"/>
            <w:gridSpan w:val="2"/>
          </w:tcPr>
          <w:p>
            <w:pPr>
              <w:ind w:left="720"/>
              <w:spacing w:after="0"/>
              <w:rPr>
                <w:sz w:val="20"/>
                <w:szCs w:val="20"/>
                <w:color w:val="auto"/>
              </w:rPr>
            </w:pPr>
            <w:r>
              <w:rPr>
                <w:rFonts w:ascii="Arial" w:cs="Arial" w:eastAsia="Arial" w:hAnsi="Arial"/>
                <w:sz w:val="18"/>
                <w:szCs w:val="18"/>
                <w:color w:val="auto"/>
                <w:w w:val="98"/>
              </w:rPr>
              <w:t>Loss from discontinued operations, net of income taxes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(7,490)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20" w:type="dxa"/>
            <w:vAlign w:val="bottom"/>
            <w:vMerge w:val="restart"/>
          </w:tcPr>
          <w:p>
            <w:pPr>
              <w:jc w:val="right"/>
              <w:ind w:right="1391"/>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720" w:type="dxa"/>
            <w:vAlign w:val="bottom"/>
            <w:tcBorders>
              <w:bottom w:val="single" w:sz="8" w:color="9A9A9A"/>
            </w:tcBorders>
          </w:tcPr>
          <w:p>
            <w:pPr>
              <w:spacing w:after="0"/>
              <w:rPr>
                <w:sz w:val="9"/>
                <w:szCs w:val="9"/>
                <w:color w:val="auto"/>
              </w:rPr>
            </w:pPr>
          </w:p>
        </w:tc>
        <w:tc>
          <w:tcPr>
            <w:tcW w:w="436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6" w:name="page17"/>
    <w:bookmarkEnd w:id="16"/>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2"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auto"/>
        </w:rPr>
        <w:t>Certain statements in this Quarterly Report on Form 10-Q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the “Company”),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w:t>
      </w:r>
    </w:p>
    <w:p>
      <w:pPr>
        <w:spacing w:after="0" w:line="159"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Great Lakes’ Annual Report on Form 10-K for the year ended December 31, 2019, in Item 1A. “Risk Factors” of Great Lakes Quarterly Reports on Form 10-Q for the quarters ended March 31, 2020 and June 30, 2020, in Item 1A. “Risk Factors” of this Quarterly Report on Form 10-Q and in other securities filings by Great Lakes with the SEC.</w:t>
      </w:r>
    </w:p>
    <w:p>
      <w:pPr>
        <w:spacing w:after="0" w:line="197" w:lineRule="exact"/>
        <w:rPr>
          <w:sz w:val="20"/>
          <w:szCs w:val="20"/>
          <w:color w:val="auto"/>
        </w:rPr>
      </w:pPr>
    </w:p>
    <w:p>
      <w:pPr>
        <w:ind w:right="20"/>
        <w:spacing w:after="0" w:line="313" w:lineRule="auto"/>
        <w:rPr>
          <w:sz w:val="20"/>
          <w:szCs w:val="20"/>
          <w:color w:val="auto"/>
        </w:rPr>
      </w:pPr>
      <w:r>
        <w:rPr>
          <w:rFonts w:ascii="Arial" w:cs="Arial" w:eastAsia="Arial" w:hAnsi="Arial"/>
          <w:sz w:val="15"/>
          <w:szCs w:val="15"/>
          <w:color w:val="auto"/>
        </w:rPr>
        <w:t>Although Great Lakes believes that its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Quarterly Report on Form 10-Q are made only as of the date hereof and Great Lakes does not have or undertake any obligation to update or revise any forward-looking statements whether as a result of new information, subsequent events or otherwise, unless otherwise required by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2" w:lineRule="exact"/>
        <w:rPr>
          <w:sz w:val="20"/>
          <w:szCs w:val="20"/>
          <w:color w:val="auto"/>
        </w:rPr>
      </w:pPr>
    </w:p>
    <w:p>
      <w:pPr>
        <w:ind w:right="80"/>
        <w:spacing w:after="0" w:line="366" w:lineRule="auto"/>
        <w:rPr>
          <w:sz w:val="20"/>
          <w:szCs w:val="20"/>
          <w:color w:val="auto"/>
        </w:rPr>
      </w:pPr>
      <w:r>
        <w:rPr>
          <w:rFonts w:ascii="Arial" w:cs="Arial" w:eastAsia="Arial" w:hAnsi="Arial"/>
          <w:sz w:val="15"/>
          <w:szCs w:val="15"/>
          <w:color w:val="auto"/>
        </w:rPr>
        <w:t>The Company is the largest provider of dredging services in the United States. In addition, the Company has a long history of performing significant international projects. The mobility of the Company’s fleet enables the Company to move equipment in response to changes in demand for dredging services.</w:t>
      </w:r>
    </w:p>
    <w:p>
      <w:pPr>
        <w:spacing w:after="0" w:line="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October 22, 2020, the Company announced the upcoming relocation of its headquarters from Oak Brook, Illinois to Houston, Texas, with offices anticipated to open in early 2021. The relocation will place the Company closer to key regional customers and new markets, especially along the Gulf Coast and the Mississippi River.</w:t>
      </w:r>
    </w:p>
    <w:p>
      <w:pPr>
        <w:spacing w:after="0" w:line="8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Dredging generally involves the enhancement or preservation of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(“bid market”). The Company experienced an average combined bid market share in the U.S. of 39% over the prior three years, including 56%, 53%, 16% and 45% of the domestic capital, coastal protection, maintenance and rivers &amp; lakes sectors, respectively.</w:t>
      </w:r>
    </w:p>
    <w:p>
      <w:pPr>
        <w:spacing w:after="0" w:line="18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Company’s largest domestic dredging customer is the U.S. Army Corps of Engineers (the “Corps”), which has responsibility for federally funded projects related to navigation and flood control of U.S. waterways. In the first nine months of 2020, the Company’s dredging revenues earned from contracts with federal government agencies, including the Corps as well as other federal entities such as the U.S. Coast Guard and the U.S. Navy were approximately 81% of dredging revenues, above the Company’s prior three year average of 74%.</w:t>
      </w:r>
    </w:p>
    <w:p>
      <w:pPr>
        <w:spacing w:after="0" w:line="193" w:lineRule="exact"/>
        <w:rPr>
          <w:sz w:val="20"/>
          <w:szCs w:val="20"/>
          <w:color w:val="auto"/>
        </w:rPr>
      </w:pPr>
    </w:p>
    <w:p>
      <w:pPr>
        <w:jc w:val="both"/>
        <w:ind w:right="20"/>
        <w:spacing w:after="0" w:line="319" w:lineRule="auto"/>
        <w:rPr>
          <w:sz w:val="20"/>
          <w:szCs w:val="20"/>
          <w:color w:val="auto"/>
        </w:rPr>
      </w:pPr>
      <w:r>
        <w:rPr>
          <w:rFonts w:ascii="Arial" w:cs="Arial" w:eastAsia="Arial" w:hAnsi="Arial"/>
          <w:sz w:val="15"/>
          <w:szCs w:val="15"/>
          <w:color w:val="auto"/>
        </w:rPr>
        <w:t>In December 2019, a novel strain of coronavirus (COVID-19) was reported to have surfaced in Wuhan, China. COVID-19 has since spread worldwide and to every state in the United States. On March 11, 2020, the World Health Organization declared COVID-19 a pandemic and on March 13, 2020 the United States declared a national emergency in response to the coronavirus outbreak. This outbreak has severely impacted global economic activity and many countries and states in the United States have reacted by instituting quarantines, mandating school and business closures and limiting travel.</w:t>
      </w:r>
    </w:p>
    <w:p>
      <w:pPr>
        <w:spacing w:after="0" w:line="14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On March 28, 2020, dredging was specifically listed in the U.S. Department of Homeland Security’s “Advisory Memorandum on Identification of Essential Critical Infrastructure Workers During COVID-19 Response” which federally designates the Company as an essential business or “critical infrastructure” company that can maintain operations during the ongoing pandemic. As mentioned above, the Company’s largest domestic dredging customer is the Corps; the Corps oversees the majority of these critical infrastructure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17" w:name="page18"/>
    <w:bookmarkEnd w:id="17"/>
    <w:p>
      <w:pPr>
        <w:ind w:right="300"/>
        <w:spacing w:after="0" w:line="331" w:lineRule="auto"/>
        <w:rPr>
          <w:sz w:val="20"/>
          <w:szCs w:val="20"/>
          <w:color w:val="auto"/>
        </w:rPr>
      </w:pPr>
      <w:r>
        <w:rPr>
          <w:rFonts w:ascii="Arial" w:cs="Arial" w:eastAsia="Arial" w:hAnsi="Arial"/>
          <w:sz w:val="15"/>
          <w:szCs w:val="15"/>
          <w:color w:val="auto"/>
        </w:rPr>
        <w:t>projects and, in this capacity, has continued to follow their bid schedule and prioritize all types of dredging including port maintenance and expansion and coastal protection projects that are necessary to avoid potential storm damage during the current hurricane season. Despite the uncertainty surrounding COVID-19, to date, the Corps is continuing to advertise new projects and the Company’s project work is largely uninterrupted.</w:t>
      </w:r>
    </w:p>
    <w:p>
      <w:pPr>
        <w:spacing w:after="0" w:line="136"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Senior management regularly meets to update contingency plans and address the challenges related to maintaining operations in this evolving economic environment. The Company’s primary focus has been the health and safety of its employees. The Company has implemented new paid leave policies and additional sanitary and safety measures to mitigate the risk of infection to employees. On vessels and job sites, the Company has instituted fewer employee shift changes and increased sanitary and social distancing measures. Although we have had crew members on certain of our vessels contract COVID-19, such instances have not to date had a material impact on our business. Since March, the Company’s corporate employees have effectively transitioned to a remote working environment and have discontinued non-essential travel to follow recommended physical and social distancing guidelines in order to reduce the risk of infection. The Company is following the protocols published by the U.S. Centers for Disease Control and Prevention, the World Health Organization and state and local governments. As the Company’s employees, customers and communities are facing significant challenges, the Company cannot predict how COVID-19 will evolve or the impact it, or actions taken to contain it, will have on future results. As of September 30, 2020, the Company’s business has not been significantly impacted by COVID-19, but the Company will be continually evaluating safety and operational contingency plans and the impact that this evolving environment has on the Company’s business and operations.</w:t>
      </w:r>
    </w:p>
    <w:p>
      <w:pPr>
        <w:spacing w:after="0" w:line="372"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The Company has seen support for the dredging industry in the 2021 House Appropriations Bill, introduced in July 2020, which showed an increase of $1.7 billion above the President’s budget request for the Corps. Although the appropriations bill was not passed before the close of the U.S. federal government’s fiscal year, this is not unusual, and as a result, the Corps is working under temporary funding, also known as a Continuing Resolution, to continue their work with minimal impacts to the marketplace. The Water Resource Development Act bill (WRDA), which authorizes new projects and makes policy changes that will make natural infrastructure and beneficial use of dredged material more common, has progressed but is pending until after the 2020 U.S. general election. The campaigns for each presidential candidate in the 2020 U.S. general election have been positive on issues in the industry as both candidates have indicated support for the Jones Act as well as continued major investments in infrastructure including ports and dredging.</w:t>
      </w:r>
    </w:p>
    <w:p>
      <w:pPr>
        <w:spacing w:after="0" w:line="155"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During the second quarter of 2019, the Company entered into an agreement and completed the sale of its historical environmental &amp; infrastructure business. The historical environmental &amp; infrastructure segment has been retrospectively presented as discontinued operations. Refer to Note 9, Business dispositions, to our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segment which is also the Company’s one reportable segment and reporting unit.</w:t>
      </w:r>
    </w:p>
    <w:p>
      <w:pPr>
        <w:spacing w:after="0" w:line="218"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The Company’s vessels are subject to periodic dry dock inspections to verify that the vessels have been maintained in accordance with the rules of the U.S. Coast Guard and the American Bureau of Shipping (“ABS”) and that recommended repairs have been satisfactorily completed. Dry dock frequency is a statutory requirement mandated by the U.S. Coast Guard and the ABS. The Company’s vessels dry-dock every two to three years or every five years, depending on the vessel type and also on an as-needed basis for occasional unscheduled repairs. As expected, the Company completed several dry dock inspections in the third quarter of 2020 and returned those vessels to service in the fourth quarter. Additionally, some vessels remained in dry dock at quarter end with the expectation of returning to work in the fourth quarter.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2"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The following tables set forth the components of net income and Adjusted EBITDA from continuing operations, as defined below, as a percentage of contract revenues for the three and nine months ended September 30, 2020 and 2019:</w:t>
      </w:r>
    </w:p>
    <w:p>
      <w:pPr>
        <w:spacing w:after="0" w:line="248"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2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22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21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3"/>
        </w:trPr>
        <w:tc>
          <w:tcPr>
            <w:tcW w:w="5160" w:type="dxa"/>
            <w:vAlign w:val="bottom"/>
            <w:vMerge w:val="restart"/>
          </w:tcPr>
          <w:p>
            <w:pPr>
              <w:spacing w:after="0"/>
              <w:rPr>
                <w:sz w:val="20"/>
                <w:szCs w:val="20"/>
                <w:color w:val="auto"/>
              </w:rPr>
            </w:pPr>
            <w:r>
              <w:rPr>
                <w:rFonts w:ascii="Arial" w:cs="Arial" w:eastAsia="Arial" w:hAnsi="Arial"/>
                <w:sz w:val="18"/>
                <w:szCs w:val="18"/>
                <w:color w:val="auto"/>
              </w:rPr>
              <w:t>Contract revenues</w:t>
            </w:r>
          </w:p>
        </w:tc>
        <w:tc>
          <w:tcPr>
            <w:tcW w:w="880" w:type="dxa"/>
            <w:vAlign w:val="bottom"/>
            <w:tcBorders>
              <w:top w:val="single" w:sz="8" w:color="auto"/>
              <w:bottom w:val="single" w:sz="8" w:color="auto"/>
            </w:tcBorders>
          </w:tcPr>
          <w:p>
            <w:pPr>
              <w:jc w:val="right"/>
              <w:ind w:right="234"/>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93"/>
              <w:spacing w:after="0" w:line="153"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194"/>
              <w:spacing w:after="0" w:line="153"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13"/>
              <w:spacing w:after="0" w:line="153"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5160" w:type="dxa"/>
            <w:vAlign w:val="bottom"/>
            <w:vMerge w:val="continue"/>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Costs of contract revenues</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(79.3)</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(81.2)</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(75.4)</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8"/>
        </w:trPr>
        <w:tc>
          <w:tcPr>
            <w:tcW w:w="5160" w:type="dxa"/>
            <w:vAlign w:val="bottom"/>
          </w:tcPr>
          <w:p>
            <w:pPr>
              <w:ind w:left="240"/>
              <w:spacing w:after="0"/>
              <w:rPr>
                <w:sz w:val="20"/>
                <w:szCs w:val="20"/>
                <w:color w:val="auto"/>
              </w:rPr>
            </w:pPr>
            <w:r>
              <w:rPr>
                <w:rFonts w:ascii="Arial" w:cs="Arial" w:eastAsia="Arial" w:hAnsi="Arial"/>
                <w:sz w:val="18"/>
                <w:szCs w:val="18"/>
                <w:color w:val="auto"/>
              </w:rPr>
              <w:t>Gross profit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Pr>
          <w:p>
            <w:pPr>
              <w:spacing w:after="0"/>
              <w:rPr>
                <w:sz w:val="20"/>
                <w:szCs w:val="20"/>
                <w:color w:val="auto"/>
              </w:rPr>
            </w:pPr>
            <w:r>
              <w:rPr>
                <w:rFonts w:ascii="Arial" w:cs="Arial" w:eastAsia="Arial" w:hAnsi="Arial"/>
                <w:sz w:val="18"/>
                <w:szCs w:val="18"/>
                <w:color w:val="auto"/>
              </w:rPr>
              <w:t>Proceeds from loss of use claim</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 of assets—net</w:t>
            </w: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expense—net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5"/>
        </w:trPr>
        <w:tc>
          <w:tcPr>
            <w:tcW w:w="5160" w:type="dxa"/>
            <w:vAlign w:val="bottom"/>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continuing operations before income taxes</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Pr>
          <w:p>
            <w:pPr>
              <w:spacing w:after="0"/>
              <w:rPr>
                <w:sz w:val="20"/>
                <w:szCs w:val="20"/>
                <w:color w:val="auto"/>
              </w:rPr>
            </w:pPr>
            <w:r>
              <w:rPr>
                <w:rFonts w:ascii="Arial" w:cs="Arial" w:eastAsia="Arial" w:hAnsi="Arial"/>
                <w:sz w:val="18"/>
                <w:szCs w:val="18"/>
                <w:color w:val="auto"/>
              </w:rPr>
              <w:t>Income tax provision</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0"/>
        </w:trPr>
        <w:tc>
          <w:tcPr>
            <w:tcW w:w="51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from continuing operations</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160" w:type="dxa"/>
            <w:vAlign w:val="bottom"/>
          </w:tcPr>
          <w:p>
            <w:pPr>
              <w:ind w:left="240"/>
              <w:spacing w:after="0"/>
              <w:rPr>
                <w:sz w:val="20"/>
                <w:szCs w:val="20"/>
                <w:color w:val="auto"/>
              </w:rPr>
            </w:pPr>
            <w:r>
              <w:rPr>
                <w:rFonts w:ascii="Arial" w:cs="Arial" w:eastAsia="Arial" w:hAnsi="Arial"/>
                <w:sz w:val="18"/>
                <w:szCs w:val="18"/>
                <w:color w:val="auto"/>
              </w:rPr>
              <w:t>Loss from discontinued operations, net of income taxes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9"/>
        </w:trPr>
        <w:tc>
          <w:tcPr>
            <w:tcW w:w="51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160" w:type="dxa"/>
            <w:vAlign w:val="bottom"/>
            <w:tcBorders>
              <w:bottom w:val="single" w:sz="8" w:color="CFF0FC"/>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from continuing operations</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18.3%</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16.0%</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21.7%</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Adjusted EBITDA from continuing operations, as provided herein, represents net income (loss) from continuing operations,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from continuing operations as an additional measure by which to evaluate the Company’s operating trends. The Company believes that Adjusted EBITDA from continuing operations is a measure frequently used to evaluate performance of companies with substantial leverage and that the Company’s primary stakeholders (i.e., its stockholders, bondholders and banks) use Adjusted EBITDA from continuing operations to evaluate the Company’s period to period performance. Additionally, management believes that Adjusted EBITDA from continuing operations provides a transparent measure of the Company’s recurring operating performance and allows management and investors to readily view operating trends, perform analytical comparisons and identify strategies to improve operating performance. For this reason, the Company uses a measure based upon Adjusted EBITDA from continuing operations to assess performance for purposes of determining compensation under the Company’s incentive plan. Adjusted EBITDA from continuing operations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from continuing operations,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interest and income tax expense and the associated significant cash requirements and the exclusion of depreciation and amortization, which represent significant and unavoidable operating costs given the level of indebtedness and capital expenditures needed to maintain the Company’s business. For these reasons, the Company uses operating income to measure the Company’s operating performance and uses Adjusted EBITDA from continuing operations only as a supplement. The following is a reconciliation of Adjusted EBITDA from continuing operations to net income (loss):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center"/>
              <w:ind w:right="174"/>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Nine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left="378"/>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gridSpan w:val="2"/>
            <w:vMerge w:val="restart"/>
          </w:tcPr>
          <w:p>
            <w:pPr>
              <w:ind w:left="580"/>
              <w:spacing w:after="0"/>
              <w:rPr>
                <w:sz w:val="20"/>
                <w:szCs w:val="20"/>
                <w:color w:val="auto"/>
              </w:rPr>
            </w:pPr>
            <w:r>
              <w:rPr>
                <w:rFonts w:ascii="Arial" w:cs="Arial" w:eastAsia="Arial" w:hAnsi="Arial"/>
                <w:sz w:val="14"/>
                <w:szCs w:val="14"/>
                <w:color w:val="auto"/>
              </w:rPr>
              <w:t>(in thousands)</w:t>
            </w:r>
          </w:p>
        </w:tc>
        <w:tc>
          <w:tcPr>
            <w:tcW w:w="1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70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Income from continuing operations</w:t>
            </w:r>
          </w:p>
        </w:tc>
        <w:tc>
          <w:tcPr>
            <w:tcW w:w="1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12,547</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8,811</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55,494</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40,856</w:t>
            </w:r>
          </w:p>
        </w:tc>
        <w:tc>
          <w:tcPr>
            <w:tcW w:w="8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gridSpan w:val="2"/>
          </w:tcPr>
          <w:p>
            <w:pPr>
              <w:ind w:left="580"/>
              <w:spacing w:after="0"/>
              <w:rPr>
                <w:sz w:val="20"/>
                <w:szCs w:val="20"/>
                <w:color w:val="auto"/>
              </w:rPr>
            </w:pPr>
            <w:r>
              <w:rPr>
                <w:rFonts w:ascii="Arial" w:cs="Arial" w:eastAsia="Arial" w:hAnsi="Arial"/>
                <w:sz w:val="18"/>
                <w:szCs w:val="18"/>
                <w:color w:val="auto"/>
              </w:rPr>
              <w:t>Adjusted for:</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expense—net</w:t>
            </w:r>
          </w:p>
        </w:tc>
        <w:tc>
          <w:tcPr>
            <w:tcW w:w="1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20,074</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21,074</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4,076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18,517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14,280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Depreciation and amortization</w:t>
            </w:r>
          </w:p>
        </w:tc>
        <w:tc>
          <w:tcPr>
            <w:tcW w:w="1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8,877</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8,771</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27,584</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26,772</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700" w:type="dxa"/>
            <w:vAlign w:val="bottom"/>
            <w:gridSpan w:val="2"/>
          </w:tcPr>
          <w:p>
            <w:pPr>
              <w:ind w:left="580"/>
              <w:spacing w:after="0"/>
              <w:rPr>
                <w:sz w:val="20"/>
                <w:szCs w:val="20"/>
                <w:color w:val="auto"/>
              </w:rPr>
            </w:pPr>
            <w:r>
              <w:rPr>
                <w:rFonts w:ascii="Arial" w:cs="Arial" w:eastAsia="Arial" w:hAnsi="Arial"/>
                <w:sz w:val="18"/>
                <w:szCs w:val="18"/>
                <w:color w:val="auto"/>
              </w:rPr>
              <w:t>Adjusted EBITDA from continuing operations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32,219</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27,121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121,669</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102,982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7"/>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58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82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Company’s contract revenues by type of work, for the periods indicated, were as follows:</w:t>
      </w:r>
    </w:p>
    <w:p>
      <w:pPr>
        <w:spacing w:after="0" w:line="28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center"/>
              <w:ind w:left="396"/>
              <w:spacing w:after="0"/>
              <w:rPr>
                <w:sz w:val="20"/>
                <w:szCs w:val="20"/>
                <w:color w:val="auto"/>
              </w:rPr>
            </w:pPr>
            <w:r>
              <w:rPr>
                <w:rFonts w:ascii="Arial" w:cs="Arial" w:eastAsia="Arial" w:hAnsi="Arial"/>
                <w:sz w:val="14"/>
                <w:szCs w:val="14"/>
                <w:b w:val="1"/>
                <w:bCs w:val="1"/>
                <w:color w:val="auto"/>
                <w:w w:val="93"/>
              </w:rPr>
              <w:t>Three Months Ended</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5"/>
          </w:tcPr>
          <w:p>
            <w:pPr>
              <w:jc w:val="center"/>
              <w:ind w:left="516"/>
              <w:spacing w:after="0"/>
              <w:rPr>
                <w:sz w:val="20"/>
                <w:szCs w:val="20"/>
                <w:color w:val="auto"/>
              </w:rPr>
            </w:pPr>
            <w:r>
              <w:rPr>
                <w:rFonts w:ascii="Arial" w:cs="Arial" w:eastAsia="Arial" w:hAnsi="Arial"/>
                <w:sz w:val="14"/>
                <w:szCs w:val="14"/>
                <w:b w:val="1"/>
                <w:bCs w:val="1"/>
                <w:color w:val="auto"/>
                <w:w w:val="93"/>
              </w:rPr>
              <w:t>Nine Months Ended</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Revenues (in thousands)</w:t>
            </w:r>
          </w:p>
        </w:tc>
        <w:tc>
          <w:tcPr>
            <w:tcW w:w="1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89"/>
              </w:rPr>
              <w:t>September 30,</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89"/>
              </w:rPr>
              <w:t>September 30,</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34"/>
              <w:spacing w:after="0" w:line="153"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3"/>
                <w:szCs w:val="13"/>
                <w:color w:val="auto"/>
              </w:rPr>
            </w:pPr>
          </w:p>
        </w:tc>
        <w:tc>
          <w:tcPr>
            <w:tcW w:w="74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2020</w:t>
            </w:r>
          </w:p>
        </w:tc>
        <w:tc>
          <w:tcPr>
            <w:tcW w:w="900" w:type="dxa"/>
            <w:vAlign w:val="bottom"/>
            <w:gridSpan w:val="2"/>
          </w:tcPr>
          <w:p>
            <w:pPr>
              <w:jc w:val="center"/>
              <w:ind w:left="56"/>
              <w:spacing w:after="0" w:line="153"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Dredging:</w:t>
            </w:r>
          </w:p>
        </w:tc>
        <w:tc>
          <w:tcPr>
            <w:tcW w:w="10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60" w:type="dxa"/>
            <w:vAlign w:val="bottom"/>
          </w:tcPr>
          <w:p>
            <w:pPr>
              <w:ind w:left="240"/>
              <w:spacing w:after="0"/>
              <w:rPr>
                <w:sz w:val="20"/>
                <w:szCs w:val="20"/>
                <w:color w:val="auto"/>
              </w:rPr>
            </w:pPr>
            <w:r>
              <w:rPr>
                <w:rFonts w:ascii="Arial" w:cs="Arial" w:eastAsia="Arial" w:hAnsi="Arial"/>
                <w:sz w:val="18"/>
                <w:szCs w:val="18"/>
                <w:color w:val="auto"/>
              </w:rPr>
              <w:t>Capital—U.S.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98,194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62,518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$ 245,183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$ 214,668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6"/>
        </w:trPr>
        <w:tc>
          <w:tcPr>
            <w:tcW w:w="2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Capital—foreign</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(22.0)%</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20,630</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39,523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5"/>
        </w:trPr>
        <w:tc>
          <w:tcPr>
            <w:tcW w:w="2560" w:type="dxa"/>
            <w:vAlign w:val="bottom"/>
          </w:tcPr>
          <w:p>
            <w:pPr>
              <w:ind w:left="240"/>
              <w:spacing w:after="0"/>
              <w:rPr>
                <w:sz w:val="20"/>
                <w:szCs w:val="20"/>
                <w:color w:val="auto"/>
              </w:rPr>
            </w:pPr>
            <w:r>
              <w:rPr>
                <w:rFonts w:ascii="Arial" w:cs="Arial" w:eastAsia="Arial" w:hAnsi="Arial"/>
                <w:sz w:val="18"/>
                <w:szCs w:val="18"/>
                <w:color w:val="auto"/>
              </w:rPr>
              <w:t>Coastal protection</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29,780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740" w:type="dxa"/>
            <w:vAlign w:val="bottom"/>
          </w:tcPr>
          <w:p>
            <w:pPr>
              <w:jc w:val="right"/>
              <w:spacing w:after="0"/>
              <w:rPr>
                <w:sz w:val="20"/>
                <w:szCs w:val="20"/>
                <w:color w:val="auto"/>
              </w:rPr>
            </w:pPr>
            <w:r>
              <w:rPr>
                <w:rFonts w:ascii="Arial" w:cs="Arial" w:eastAsia="Arial" w:hAnsi="Arial"/>
                <w:sz w:val="18"/>
                <w:szCs w:val="18"/>
                <w:color w:val="auto"/>
              </w:rPr>
              <w:t>165,668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133,897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6"/>
        </w:trPr>
        <w:tc>
          <w:tcPr>
            <w:tcW w:w="2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Maintenance</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11.2%</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117,806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89,911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5"/>
        </w:trPr>
        <w:tc>
          <w:tcPr>
            <w:tcW w:w="2560" w:type="dxa"/>
            <w:vAlign w:val="bottom"/>
          </w:tcPr>
          <w:p>
            <w:pPr>
              <w:ind w:left="240"/>
              <w:spacing w:after="0"/>
              <w:rPr>
                <w:sz w:val="20"/>
                <w:szCs w:val="20"/>
                <w:color w:val="auto"/>
              </w:rPr>
            </w:pPr>
            <w:r>
              <w:rPr>
                <w:rFonts w:ascii="Arial" w:cs="Arial" w:eastAsia="Arial" w:hAnsi="Arial"/>
                <w:sz w:val="18"/>
                <w:szCs w:val="18"/>
                <w:color w:val="auto"/>
              </w:rPr>
              <w:t>Rivers &amp; lakes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c>
          <w:tcPr>
            <w:tcW w:w="740" w:type="dxa"/>
            <w:vAlign w:val="bottom"/>
          </w:tcPr>
          <w:p>
            <w:pPr>
              <w:jc w:val="right"/>
              <w:spacing w:after="0"/>
              <w:rPr>
                <w:sz w:val="20"/>
                <w:szCs w:val="20"/>
                <w:color w:val="auto"/>
              </w:rPr>
            </w:pPr>
            <w:r>
              <w:rPr>
                <w:rFonts w:ascii="Arial" w:cs="Arial" w:eastAsia="Arial" w:hAnsi="Arial"/>
                <w:sz w:val="18"/>
                <w:szCs w:val="18"/>
                <w:color w:val="auto"/>
              </w:rPr>
              <w:t>12,169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69,224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0"/>
        </w:trPr>
        <w:tc>
          <w:tcPr>
            <w:tcW w:w="2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56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175,841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169,775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3.6%</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$ 561,456</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$ 547,223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Total revenue was $175.8 million for the three months ended September 30, 2020, up $6.0 million, or 4%, from $169.8 million for the same period in the prior year. For the three months ended September 30, 2020, the Company experienced an increase in domestic capital and maintenance revenues as compared to the same period in the prior year. This increase was partially offset by a decrease in coastal protection, rivers &amp; lakes and foreign capital revenues during the current period as compared to the same period in the prior year. For the nine months ended September 30, 2020, total revenue was $561.5 million, up from revenue of $547.2 million for the same period in the prior year, representing an increase of $14.3 million or 3%. For the nine months ended September 30, 2020, the Company experienced an increase in domestic capital, coastal protection and maintenance revenues as compared to the same period in the prior year. This increase was partially offset by a decrease in rivers &amp; lakes and foreign capital revenues during the current period as compared to the same period in the prior year.</w:t>
      </w:r>
    </w:p>
    <w:p>
      <w:pPr>
        <w:spacing w:after="0" w:line="186" w:lineRule="exact"/>
        <w:rPr>
          <w:sz w:val="20"/>
          <w:szCs w:val="20"/>
          <w:color w:val="auto"/>
        </w:rPr>
      </w:pPr>
    </w:p>
    <w:p>
      <w:pPr>
        <w:ind w:right="80"/>
        <w:spacing w:after="0" w:line="302" w:lineRule="auto"/>
        <w:rPr>
          <w:sz w:val="20"/>
          <w:szCs w:val="20"/>
          <w:color w:val="auto"/>
        </w:rPr>
      </w:pPr>
      <w:r>
        <w:rPr>
          <w:rFonts w:ascii="Arial" w:cs="Arial" w:eastAsia="Arial" w:hAnsi="Arial"/>
          <w:sz w:val="15"/>
          <w:szCs w:val="15"/>
          <w:color w:val="auto"/>
        </w:rPr>
        <w:t>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For the quarter ended September 30, 2020, domestic capital dredging revenue was $98.2 million, up $35.7 million, or 57%, compared to $62.5 million for the same period in 2019. For the three months ended September 30, 2020, the increase in domestic capital dredging revenue was primarily driven by a greater amount of revenue earned on the deepening projects in Charleston and Jacksonville and a coastal restoration project in Mississippi in the current year when compared to the prior year period. This increase was partially offset by a greater amount of revenue earned on a deepening project in Corpus Christi during the prior year period as compared to the current year. For the nine months ended September 30, 2020, domestic capital dredging revenue was $245.2 million compared to $214.7 million for the same period in 2019, representing an increase of $30.5 million, or 14%. For the nine months ended September 30, 2020, the higher domestic capital dredging revenue was primarily driven by greater revenue earned from deepening projects in Charleston and Jacksonville and a coastal restoration project in Mississippi in the current year when compared to the prior year period. This increase was partially offset by a greater amount of revenue earned on deepening projects in Tampa, Corpus Christi and on the Delaware River during the same period in the prior year.</w:t>
      </w:r>
    </w:p>
    <w:p>
      <w:pPr>
        <w:spacing w:after="0" w:line="15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Foreign capital projects typically involve land reclamations, channel deepening and port infrastructure development. In the third quarter of 2020, foreign capital revenue was $9.8 million, down $2.8 million, or 22%, as compared to $12.6 million in the same quarter in the prior year. Foreign capital revenue for the nine months ended September 30, 2020 was $20.6 million which is $18.9 million, or 48%, lower than revenue of $39.5 million for the same period of the prior year. The decrease in revenue for the three and nine months ended September 30, 2020 was driven by a decrease in revenue earned on a project in Bahrain that commenced during the first quarter of 2019.</w:t>
      </w:r>
    </w:p>
    <w:p>
      <w:pPr>
        <w:spacing w:after="0" w:line="193"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Coastal protection projects involve moving sand from the ocean floor to shoreline locations where erosion threatens shoreline assets. Coastal protection revenue for the quarter ended September 30, 2020 was $29.8 million, a decrease of $12.2 million, or 29%, compared to $42.0 million in the prior year period. The decrease in coastal protection revenues for the three months ended September 30, 2020 was mostly attributable to a greater amount of revenue earned on projects in North Carolina and Virginia in the prior year period when compared to the current year. This decrease was partially offset by revenue earned on projects in New Jersey in the current year. Coastal protection revenue for the nine months ended September 30, 2020 was $165.7 million, representing an increase of $31.8 million or 24%, from $133.9 million for the nine months ended September 30, 2019. The increase in coastal protection revenue for the nine months ended September 30, 2020 was mostly attributable to a greater amount of revenue earned on projects in Florida, Virginia and Georgia in the current year as compared to the same period in the prior year. This increase was partially offset by a greater amount of revenue earned on projects in North and South Carolina during the same period in the prior year when compared to the current year.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20" w:name="page21"/>
    <w:bookmarkEnd w:id="20"/>
    <w:p>
      <w:pPr>
        <w:ind w:right="40"/>
        <w:spacing w:after="0" w:line="303" w:lineRule="auto"/>
        <w:rPr>
          <w:sz w:val="20"/>
          <w:szCs w:val="20"/>
          <w:color w:val="auto"/>
        </w:rPr>
      </w:pPr>
      <w:r>
        <w:rPr>
          <w:rFonts w:ascii="Arial" w:cs="Arial" w:eastAsia="Arial" w:hAnsi="Arial"/>
          <w:sz w:val="15"/>
          <w:szCs w:val="15"/>
          <w:color w:val="auto"/>
        </w:rPr>
        <w:t>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navigability is to be maintained. In addition, severe weather such as hurricanes, flooding and droughts can also cause the accumulation of sediments and drive the need for maintenance dredging. Maintenance revenue for the third quarter of 2020 was $33.5 million, up $3.4 million, or 11%, from $30.1 million in the third quarter of 2019. The increase in maintenance revenues for the three months ended September 30, 2020 was mostly attributable to a greater amount of revenue earned on projects in Maryland, New Jersey and Virginia. This increase was partially offset by revenue earned on a project in North Carolina and Texas in the prior year and revenue on a project in South Carolina that did not repeat during the current year. Maintenance revenue for the nine months ended September 30, 2020 was $117.8 million, an increase of $27.9 million, or 31%, compared to $89.9 million for the comparable period in the prior year. The increase in maintenance dredging revenue for the nine months ended September 30, 2020 was mostly attributable to revenue earned on projects in Maryland and Virginia. This increase was partially offset by greater revenue earned on projects in Texas and South Carolina in the prior year when compared to the current year.</w:t>
      </w:r>
    </w:p>
    <w:p>
      <w:pPr>
        <w:spacing w:after="0" w:line="37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Rivers &amp; lakes dredging and related operations typically consist of lake and river dredging, inland levee and construction dredging, environmental restoration and habitat improvement and other marine construction projects. During the third quarter of 2020, rivers &amp; lakes revenue was $4.6 million, a decrease of $18.1 million, or 80%, from $22.7 million during the same period of 2019. Rivers &amp; lakes revenue for the nine months ended September 30, 2020 was $12.2 million, down $57.0 million, or 82%, from $69.2 million for the same period in the prior year. The decrease in rivers &amp; lakes revenue for the three and nine months ended September 30, 2020 was mostly attributable to a greater amount of revenue earned during the prior year periods on a large flood mitigation project in Texas as a result of Hurricane Harvey, as well as a project in Louisiana, when compared to the current year. This decrease was partially offset by revenue earned on a project in Mississippi in the current year.</w:t>
      </w:r>
    </w:p>
    <w:p>
      <w:pPr>
        <w:spacing w:after="0" w:line="183"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Consolidated gross profit for the quarter ended September 30, 2020 was $36.4 million, up $4.6 million, or 14% compared to $31.8 million in the same quarter of 2019. Gross profit margin for the three months ended September 30, 2020 was 20.7% compared to 18.7% in the third quarter of 2019. The higher gross profit experienced for the three months ended September 30, 2020 was driven by an increase in profitability of the Company’s domestic capital dredging projects in the quarter when compared to the same period in the prior year. This increase in domestic capital dredging profitability was offset by higher gross profit in the foreign capital, coastal protection, maintenance and rivers and lakes dredging projects during the same period in the prior year. Consolidated gross profit for the nine months ended September 30, 2020 was $137.8 million, up $18.6 million, or 16%, compared to $119.2 million in the same period of the prior year. Gross profit margin for the nine months ended September 30, 2020 was up to 24.5% from 21.8% in the nine months ended September 30, 2019. The higher gross profit experienced for the nine months ended September 30, 2020 was driven by an increase in the profitability of the Company’s domestic capital, coastal protection and foreign capital dredging projects in the current year. This increase in profitability was partially offset by higher gross profit results in the maintenance and rivers and lakes dredging projects during the same period in the prior year.</w:t>
      </w:r>
    </w:p>
    <w:p>
      <w:pPr>
        <w:spacing w:after="0" w:line="160"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During the three and nine months ended September 30, 2020, general and administrative expenses were $14.9 million and $45.3 million, respectively, compared to the same periods in prior year in which the three and nine months totaled $13.5 million and $42.9 million, respectively. General and administrative expenses increased by $1.4 million and $2.4 million for the three and nine months ended September 30, 2020, respectively, compared to the same periods of the prior year. The increase in general and administrative expenses for the quarter was due to increased office rental expense and technical, consulting and office expenses, partially offset by decreased incentive pay. The increase in general and administrative expenses for the nine months ended September 30, 2020 over the same period in the prior year was driven by an increase in relocation, legal and office rental expenses, partially offset by a decrease in employee benefits.</w:t>
      </w:r>
    </w:p>
    <w:p>
      <w:pPr>
        <w:spacing w:after="0" w:line="183"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Operating income for the third quarter of 2020 was $23.2 million, up $4.8 million compared to operating income of $18.4 million for the same quarter in 2019. The increase in operating income for the third quarter of 2020 was a result of higher gross profit in the current year when compared to the same period in the prior year. Proceeds from a loss of use claim of $1.7 million in the quarter contributed to the increase in the current year. This increase was partially offset by an increase in general and administrative expenses, as described above. Operating income for the nine months ended September 30, 2020 was $94.5 million, up $18.6 million from operating income of $75.9 million in the same prior year period. The increase in operating income for the nine months ended September 30, 2020 was a result of higher gross profit, as described above, an increase of $0.5 million in gain on sale of assets and the proceeds of a loss of use claim of $1.7 million. This increase was partially offset by higher general and administrative expense compared to the same period in the prior year, as described above.</w:t>
      </w:r>
    </w:p>
    <w:p>
      <w:pPr>
        <w:spacing w:after="0" w:line="18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the three months ended September 30, 2020, net interest expense was $6.7 million, up $0.4 million, or 6%, from $6.3 million for the same period in the prior year. The increase in interest expense for the three months ended September 30, 2020 was attributable to a decrease of $0.5 million in interest income partially offset by $0.1 million of capitalized interest in the current year when compared to the same period in the prior year. Net interest expense for the nine months ended September 30, 2020 was $20.1 million, down $1.0</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1" w:name="page22"/>
    <w:bookmarkEnd w:id="21"/>
    <w:p>
      <w:pPr>
        <w:ind w:right="40"/>
        <w:spacing w:after="0" w:line="319" w:lineRule="auto"/>
        <w:rPr>
          <w:sz w:val="20"/>
          <w:szCs w:val="20"/>
          <w:color w:val="auto"/>
        </w:rPr>
      </w:pPr>
      <w:r>
        <w:rPr>
          <w:rFonts w:ascii="Arial" w:cs="Arial" w:eastAsia="Arial" w:hAnsi="Arial"/>
          <w:sz w:val="15"/>
          <w:szCs w:val="15"/>
          <w:color w:val="auto"/>
        </w:rPr>
        <w:t>million, or 5%, from interest expense of $21.1 million for the same period in the prior year. The decrease in interest expense for the nine months ended September 30, 2020 was attributable to a decrease of $0.5 million in extinguishment of debt and $0.6 million of amortization of deferred financing fees when compared to the prior year period. Additionally, $0.3 million of capitalized interest contributed to the decrease in the current year when compared to the prior year. These decreases were offset by a $0.6 million decrease in interest income when comparing the current year to the same period in the prior year.</w:t>
      </w:r>
    </w:p>
    <w:p>
      <w:pPr>
        <w:spacing w:after="0" w:line="1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Income tax provision for the three months ended September 30, 2020 was $4.1 million compared to an income tax provision of $3.2 million for the same period in the prior year. For the nine months ended September 30, 2020 and 2019, the Company had an income tax provision of $18.5 million and an income tax provision of $14.3 million, respectively. The effective tax rate for the nine months ended September 30, 2020 was 25.0%, mostly in line with the effective tax rate of 25.9% for the same period of 2019.</w:t>
      </w:r>
    </w:p>
    <w:p>
      <w:pPr>
        <w:spacing w:after="0" w:line="19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Net income from continuing operations for the quarter ended September 30, 2020 was $12.5 million, up $3.7 million, or 42%, from $8.8 million in the same quarter in the prior year. Diluted earnings per share attributable to continuing operations was $0.19 for the three months ended September 30, 2020, compared to $0.14 for the three months ended September 30, 2019. The increase in net income from continuing operations for the three months ended September 30, 2020 was driven by the increase in gross profit, as described above, and the proceeds from a loss of use claim of $1.7 million. This increase was partially offset by an increase of interest expense and general and administrative expenses, as described above, and a $0.9 million increase in income tax provision during the current year when compared to the same period in the prior year. Net income from continuing operations for the nine months ended September 30, 2020 was $55.5 million, up $14.6 million, or 36%, from $40.9 million for the same period in the prior year. Diluted earnings per share attributable to continuing operations were $0.84 and $0.63 for the nine months ended September 30, 2020 and 2019, respectively. The increase in net income from continuing operations for the nine months ended September 30, 2020 was driven by the increase to gross profit, as described above, proceeds of a loss of use claim of $1.7 million, decrease of interest expense, as described above, and an increase of $0.5 million in gain on sale of assets. This increase was partially offset by an increase to general and administrative expense, as described above, a $4.2 million increase in income tax provision and an increase to other expense of $0.7 million during the current year when compared to the same period in the prior year.</w:t>
      </w:r>
    </w:p>
    <w:p>
      <w:pPr>
        <w:spacing w:after="0" w:line="375"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Adjusted EBITDA from continuing operations (as defined on page 19) for the quarter ended September 30, 2020 was $32.2 million, up $5.1 million, or 19%, from $27.1 million in the same quarter in the prior year. The increase in Adjusted EBITDA from continuing operations during the third quarter of 2020 was driven by the change in gross profit, excluding depreciation, and the proceeds of the loss of use claim. This increase was offset by an increase of general and administrative expense, as described above, when comparing the current year to the same period in the prior year. For the nine months ended September 30, 2020, Adjusted EBITDA from continuing operations was $121.7 million, up $18.7 million, or 18%, from Adjusted EBITDA from continuing operations of $103.0 million for the same prior year period. The increase in Adjusted EBITDA from continuing operations during the first nine months of 2020 was attributable to higher gross profit, excluding depreciation, as described above and the proceeds from the loss of use claim, when compared to the prior year. These positive factors were partially offset by higher general &amp; administrative expenses, as described above, and $0.7 million of other expense incurred in the current year when compared to the same period in the prior year.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Bidding activity and backlog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by type of work, the Company’s backlog as of the dates indicated:</w:t>
      </w:r>
    </w:p>
    <w:p>
      <w:pPr>
        <w:spacing w:after="0" w:line="286"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4540" w:type="dxa"/>
            <w:vAlign w:val="bottom"/>
          </w:tcPr>
          <w:p>
            <w:pPr>
              <w:spacing w:after="0"/>
              <w:rPr>
                <w:sz w:val="20"/>
                <w:szCs w:val="20"/>
                <w:color w:val="auto"/>
              </w:rPr>
            </w:pPr>
            <w:r>
              <w:rPr>
                <w:rFonts w:ascii="Arial" w:cs="Arial" w:eastAsia="Arial" w:hAnsi="Arial"/>
                <w:sz w:val="14"/>
                <w:szCs w:val="14"/>
                <w:b w:val="1"/>
                <w:bCs w:val="1"/>
                <w:color w:val="auto"/>
              </w:rPr>
              <w:t>Backlog (in thousands)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218"/>
        </w:trPr>
        <w:tc>
          <w:tcPr>
            <w:tcW w:w="4540" w:type="dxa"/>
            <w:vAlign w:val="bottom"/>
          </w:tcPr>
          <w:p>
            <w:pPr>
              <w:spacing w:after="0"/>
              <w:rPr>
                <w:sz w:val="20"/>
                <w:szCs w:val="20"/>
                <w:color w:val="auto"/>
              </w:rPr>
            </w:pPr>
            <w:r>
              <w:rPr>
                <w:rFonts w:ascii="Arial" w:cs="Arial" w:eastAsia="Arial" w:hAnsi="Arial"/>
                <w:sz w:val="18"/>
                <w:szCs w:val="18"/>
                <w:color w:val="auto"/>
              </w:rPr>
              <w:t>Dredging:</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6"/>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 U.S.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411,621</w:t>
            </w:r>
          </w:p>
        </w:tc>
        <w:tc>
          <w:tcPr>
            <w:tcW w:w="380" w:type="dxa"/>
            <w:vAlign w:val="bottom"/>
            <w:gridSpan w:val="2"/>
            <w:shd w:val="clear" w:color="auto" w:fill="CFF0FC"/>
          </w:tcPr>
          <w:p>
            <w:pPr>
              <w:jc w:val="right"/>
              <w:ind w:right="6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410,671</w:t>
            </w:r>
          </w:p>
        </w:tc>
        <w:tc>
          <w:tcPr>
            <w:tcW w:w="80" w:type="dxa"/>
            <w:vAlign w:val="bottom"/>
            <w:shd w:val="clear" w:color="auto" w:fill="CFF0FC"/>
          </w:tcPr>
          <w:p>
            <w:pPr>
              <w:spacing w:after="0"/>
              <w:rPr>
                <w:sz w:val="19"/>
                <w:szCs w:val="19"/>
                <w:color w:val="auto"/>
              </w:rPr>
            </w:pPr>
          </w:p>
        </w:tc>
      </w:tr>
      <w:tr>
        <w:trPr>
          <w:trHeight w:val="225"/>
        </w:trPr>
        <w:tc>
          <w:tcPr>
            <w:tcW w:w="4540" w:type="dxa"/>
            <w:vAlign w:val="bottom"/>
          </w:tcPr>
          <w:p>
            <w:pPr>
              <w:ind w:left="240"/>
              <w:spacing w:after="0"/>
              <w:rPr>
                <w:sz w:val="20"/>
                <w:szCs w:val="20"/>
                <w:color w:val="auto"/>
              </w:rPr>
            </w:pPr>
            <w:r>
              <w:rPr>
                <w:rFonts w:ascii="Arial" w:cs="Arial" w:eastAsia="Arial" w:hAnsi="Arial"/>
                <w:sz w:val="18"/>
                <w:szCs w:val="18"/>
                <w:color w:val="auto"/>
              </w:rPr>
              <w:t>Capital - foreign</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11,050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37,900</w:t>
            </w:r>
          </w:p>
        </w:tc>
        <w:tc>
          <w:tcPr>
            <w:tcW w:w="80" w:type="dxa"/>
            <w:vAlign w:val="bottom"/>
          </w:tcPr>
          <w:p>
            <w:pPr>
              <w:spacing w:after="0"/>
              <w:rPr>
                <w:sz w:val="19"/>
                <w:szCs w:val="19"/>
                <w:color w:val="auto"/>
              </w:rPr>
            </w:pPr>
          </w:p>
        </w:tc>
      </w:tr>
      <w:tr>
        <w:trPr>
          <w:trHeight w:val="226"/>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Coastal protection</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109,374</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126,478</w:t>
            </w:r>
          </w:p>
        </w:tc>
        <w:tc>
          <w:tcPr>
            <w:tcW w:w="80" w:type="dxa"/>
            <w:vAlign w:val="bottom"/>
            <w:shd w:val="clear" w:color="auto" w:fill="CFF0FC"/>
          </w:tcPr>
          <w:p>
            <w:pPr>
              <w:spacing w:after="0"/>
              <w:rPr>
                <w:sz w:val="19"/>
                <w:szCs w:val="19"/>
                <w:color w:val="auto"/>
              </w:rPr>
            </w:pPr>
          </w:p>
        </w:tc>
      </w:tr>
      <w:tr>
        <w:trPr>
          <w:trHeight w:val="225"/>
        </w:trPr>
        <w:tc>
          <w:tcPr>
            <w:tcW w:w="4540" w:type="dxa"/>
            <w:vAlign w:val="bottom"/>
          </w:tcPr>
          <w:p>
            <w:pPr>
              <w:ind w:left="240"/>
              <w:spacing w:after="0"/>
              <w:rPr>
                <w:sz w:val="20"/>
                <w:szCs w:val="20"/>
                <w:color w:val="auto"/>
              </w:rPr>
            </w:pPr>
            <w:r>
              <w:rPr>
                <w:rFonts w:ascii="Arial" w:cs="Arial" w:eastAsia="Arial" w:hAnsi="Arial"/>
                <w:sz w:val="18"/>
                <w:szCs w:val="18"/>
                <w:color w:val="auto"/>
              </w:rPr>
              <w:t>Maintenance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110,879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60,891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62,531</w:t>
            </w:r>
          </w:p>
        </w:tc>
        <w:tc>
          <w:tcPr>
            <w:tcW w:w="80" w:type="dxa"/>
            <w:vAlign w:val="bottom"/>
          </w:tcPr>
          <w:p>
            <w:pPr>
              <w:spacing w:after="0"/>
              <w:rPr>
                <w:sz w:val="19"/>
                <w:szCs w:val="19"/>
                <w:color w:val="auto"/>
              </w:rPr>
            </w:pPr>
          </w:p>
        </w:tc>
      </w:tr>
      <w:tr>
        <w:trPr>
          <w:trHeight w:val="226"/>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Rivers &amp; lakes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18,357</w:t>
            </w:r>
          </w:p>
        </w:tc>
        <w:tc>
          <w:tcPr>
            <w:tcW w:w="1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9,528</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16,153</w:t>
            </w:r>
          </w:p>
        </w:tc>
        <w:tc>
          <w:tcPr>
            <w:tcW w:w="80" w:type="dxa"/>
            <w:vAlign w:val="bottom"/>
            <w:shd w:val="clear" w:color="auto" w:fill="CFF0FC"/>
          </w:tcPr>
          <w:p>
            <w:pPr>
              <w:spacing w:after="0"/>
              <w:rPr>
                <w:sz w:val="19"/>
                <w:szCs w:val="19"/>
                <w:color w:val="auto"/>
              </w:rPr>
            </w:pPr>
          </w:p>
        </w:tc>
      </w:tr>
      <w:tr>
        <w:trPr>
          <w:trHeight w:val="218"/>
        </w:trPr>
        <w:tc>
          <w:tcPr>
            <w:tcW w:w="4540" w:type="dxa"/>
            <w:vAlign w:val="bottom"/>
          </w:tcPr>
          <w:p>
            <w:pPr>
              <w:spacing w:after="0"/>
              <w:rPr>
                <w:sz w:val="20"/>
                <w:szCs w:val="20"/>
                <w:color w:val="auto"/>
              </w:rPr>
            </w:pPr>
            <w:r>
              <w:rPr>
                <w:rFonts w:ascii="Arial" w:cs="Arial" w:eastAsia="Arial" w:hAnsi="Arial"/>
                <w:sz w:val="18"/>
                <w:szCs w:val="18"/>
                <w:color w:val="auto"/>
              </w:rPr>
              <w:t>Total Backlog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661,281</w:t>
            </w:r>
          </w:p>
        </w:tc>
        <w:tc>
          <w:tcPr>
            <w:tcW w:w="38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589,406</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653,733</w:t>
            </w:r>
          </w:p>
        </w:tc>
        <w:tc>
          <w:tcPr>
            <w:tcW w:w="8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72% of the Company’s September 30, 2020 dredging backlog relates to federal government contracts, which can be canceled at any time without penalty to the government, subject to the Company’s contractual right to recover the Company’s actual committed costs and profit on work performed up to the date of cancellation. The Company’s backlog may fluctuate significantly from</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22" w:name="page23"/>
    <w:bookmarkEnd w:id="22"/>
    <w:p>
      <w:pPr>
        <w:ind w:right="220"/>
        <w:spacing w:after="0" w:line="251" w:lineRule="auto"/>
        <w:rPr>
          <w:sz w:val="20"/>
          <w:szCs w:val="20"/>
          <w:color w:val="auto"/>
        </w:rPr>
      </w:pPr>
      <w:r>
        <w:rPr>
          <w:rFonts w:ascii="Arial" w:cs="Arial" w:eastAsia="Arial" w:hAnsi="Arial"/>
          <w:sz w:val="18"/>
          <w:szCs w:val="18"/>
          <w:color w:val="auto"/>
        </w:rPr>
        <w:t>quarter to quarter based upon the type and size of the projects the Company is awarded from the bid market. The Company’s backlog includes only those projects for which the Company has obtained a signed contract with the customer. A quarterly increase or decrease of the Company’s backlog does not necessarily result in an improvement or a deterioration of the Company’s business. As expected, the Company had several dry dock inspections in the third quarter of 2020, with many completing inspection and returned to service in the fourth quarter. Some vessels remained in dry dock at quarter end but are anticipated to be returned to service in the fourth quarter.</w:t>
      </w:r>
    </w:p>
    <w:p>
      <w:pPr>
        <w:spacing w:after="0" w:line="193"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The domestic dredging bid market for the quarter ended September 30, 2020 was $926.9 million, a $91.1 million decrease compared to the same period in the prior year. Total domestic dredging bid market for the current year period included awards for additional phases of the Jacksonville, Charleston and Corpus Christi deepening projects, two coastal restoration projects in Louisiana, maintenance work on the Ohio and Mississippi River, hopper maintenance work on the West Coast and a liquefied natural gas (“LNG”) capital project in Louisiana. The bid market for the nine months ended September 30, 2020 increased compared to the prior year due to a greater amount of domestic capital and rivers and lakes projects let to bid in the current year. This increase in domestic capital and rivers and lakes projects in the current period was partially offset by a greater amount of coastal protection and maintenance projects awarded in the same period in the prior year. For the contracts awarded in the current year, the Company won 57%, or $308.7 million, of domestic capital projects, 68%, or $131.1 million, of the coastal protection projects, 20%, or $158.7 million, of maintenance projects and 100%, or $32.1 million, of rivers &amp; lakes projects through September 30, 2020. The Company won 40% of the overall domestic bid market for the nine months ended September 30, 2020, which is consistent with the Company’s prior three year average of 39%. Variability in contract wins from quarter to quarter is not unusual and one quarter’s win rate is generally not indicative of the win rate the Company is likely to achieve for a full year.</w:t>
      </w:r>
    </w:p>
    <w:p>
      <w:pPr>
        <w:spacing w:after="0" w:line="372" w:lineRule="exact"/>
        <w:rPr>
          <w:sz w:val="20"/>
          <w:szCs w:val="20"/>
          <w:color w:val="auto"/>
        </w:rPr>
      </w:pPr>
    </w:p>
    <w:p>
      <w:pPr>
        <w:ind w:right="60"/>
        <w:spacing w:after="0" w:line="331" w:lineRule="auto"/>
        <w:rPr>
          <w:sz w:val="20"/>
          <w:szCs w:val="20"/>
          <w:color w:val="auto"/>
        </w:rPr>
      </w:pPr>
      <w:r>
        <w:rPr>
          <w:rFonts w:ascii="Arial" w:cs="Arial" w:eastAsia="Arial" w:hAnsi="Arial"/>
          <w:sz w:val="15"/>
          <w:szCs w:val="15"/>
          <w:color w:val="auto"/>
        </w:rPr>
        <w:t>The Company’s contracted dredging backlog was $661.3 million at September 30, 2020 compared to $589.4 million of backlog at December 31, 2019. These amounts do not reflect approximately $177.9 million of domestic low bids pending formal award and additional phases (“options”) pending on projects currently in backlog at September 30, 2020. At December 31, 2019 the amount of domestic low bids and options pending award was $201.3 million.</w:t>
      </w:r>
    </w:p>
    <w:p>
      <w:pPr>
        <w:spacing w:after="0" w:line="136"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Domestic capital dredging backlog at September 30, 2020 was $64.2 million higher than at December 31, 2019. In the nine months ended September 30, 2020, the Company was awarded an additional phase of the Jacksonville Deepening project for $105 million, an additional phase of the Charleston Deepening project for $53 million, three projects in Louisiana which consisted of two coastal restoration projects of $30 million and $28 million, respectively, and an LNG project for a private client. During the nine months ended September 30, 2020, the Company continued to earn revenue on deepening projects in Charleston, Jacksonville and Corpus Christi and a coastal restoration project in Mississippi. At the end of last year, several LNG petro chemical and crude oil export projects were being developed in the Gulf of Mexico creating the need for port development and navigational channel deepening and widening to accommodate the larger vessels involved in this trade. With the current economic environment in the oil and gas markets, some of these privately funded projects are expected to be impacted and delayed. Government funded projects coming into the pipeline include additional phases of the Charleston, Jacksonville and Corpus Christi deepenings, as well as new deepenings for ports in Mobile, Alabama and the Everglades in Florida. These deepenings continue the trend of ensuring all East Coast and Gulf of Mexico ports will be able to accommodate the deeper draft vessels currently used on several trade routes.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spacing w:after="0" w:line="375" w:lineRule="exact"/>
        <w:rPr>
          <w:sz w:val="20"/>
          <w:szCs w:val="20"/>
          <w:color w:val="auto"/>
        </w:rPr>
      </w:pPr>
    </w:p>
    <w:p>
      <w:pPr>
        <w:ind w:right="220"/>
        <w:spacing w:after="0" w:line="295" w:lineRule="auto"/>
        <w:rPr>
          <w:sz w:val="20"/>
          <w:szCs w:val="20"/>
          <w:color w:val="auto"/>
        </w:rPr>
      </w:pPr>
      <w:r>
        <w:rPr>
          <w:rFonts w:ascii="Arial" w:cs="Arial" w:eastAsia="Arial" w:hAnsi="Arial"/>
          <w:sz w:val="17"/>
          <w:szCs w:val="17"/>
          <w:color w:val="auto"/>
        </w:rPr>
        <w:t>Foreign capital dredging backlog at September 30, 2020 was $19.5 million lower than at December 31, 2019. During the nine months ended September 30, 2020, the Company continued to earn revenue on a project in the Middle East which was in backlog at December 31, 2019.</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Coastal protection dredging backlog decreased $31.7 million from December 31, 2019. In the nine months ended September 30, 2020, the Company was awarded coastal protection projects of $31 million in North Carolina, $24 million in New Jersey and $15 million in Florida. During the nine months ended September 30, 2020, the Company continued to earn revenue on coastal protection projects in New York, North Carolina, and Florida which were in backlog at December 31, 2019. Coastal protection and storm impacts continue to provide the major impetus for coastal project investment at federal and state levels. As a result of the extreme storm systems in prior years involving Hurricanes Harvey, Irma, and Maria, the U.S.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During 2019, an additional $3.3 billion of supplemental appropriations was approved for disaster relief funding as a result of Hurricane Florence and Hurricane Michael.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23" w:name="page24"/>
    <w:bookmarkEnd w:id="23"/>
    <w:p>
      <w:pPr>
        <w:spacing w:after="0" w:line="265" w:lineRule="auto"/>
        <w:rPr>
          <w:sz w:val="20"/>
          <w:szCs w:val="20"/>
          <w:color w:val="auto"/>
        </w:rPr>
      </w:pPr>
      <w:r>
        <w:rPr>
          <w:rFonts w:ascii="Arial" w:cs="Arial" w:eastAsia="Arial" w:hAnsi="Arial"/>
          <w:sz w:val="17"/>
          <w:szCs w:val="17"/>
          <w:color w:val="auto"/>
        </w:rPr>
        <w:t>Maintenance dredging backlog increased $50.0 million from December 31, 2019. The Company was awarded a $45 million maintenance project in Louisiana and an $18 million maintenance project in Maryland and Virginia during the nine months ended September 30, 2020. During the nine months ended September 30, 2020, the Company continued to earn revenue on projects in Maryland, North Carolina and Florida which were in backlog at December 31, 2019. During the fourth quarter of 2018, the President signed America’s Water Infrastructure Act of 2018/Water Resources Development Act (“WRDA 2018”) into law. Similar to past versions of the bill, WRDA 2018 language calls for full use of the Harbor Maintenance Trust Fund (“HMTF”) for its intended purpose of maintaining future access to the waterways and ports that support our nation’s economy. Additionally, on March 27, 2020, the U.S. government enacted the Coronavirus Aid, Relief and Economic Security Act (the “CARES Act”) which includes a provision that lifts caps on the HMTF, thereby allowing full access to future annual revenues. Through the increased appropriation of HMTF monies, the Company anticipates increased funding for harbor maintenance projects to be let for bid throughout 2020 and beyond.</w:t>
      </w:r>
    </w:p>
    <w:p>
      <w:pPr>
        <w:spacing w:after="0" w:line="18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Rivers &amp; lakes backlog at September 30, 2020 was up $8.8 million compared to backlog at December 31, 2019. During the nine months ended September 30, 2020, the Company was awarded new work in Texas, Mississippi and Nebraska. For the nine months ended September 30, 2020, the Company continued to earn revenue on a large project which was in backlog at December 31, 2019. Additionally, the Company earned revenue on a project in Mississippi during the current year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principal sources of liquidity are net cash flows provided by operating activities and proceeds from previous issuances of long-term debt. The Company’s principal uses of cash are to meet debt service requirements, finance capital expenditures, provide working capital and other general corporate purposes.</w:t>
      </w:r>
    </w:p>
    <w:p>
      <w:pPr>
        <w:spacing w:after="0" w:line="188"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Company’s cash provided by operating activities of continuing operations for the nine months ended September 30, 2020 and 2019 totaled $76.0 million and $182.0 million, respectively. Normal increases or decreases in the level of working capital relative to the level of operational activity impact cash flow from operating activities. The decrease in cash provided by operating activities of continuing operations during the nine months ended September 30, 2020 compared to the same period in the prior year was driven by billings and collections on large projects during the prior period as well as an increase in working capital due to an increase in receivables during the current year when compared to the same period in the prior year. Further, this decrease was offset by an increase of $14.6 million in net income from continuing operations in the current period compared to the same period in the prior year.</w:t>
      </w:r>
    </w:p>
    <w:p>
      <w:pPr>
        <w:spacing w:after="0" w:line="15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Company’s cash flows used in investing activities for the nine months ended September 30, 2020 and 2019 totaled $29.2 million and $32.1 million, respectively. Investing activities primarily relate to normal course upgrades and capital maintenance of the Company’s dredging fleet. In the second quarter of 2020, the Company announced and made a down payment for a contract to build a 6,500 cubic yard trailing suction hopper dredge with expected delivery in the first quarter of 2023. Proceeds from dispositions of property and equipment in the prior year period was $5.6 million compared to $0.9 million in the current year.</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cash flows used in financing activities for the nine months ended September 30, 2020 and 2019 totaled $4.1 million and $12.7 million, respectively. The decrease in cash used in financing activities primarily relates to changes in the net repayments on the Company’s revolving credit facility in the prior period of $11.5 million compared to none in the current year. Of the previously announced $75.0 million share repurchase program, the Company repurchased $3.9 million of common stock in the third quarter of 2020.</w:t>
      </w:r>
    </w:p>
    <w:p>
      <w:pPr>
        <w:spacing w:after="0" w:line="193" w:lineRule="exact"/>
        <w:rPr>
          <w:sz w:val="20"/>
          <w:szCs w:val="20"/>
          <w:color w:val="auto"/>
        </w:rPr>
      </w:pPr>
    </w:p>
    <w:p>
      <w:pPr>
        <w:ind w:right="180"/>
        <w:spacing w:after="0" w:line="331" w:lineRule="auto"/>
        <w:rPr>
          <w:sz w:val="20"/>
          <w:szCs w:val="20"/>
          <w:color w:val="auto"/>
        </w:rPr>
      </w:pPr>
      <w:r>
        <w:rPr>
          <w:rFonts w:ascii="Arial" w:cs="Arial" w:eastAsia="Arial" w:hAnsi="Arial"/>
          <w:sz w:val="15"/>
          <w:szCs w:val="15"/>
          <w:color w:val="auto"/>
        </w:rPr>
        <w:t>The Company maintains a favorable cash on hand position and revolver availability and as a result is well positioned for changes in the current economic environment. To date, the Company has had no significant operational or financial impact as a result of the ongoing coronavirus (COVID-19) pandemic but will continue to assess the potential economic impact that the virus and pandemic could have on the Company’s operations and liquidity.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25" w:lineRule="exact"/>
        <w:rPr>
          <w:sz w:val="20"/>
          <w:szCs w:val="20"/>
          <w:color w:val="auto"/>
        </w:rPr>
      </w:pPr>
    </w:p>
    <w:p>
      <w:pPr>
        <w:ind w:right="180"/>
        <w:spacing w:after="0" w:line="305" w:lineRule="auto"/>
        <w:rPr>
          <w:sz w:val="20"/>
          <w:szCs w:val="20"/>
          <w:color w:val="auto"/>
        </w:rPr>
      </w:pPr>
      <w:r>
        <w:rPr>
          <w:rFonts w:ascii="Arial" w:cs="Arial" w:eastAsia="Arial" w:hAnsi="Arial"/>
          <w:sz w:val="15"/>
          <w:szCs w:val="15"/>
          <w:color w:val="auto"/>
        </w:rPr>
        <w:t>In May 2017, the Company issued $325 million in aggregate principal amount of its 8% Senior Notes due May 15, 2022. Interest on the 8% Senior Notes is payable semi-annually in arrears on May 15 and November 15 of each year, beginning on November 15, 2017. The 8% Senior Notes are senior unsecured obligations of the Company and are guaranteed on a senior unsecured basis by the guarantors and any other subsidiary guarantors that from time to time become parties to the indenture. The terms of the indenture, among other things, limit the ability of the Company and its restricted subsidiaries to (i) pay dividends, or make certain other restricted payments or investments; (ii) incur additional indebtedness and issue disqualified stock; (iii) create liens on their assets; (iv) transfer and sell assets; (v) enter into certain business combinations with third parties or enter into certain other transactions with affiliates; (vi) create restrictions on dividends or other payments by the Company’s restricted subsidiaries; and (vii) create guarantees of indebtedness by restricted subsidiaries. These covenants are subject to a number of important limitations and exceptions that are described in the indenture.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Commitments, contingencies and liquidity matters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Refer to Note 4, Long-term debt, in the Notes to Condensed Consolidated Financial Statements for discussion of the Company’s Amended Credit Agreement. Additionally, refer to Note 8, Commitments and contingencies, in the Notes to Condensed Consolidated Financial Statements for discussion of the Company’s surety agreements.</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intends to upgrade its existing domestic fleet by acquiring new vessels, equipment and technology to increase productivity and efficiency and further enhance safety. Existing cash on hand, future net cash flows, debt financing and new leases are all available funding resources from which the Company will evaluate its options when considering these upgrades.</w:t>
      </w:r>
    </w:p>
    <w:p>
      <w:pPr>
        <w:spacing w:after="0" w:line="188"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Company believes its cash and cash equivalents, its anticipated cash flows from operations and availability under its revolving credit facility will be sufficient to fund the Company’s operations, capital expenditures and the scheduled debt service requirements for the next twelve months. Beyond the next twelve months, the Company’s ability to fund its working capital needs, planned capital expenditures, scheduled debt payments and dividends, if any, and to comply with all the financial covenants under the Amended Credit Agreement and bonding agreements, depends on its future operating performance and cash flows, which in turn, are subject to prevailing economic conditions and to financial, business and other factors, some of which are beyond the Company’s control.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2" w:lineRule="exact"/>
        <w:rPr>
          <w:sz w:val="20"/>
          <w:szCs w:val="20"/>
          <w:color w:val="auto"/>
        </w:rPr>
      </w:pPr>
    </w:p>
    <w:p>
      <w:pPr>
        <w:ind w:right="140"/>
        <w:spacing w:after="0" w:line="313" w:lineRule="auto"/>
        <w:rPr>
          <w:sz w:val="20"/>
          <w:szCs w:val="20"/>
          <w:color w:val="auto"/>
        </w:rPr>
      </w:pPr>
      <w:r>
        <w:rPr>
          <w:rFonts w:ascii="Arial" w:cs="Arial" w:eastAsia="Arial" w:hAnsi="Arial"/>
          <w:sz w:val="15"/>
          <w:szCs w:val="15"/>
          <w:color w:val="auto"/>
        </w:rPr>
        <w:t>In preparing its consolidated financial statements, the Company follows GAAP, which is described in Note 1, Basis of presentation, to the Company’s December 31, 2019 Consolidated Financial Statements included on Form 10-K. The application of these principles requires significant judgments or an estimation process that can affect the results of operations, financial position and cash flows of the Company, as well as the related footnote disclosures. The Company continually reviews its accounting policies and financial information disclosures. Except as noted in Note 1, Basis of presentation, of the Company’s financial statements, there have been no material changes in the Company’s critical accounting policies or estimates since December 31, 2019.</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18" w:lineRule="exact"/>
        <w:rPr>
          <w:sz w:val="20"/>
          <w:szCs w:val="20"/>
          <w:color w:val="auto"/>
        </w:rPr>
      </w:pPr>
    </w:p>
    <w:p>
      <w:pPr>
        <w:jc w:val="both"/>
        <w:ind w:right="400"/>
        <w:spacing w:after="0" w:line="256" w:lineRule="auto"/>
        <w:rPr>
          <w:sz w:val="20"/>
          <w:szCs w:val="20"/>
          <w:color w:val="auto"/>
        </w:rPr>
      </w:pPr>
      <w:r>
        <w:rPr>
          <w:rFonts w:ascii="Arial" w:cs="Arial" w:eastAsia="Arial" w:hAnsi="Arial"/>
          <w:sz w:val="18"/>
          <w:szCs w:val="18"/>
          <w:color w:val="auto"/>
        </w:rPr>
        <w:t>The market risk of the Company’s financial instruments as of September 30, 2020 has not materially changed since December 31, 2019. The market risk profile of the Company on December 31, 2019 is disclosed in Item 7A. “Quantitative and Qualitative Disclosures about Market Risk” of the Company’s Annual Report on Form 10-K for the year ended December 31, 2019.</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the Company’s disclosure controls and procedures, as required by Rule 13a-15(b) and 15d-15(b) under the Securities Exchange Act of 1934 (the “Exchange Act”) as of September 30, 2020.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SEC’s rules and forms.</w:t>
      </w:r>
    </w:p>
    <w:p>
      <w:pPr>
        <w:spacing w:after="0" w:line="194"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Our Chief Executive Officer and Chief Financial Officer concluded that our disclosure controls and procedures were effective as of September 30, 2020 in providing such a reasonable assurance.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2" w:lineRule="exact"/>
        <w:rPr>
          <w:sz w:val="20"/>
          <w:szCs w:val="20"/>
          <w:color w:val="auto"/>
        </w:rPr>
      </w:pPr>
    </w:p>
    <w:p>
      <w:pPr>
        <w:ind w:right="260"/>
        <w:spacing w:after="0" w:line="366" w:lineRule="auto"/>
        <w:rPr>
          <w:sz w:val="20"/>
          <w:szCs w:val="20"/>
          <w:color w:val="auto"/>
        </w:rPr>
      </w:pPr>
      <w:r>
        <w:rPr>
          <w:rFonts w:ascii="Arial" w:cs="Arial" w:eastAsia="Arial" w:hAnsi="Arial"/>
          <w:sz w:val="15"/>
          <w:szCs w:val="15"/>
          <w:color w:val="auto"/>
        </w:rPr>
        <w:t>There have been no changes in our internal control over financial reporting (as defined in Rule 13a-15(f) under the Exchange Act) during the fiscal quarter ended September 30, 2020 that have materially affected, or are reasonably likely to materially affect, our internal control over financial reporting.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20"/>
          </w:cols>
          <w:pgMar w:left="320" w:top="379" w:right="359" w:bottom="1440" w:gutter="0" w:footer="0" w:header="0"/>
        </w:sectPr>
      </w:pPr>
    </w:p>
    <w:bookmarkStart w:id="25" w:name="page26"/>
    <w:bookmarkEnd w:id="25"/>
    <w:p>
      <w:pPr>
        <w:jc w:val="center"/>
        <w:ind w:right="100"/>
        <w:spacing w:after="0"/>
        <w:rPr>
          <w:sz w:val="20"/>
          <w:szCs w:val="20"/>
          <w:color w:val="auto"/>
        </w:rPr>
      </w:pPr>
      <w:r>
        <w:rPr>
          <w:rFonts w:ascii="Arial" w:cs="Arial" w:eastAsia="Arial" w:hAnsi="Arial"/>
          <w:sz w:val="18"/>
          <w:szCs w:val="18"/>
          <w:b w:val="1"/>
          <w:bCs w:val="1"/>
          <w:color w:val="auto"/>
        </w:rPr>
        <w:t>PART II — Other Information</w:t>
      </w:r>
    </w:p>
    <w:p>
      <w:pPr>
        <w:spacing w:after="0" w:line="21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See Note 8, Commitments and contingencies, in the Notes to Condensed Consolidated Financial Statements.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8" w:lineRule="exact"/>
        <w:rPr>
          <w:sz w:val="20"/>
          <w:szCs w:val="20"/>
          <w:color w:val="auto"/>
        </w:rPr>
      </w:pPr>
    </w:p>
    <w:p>
      <w:pPr>
        <w:ind w:right="140"/>
        <w:spacing w:after="0" w:line="300" w:lineRule="auto"/>
        <w:rPr>
          <w:sz w:val="20"/>
          <w:szCs w:val="20"/>
          <w:color w:val="auto"/>
        </w:rPr>
      </w:pPr>
      <w:r>
        <w:rPr>
          <w:rFonts w:ascii="Arial" w:cs="Arial" w:eastAsia="Arial" w:hAnsi="Arial"/>
          <w:sz w:val="15"/>
          <w:szCs w:val="15"/>
          <w:color w:val="auto"/>
        </w:rPr>
        <w:t>There have been no material changes, except for the following, during the nine months ended September 30, 2020 to the risk factors previously disclosed in Item 1A. “Risk Factors” in the Company’s Annual Report on Form 10-K for the year ended December 31, 2019, as supplemented by the risk factors previously disclosed in Item 1A. “Risk Factors” in the Company’s Quarterly Reports on Form 10-Q for the quarters ended March 31, 2020 and June 30, 2020.</w:t>
      </w:r>
    </w:p>
    <w:p>
      <w:pPr>
        <w:spacing w:after="0" w:line="2"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b w:val="1"/>
          <w:bCs w:val="1"/>
          <w:i w:val="1"/>
          <w:iCs w:val="1"/>
          <w:color w:val="auto"/>
        </w:rPr>
        <w:t xml:space="preserve">We may experience unexpected difficulties and incur unexpected costs in the relocation of our headquarters from Oakbrook, Illinois to Houston, Texas. </w:t>
      </w:r>
      <w:r>
        <w:rPr>
          <w:rFonts w:ascii="Arial" w:cs="Arial" w:eastAsia="Arial" w:hAnsi="Arial"/>
          <w:sz w:val="17"/>
          <w:szCs w:val="17"/>
          <w:color w:val="auto"/>
        </w:rPr>
        <w:t>In October 2020, we announced that we would relocate our headquarters from Oakbrook, Illinois to Houston, Texas. The objectives of the relocation including securing more public and private business opportunities and attracting and retaining a specialized workforce may not materialize to the Company’s expectations or as the Company envisions. There is a possibility that some members of senior management and key employees will decide to leave the Company instead of moving to Houston. The loss of services of members of senior management or other key employees could significantly delay or prevent the achievement of our strategic objectives and could adversely affect our business, financial condition and operating results. In addition, actual costs related to the relocation may exceed our estimates.</w:t>
      </w:r>
    </w:p>
    <w:p>
      <w:pPr>
        <w:spacing w:after="0" w:line="1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common stock during the three months ended September 30, 2020.</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Total Number of Shares</w:t>
            </w:r>
          </w:p>
        </w:tc>
        <w:tc>
          <w:tcPr>
            <w:tcW w:w="1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w w:val="90"/>
              </w:rPr>
              <w:t>Maximum Aggregate Dollar</w:t>
            </w:r>
          </w:p>
        </w:tc>
      </w:tr>
      <w:tr>
        <w:trPr>
          <w:trHeight w:val="212"/>
        </w:trPr>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Purchased as Part of</w:t>
            </w:r>
          </w:p>
        </w:tc>
        <w:tc>
          <w:tcPr>
            <w:tcW w:w="100" w:type="dxa"/>
            <w:vAlign w:val="bottom"/>
          </w:tcPr>
          <w:p>
            <w:pPr>
              <w:spacing w:after="0"/>
              <w:rPr>
                <w:sz w:val="18"/>
                <w:szCs w:val="18"/>
                <w:color w:val="auto"/>
              </w:rPr>
            </w:pPr>
          </w:p>
        </w:tc>
        <w:tc>
          <w:tcPr>
            <w:tcW w:w="2140" w:type="dxa"/>
            <w:vAlign w:val="bottom"/>
          </w:tcPr>
          <w:p>
            <w:pPr>
              <w:jc w:val="right"/>
              <w:ind w:right="91"/>
              <w:spacing w:after="0"/>
              <w:rPr>
                <w:sz w:val="20"/>
                <w:szCs w:val="20"/>
                <w:color w:val="auto"/>
              </w:rPr>
            </w:pPr>
            <w:r>
              <w:rPr>
                <w:rFonts w:ascii="Arial" w:cs="Arial" w:eastAsia="Arial" w:hAnsi="Arial"/>
                <w:sz w:val="18"/>
                <w:szCs w:val="18"/>
                <w:b w:val="1"/>
                <w:bCs w:val="1"/>
                <w:color w:val="auto"/>
              </w:rPr>
              <w:t>Value That May Yet Be</w:t>
            </w:r>
          </w:p>
        </w:tc>
      </w:tr>
      <w:tr>
        <w:trPr>
          <w:trHeight w:val="212"/>
        </w:trPr>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 Price</w:t>
            </w:r>
          </w:p>
        </w:tc>
        <w:tc>
          <w:tcPr>
            <w:tcW w:w="2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Publicly Announced Plans</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Purchased Under the Plans o</w:t>
            </w:r>
          </w:p>
        </w:tc>
      </w:tr>
      <w:tr>
        <w:trPr>
          <w:trHeight w:val="230"/>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60" w:type="dxa"/>
            <w:vAlign w:val="bottom"/>
          </w:tcPr>
          <w:p>
            <w:pPr>
              <w:spacing w:after="0"/>
              <w:rPr>
                <w:sz w:val="20"/>
                <w:szCs w:val="20"/>
                <w:color w:val="auto"/>
              </w:rPr>
            </w:pPr>
          </w:p>
        </w:tc>
        <w:tc>
          <w:tcPr>
            <w:tcW w:w="17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95"/>
              </w:rPr>
              <w:t>Shares Purchased</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7"/>
              </w:rPr>
              <w:t>Paid per Share</w:t>
            </w:r>
          </w:p>
        </w:tc>
        <w:tc>
          <w:tcPr>
            <w:tcW w:w="16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Programs (1)</w:t>
            </w:r>
          </w:p>
        </w:tc>
      </w:tr>
      <w:tr>
        <w:trPr>
          <w:trHeight w:val="218"/>
        </w:trPr>
        <w:tc>
          <w:tcPr>
            <w:tcW w:w="3440" w:type="dxa"/>
            <w:vAlign w:val="bottom"/>
            <w:gridSpan w:val="2"/>
          </w:tcPr>
          <w:p>
            <w:pPr>
              <w:spacing w:after="0"/>
              <w:rPr>
                <w:sz w:val="20"/>
                <w:szCs w:val="20"/>
                <w:color w:val="auto"/>
              </w:rPr>
            </w:pPr>
            <w:r>
              <w:rPr>
                <w:rFonts w:ascii="Arial" w:cs="Arial" w:eastAsia="Arial" w:hAnsi="Arial"/>
                <w:sz w:val="18"/>
                <w:szCs w:val="18"/>
                <w:color w:val="auto"/>
              </w:rPr>
              <w:t>August 1, 2020 – August 31, 2020</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75,000,00</w:t>
            </w:r>
          </w:p>
        </w:tc>
      </w:tr>
      <w:tr>
        <w:trPr>
          <w:trHeight w:val="226"/>
        </w:trPr>
        <w:tc>
          <w:tcPr>
            <w:tcW w:w="3440" w:type="dxa"/>
            <w:vAlign w:val="bottom"/>
            <w:gridSpan w:val="2"/>
          </w:tcPr>
          <w:p>
            <w:pPr>
              <w:spacing w:after="0"/>
              <w:rPr>
                <w:sz w:val="20"/>
                <w:szCs w:val="20"/>
                <w:color w:val="auto"/>
              </w:rPr>
            </w:pPr>
            <w:r>
              <w:rPr>
                <w:rFonts w:ascii="Arial" w:cs="Arial" w:eastAsia="Arial" w:hAnsi="Arial"/>
                <w:sz w:val="18"/>
                <w:szCs w:val="18"/>
                <w:color w:val="auto"/>
              </w:rPr>
              <w:t>September 1, 2020 - September 30, 2020</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424,739</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424,739</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71,140,42</w:t>
            </w:r>
          </w:p>
        </w:tc>
      </w:tr>
      <w:tr>
        <w:trPr>
          <w:trHeight w:val="220"/>
        </w:trPr>
        <w:tc>
          <w:tcPr>
            <w:tcW w:w="3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424,739</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424,739</w:t>
            </w: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71,140,42</w:t>
            </w:r>
          </w:p>
        </w:tc>
      </w:tr>
      <w:tr>
        <w:trPr>
          <w:trHeight w:val="20"/>
        </w:trPr>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760" w:right="420" w:hanging="382"/>
        <w:spacing w:after="0" w:line="295" w:lineRule="auto"/>
        <w:tabs>
          <w:tab w:leader="none" w:pos="7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August 4, 2020, the Company announced a share repurchase program approved by its board of directors, authorizing, but not obligating, the repurchase of up to an aggregate amount of $75,000,000 of its common stock from time to time through July 31, 2021.</w:t>
      </w:r>
    </w:p>
    <w:p>
      <w:pPr>
        <w:spacing w:after="0" w:line="15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340"/>
          </w:cols>
          <w:pgMar w:left="320" w:top="33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18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26"/>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200" w:type="dxa"/>
            <w:vAlign w:val="bottom"/>
          </w:tcPr>
          <w:p>
            <w:pPr>
              <w:spacing w:after="0"/>
              <w:rPr>
                <w:sz w:val="24"/>
                <w:szCs w:val="24"/>
                <w:color w:val="auto"/>
              </w:rPr>
            </w:pPr>
          </w:p>
        </w:tc>
        <w:tc>
          <w:tcPr>
            <w:tcW w:w="7980" w:type="dxa"/>
            <w:vAlign w:val="bottom"/>
            <w:gridSpan w:val="2"/>
          </w:tcPr>
          <w:p>
            <w:pPr>
              <w:ind w:left="2040"/>
              <w:spacing w:after="0"/>
              <w:rPr>
                <w:sz w:val="20"/>
                <w:szCs w:val="20"/>
                <w:color w:val="auto"/>
              </w:rPr>
            </w:pPr>
            <w:r>
              <w:rPr>
                <w:rFonts w:ascii="Arial" w:cs="Arial" w:eastAsia="Arial" w:hAnsi="Arial"/>
                <w:sz w:val="18"/>
                <w:szCs w:val="18"/>
                <w:b w:val="1"/>
                <w:bCs w:val="1"/>
                <w:color w:val="auto"/>
              </w:rPr>
              <w:t>Document Description</w:t>
            </w:r>
          </w:p>
        </w:tc>
      </w:tr>
      <w:tr>
        <w:trPr>
          <w:trHeight w:val="406"/>
        </w:trPr>
        <w:tc>
          <w:tcPr>
            <w:tcW w:w="740" w:type="dxa"/>
            <w:vAlign w:val="bottom"/>
            <w:tcBorders>
              <w:top w:val="single" w:sz="8" w:color="auto"/>
            </w:tcBorders>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31.1</w:t>
              </w:r>
            </w:hyperlink>
          </w:p>
        </w:tc>
        <w:tc>
          <w:tcPr>
            <w:tcW w:w="320" w:type="dxa"/>
            <w:vAlign w:val="bottom"/>
          </w:tcPr>
          <w:p>
            <w:pPr>
              <w:spacing w:after="0"/>
              <w:rPr>
                <w:sz w:val="24"/>
                <w:szCs w:val="24"/>
                <w:color w:val="auto"/>
              </w:rPr>
            </w:pPr>
          </w:p>
        </w:tc>
        <w:tc>
          <w:tcPr>
            <w:tcW w:w="9740" w:type="dxa"/>
            <w:vAlign w:val="bottom"/>
            <w:tcBorders>
              <w:top w:val="single" w:sz="8" w:color="auto"/>
              <w:bottom w:val="single" w:sz="8" w:color="0000EE"/>
            </w:tcBorders>
            <w:gridSpan w:val="2"/>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Certification Pursuant to Rules 13a-14 and 15d-14 under the Securities Exchange Act of 1934, as Adopted Pursuant to Section 302 of the</w:t>
              </w:r>
            </w:hyperlink>
          </w:p>
        </w:tc>
        <w:tc>
          <w:tcPr>
            <w:tcW w:w="440" w:type="dxa"/>
            <w:vAlign w:val="bottom"/>
            <w:tcBorders>
              <w:top w:val="single" w:sz="8" w:color="auto"/>
            </w:tcBorders>
          </w:tcPr>
          <w:p>
            <w:pPr>
              <w:spacing w:after="0"/>
              <w:rPr>
                <w:sz w:val="24"/>
                <w:szCs w:val="24"/>
                <w:color w:val="auto"/>
              </w:rPr>
            </w:pPr>
          </w:p>
        </w:tc>
      </w:tr>
      <w:tr>
        <w:trPr>
          <w:trHeight w:val="192"/>
        </w:trPr>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180" w:type="dxa"/>
            <w:vAlign w:val="bottom"/>
            <w:gridSpan w:val="3"/>
          </w:tcPr>
          <w:p>
            <w:pPr>
              <w:spacing w:after="0" w:line="193" w:lineRule="exact"/>
              <w:rPr>
                <w:rFonts w:ascii="Arial" w:cs="Arial" w:eastAsia="Arial" w:hAnsi="Arial"/>
                <w:sz w:val="18"/>
                <w:szCs w:val="18"/>
                <w:color w:val="0000EE"/>
              </w:rPr>
            </w:pPr>
            <w:hyperlink w:anchor="page29">
              <w:r>
                <w:rPr>
                  <w:rFonts w:ascii="Arial" w:cs="Arial" w:eastAsia="Arial" w:hAnsi="Arial"/>
                  <w:sz w:val="18"/>
                  <w:szCs w:val="18"/>
                  <w:color w:val="0000EE"/>
                </w:rPr>
                <w:t>Sarbanes-Oxley Act of 2002. *</w:t>
              </w:r>
            </w:hyperlink>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7980" w:type="dxa"/>
            <w:vAlign w:val="bottom"/>
            <w:gridSpan w:val="2"/>
          </w:tcPr>
          <w:p>
            <w:pPr>
              <w:spacing w:after="0" w:line="20" w:lineRule="exact"/>
              <w:rPr>
                <w:sz w:val="1"/>
                <w:szCs w:val="1"/>
                <w:color w:val="auto"/>
              </w:rPr>
            </w:pPr>
          </w:p>
        </w:tc>
      </w:tr>
      <w:tr>
        <w:trPr>
          <w:trHeight w:val="432"/>
        </w:trPr>
        <w:tc>
          <w:tcPr>
            <w:tcW w:w="74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31.2</w:t>
              </w:r>
            </w:hyperlink>
          </w:p>
        </w:tc>
        <w:tc>
          <w:tcPr>
            <w:tcW w:w="320" w:type="dxa"/>
            <w:vAlign w:val="bottom"/>
          </w:tcPr>
          <w:p>
            <w:pPr>
              <w:spacing w:after="0"/>
              <w:rPr>
                <w:sz w:val="24"/>
                <w:szCs w:val="24"/>
                <w:color w:val="auto"/>
              </w:rPr>
            </w:pPr>
          </w:p>
        </w:tc>
        <w:tc>
          <w:tcPr>
            <w:tcW w:w="97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Certification Pursuant to Rules 13a-14 and 15d-14 under the Securities Exchange Act of 1934, as Adopted Pursuant to Section 302 of the</w:t>
              </w:r>
            </w:hyperlink>
          </w:p>
        </w:tc>
        <w:tc>
          <w:tcPr>
            <w:tcW w:w="440" w:type="dxa"/>
            <w:vAlign w:val="bottom"/>
          </w:tcPr>
          <w:p>
            <w:pPr>
              <w:spacing w:after="0"/>
              <w:rPr>
                <w:sz w:val="24"/>
                <w:szCs w:val="24"/>
                <w:color w:val="auto"/>
              </w:rPr>
            </w:pPr>
          </w:p>
        </w:tc>
      </w:tr>
      <w:tr>
        <w:trPr>
          <w:trHeight w:val="192"/>
        </w:trPr>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180" w:type="dxa"/>
            <w:vAlign w:val="bottom"/>
            <w:gridSpan w:val="3"/>
          </w:tcPr>
          <w:p>
            <w:pPr>
              <w:spacing w:after="0" w:line="193" w:lineRule="exact"/>
              <w:rPr>
                <w:rFonts w:ascii="Arial" w:cs="Arial" w:eastAsia="Arial" w:hAnsi="Arial"/>
                <w:sz w:val="18"/>
                <w:szCs w:val="18"/>
                <w:color w:val="0000EE"/>
              </w:rPr>
            </w:pPr>
            <w:hyperlink w:anchor="page30">
              <w:r>
                <w:rPr>
                  <w:rFonts w:ascii="Arial" w:cs="Arial" w:eastAsia="Arial" w:hAnsi="Arial"/>
                  <w:sz w:val="18"/>
                  <w:szCs w:val="18"/>
                  <w:color w:val="0000EE"/>
                </w:rPr>
                <w:t>Sarbanes-Oxley Act of 2002. *</w:t>
              </w:r>
            </w:hyperlink>
          </w:p>
        </w:tc>
      </w:tr>
      <w:tr>
        <w:trPr>
          <w:trHeight w:val="20"/>
        </w:trPr>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7980" w:type="dxa"/>
            <w:vAlign w:val="bottom"/>
            <w:gridSpan w:val="2"/>
          </w:tcPr>
          <w:p>
            <w:pPr>
              <w:spacing w:after="0" w:line="20" w:lineRule="exact"/>
              <w:rPr>
                <w:sz w:val="1"/>
                <w:szCs w:val="1"/>
                <w:color w:val="auto"/>
              </w:rPr>
            </w:pPr>
          </w:p>
        </w:tc>
      </w:tr>
      <w:tr>
        <w:trPr>
          <w:trHeight w:val="470"/>
        </w:trPr>
        <w:tc>
          <w:tcPr>
            <w:tcW w:w="74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32.1</w:t>
              </w:r>
            </w:hyperlink>
          </w:p>
        </w:tc>
        <w:tc>
          <w:tcPr>
            <w:tcW w:w="320" w:type="dxa"/>
            <w:vAlign w:val="bottom"/>
          </w:tcPr>
          <w:p>
            <w:pPr>
              <w:spacing w:after="0"/>
              <w:rPr>
                <w:sz w:val="24"/>
                <w:szCs w:val="24"/>
                <w:color w:val="auto"/>
              </w:rPr>
            </w:pPr>
          </w:p>
        </w:tc>
        <w:tc>
          <w:tcPr>
            <w:tcW w:w="1018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Certification Pursuant to 18 U.S.C. Section 1350, as Adopted Pursuant to Section 906 of the Sarbanes-Oxley Act of 2002. **</w:t>
              </w:r>
            </w:hyperlink>
          </w:p>
        </w:tc>
      </w:tr>
      <w:tr>
        <w:trPr>
          <w:trHeight w:val="452"/>
        </w:trPr>
        <w:tc>
          <w:tcPr>
            <w:tcW w:w="74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32.2</w:t>
              </w:r>
            </w:hyperlink>
          </w:p>
        </w:tc>
        <w:tc>
          <w:tcPr>
            <w:tcW w:w="320" w:type="dxa"/>
            <w:vAlign w:val="bottom"/>
          </w:tcPr>
          <w:p>
            <w:pPr>
              <w:spacing w:after="0"/>
              <w:rPr>
                <w:sz w:val="24"/>
                <w:szCs w:val="24"/>
                <w:color w:val="auto"/>
              </w:rPr>
            </w:pPr>
          </w:p>
        </w:tc>
        <w:tc>
          <w:tcPr>
            <w:tcW w:w="10180" w:type="dxa"/>
            <w:vAlign w:val="bottom"/>
            <w:gridSpan w:val="3"/>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Certification Pursuant to 18 U.S.C. Section 1350, as Adopted Pursuant to Section 906 of the Sarbanes-Oxley Act of 2002. **</w:t>
              </w:r>
            </w:hyperlink>
          </w:p>
        </w:tc>
      </w:tr>
      <w:tr>
        <w:trPr>
          <w:trHeight w:val="452"/>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180" w:type="dxa"/>
            <w:vAlign w:val="bottom"/>
            <w:gridSpan w:val="3"/>
          </w:tcPr>
          <w:p>
            <w:pPr>
              <w:spacing w:after="0"/>
              <w:rPr>
                <w:sz w:val="20"/>
                <w:szCs w:val="20"/>
                <w:color w:val="auto"/>
              </w:rPr>
            </w:pPr>
            <w:r>
              <w:rPr>
                <w:rFonts w:ascii="Arial" w:cs="Arial" w:eastAsia="Arial" w:hAnsi="Arial"/>
                <w:sz w:val="18"/>
                <w:szCs w:val="18"/>
                <w:color w:val="auto"/>
                <w:w w:val="92"/>
              </w:rPr>
              <w:t>Interactive Data Files pursuant to Rule 405 of Regulation S-T formatted in Inline Extensible Business Reporting Language ("Inline XBRL")*</w:t>
            </w:r>
          </w:p>
        </w:tc>
      </w:tr>
    </w:tbl>
    <w:p>
      <w:pPr>
        <w:spacing w:after="0" w:line="200" w:lineRule="exact"/>
        <w:rPr>
          <w:sz w:val="20"/>
          <w:szCs w:val="20"/>
          <w:color w:val="auto"/>
        </w:rPr>
      </w:pPr>
    </w:p>
    <w:p>
      <w:pPr>
        <w:spacing w:after="0" w:line="240" w:lineRule="exact"/>
        <w:rPr>
          <w:sz w:val="20"/>
          <w:szCs w:val="20"/>
          <w:color w:val="auto"/>
        </w:rPr>
      </w:pPr>
    </w:p>
    <w:p>
      <w:pPr>
        <w:ind w:left="1060" w:hanging="105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w:t>
      </w:r>
    </w:p>
    <w:p>
      <w:pPr>
        <w:spacing w:after="0" w:line="231"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(1) Portions of this exhibit have been omitted pursuant to Rule 601(b)(10) of Regulation S-K.</w:t>
      </w:r>
    </w:p>
    <w:p>
      <w:pPr>
        <w:spacing w:after="0" w:line="218" w:lineRule="exact"/>
        <w:rPr>
          <w:sz w:val="20"/>
          <w:szCs w:val="20"/>
          <w:color w:val="auto"/>
        </w:rPr>
      </w:pPr>
    </w:p>
    <w:p>
      <w:pPr>
        <w:ind w:left="520" w:hanging="514"/>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 w:lineRule="exact"/>
        <w:rPr>
          <w:sz w:val="20"/>
          <w:szCs w:val="20"/>
          <w:color w:val="auto"/>
        </w:rPr>
      </w:pPr>
    </w:p>
    <w:p>
      <w:pPr>
        <w:ind w:left="520" w:hanging="514"/>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7134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SIGNATURE</w:t>
      </w:r>
    </w:p>
    <w:p>
      <w:pPr>
        <w:spacing w:after="0" w:line="118"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Great Lakes Dredge &amp; Dock Corporation</w:t>
      </w:r>
    </w:p>
    <w:p>
      <w:pPr>
        <w:spacing w:after="0" w:line="17"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(registrant)</w:t>
      </w:r>
    </w:p>
    <w:p>
      <w:pPr>
        <w:spacing w:after="0" w:line="233" w:lineRule="exact"/>
        <w:rPr>
          <w:sz w:val="20"/>
          <w:szCs w:val="20"/>
          <w:color w:val="auto"/>
        </w:rPr>
      </w:pPr>
    </w:p>
    <w:p>
      <w:pPr>
        <w:ind w:left="6680"/>
        <w:spacing w:after="0"/>
        <w:tabs>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1"/>
          <w:szCs w:val="11"/>
          <w:color w:val="auto"/>
        </w:rPr>
        <w:t>ARK</w:t>
      </w:r>
      <w:r>
        <w:rPr>
          <w:rFonts w:ascii="Arial" w:cs="Arial" w:eastAsia="Arial" w:hAnsi="Arial"/>
          <w:sz w:val="18"/>
          <w:szCs w:val="18"/>
          <w:color w:val="auto"/>
        </w:rPr>
        <w:t xml:space="preserve"> W. M</w:t>
      </w:r>
      <w:r>
        <w:rPr>
          <w:rFonts w:ascii="Arial" w:cs="Arial" w:eastAsia="Arial" w:hAnsi="Arial"/>
          <w:sz w:val="11"/>
          <w:szCs w:val="11"/>
          <w:color w:val="auto"/>
        </w:rPr>
        <w:t>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4473575</wp:posOffset>
            </wp:positionH>
            <wp:positionV relativeFrom="paragraph">
              <wp:posOffset>11430</wp:posOffset>
            </wp:positionV>
            <wp:extent cx="2665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65095" cy="8255"/>
                    </a:xfrm>
                    <a:prstGeom prst="rect">
                      <a:avLst/>
                    </a:prstGeom>
                    <a:noFill/>
                  </pic:spPr>
                </pic:pic>
              </a:graphicData>
            </a:graphic>
          </wp:anchor>
        </w:drawing>
      </w:r>
    </w:p>
    <w:p>
      <w:pPr>
        <w:jc w:val="center"/>
        <w:ind w:left="7020"/>
        <w:spacing w:after="0"/>
        <w:rPr>
          <w:sz w:val="20"/>
          <w:szCs w:val="20"/>
          <w:color w:val="auto"/>
        </w:rPr>
      </w:pPr>
      <w:r>
        <w:rPr>
          <w:rFonts w:ascii="Arial" w:cs="Arial" w:eastAsia="Arial" w:hAnsi="Arial"/>
          <w:sz w:val="13"/>
          <w:szCs w:val="13"/>
          <w:b w:val="1"/>
          <w:bCs w:val="1"/>
          <w:color w:val="auto"/>
        </w:rPr>
        <w:t>Mark W. Marinko</w:t>
      </w:r>
    </w:p>
    <w:p>
      <w:pPr>
        <w:spacing w:after="0" w:line="7" w:lineRule="exact"/>
        <w:rPr>
          <w:sz w:val="20"/>
          <w:szCs w:val="20"/>
          <w:color w:val="auto"/>
        </w:rPr>
      </w:pPr>
    </w:p>
    <w:p>
      <w:pPr>
        <w:jc w:val="center"/>
        <w:ind w:left="7020"/>
        <w:spacing w:after="0"/>
        <w:rPr>
          <w:sz w:val="20"/>
          <w:szCs w:val="20"/>
          <w:color w:val="auto"/>
        </w:rPr>
      </w:pPr>
      <w:r>
        <w:rPr>
          <w:rFonts w:ascii="Arial" w:cs="Arial" w:eastAsia="Arial" w:hAnsi="Arial"/>
          <w:sz w:val="13"/>
          <w:szCs w:val="13"/>
          <w:b w:val="1"/>
          <w:bCs w:val="1"/>
          <w:color w:val="auto"/>
        </w:rPr>
        <w:t>Senior Vice President and Chief Financial Officer</w:t>
      </w:r>
    </w:p>
    <w:p>
      <w:pPr>
        <w:jc w:val="center"/>
        <w:ind w:left="7020"/>
        <w:spacing w:after="0"/>
        <w:rPr>
          <w:sz w:val="20"/>
          <w:szCs w:val="20"/>
          <w:color w:val="auto"/>
        </w:rPr>
      </w:pPr>
      <w:r>
        <w:rPr>
          <w:rFonts w:ascii="Arial" w:cs="Arial" w:eastAsia="Arial" w:hAnsi="Arial"/>
          <w:sz w:val="12"/>
          <w:szCs w:val="12"/>
          <w:b w:val="1"/>
          <w:bCs w:val="1"/>
          <w:color w:val="auto"/>
        </w:rPr>
        <w:t>(Principal Financial and Accounting Officer and Duly Authorized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34"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Lasse J. Petterson, certify that:</w:t>
      </w:r>
    </w:p>
    <w:p>
      <w:pPr>
        <w:spacing w:after="0" w:line="112" w:lineRule="exact"/>
        <w:rPr>
          <w:sz w:val="20"/>
          <w:szCs w:val="20"/>
          <w:color w:val="auto"/>
        </w:rPr>
      </w:pPr>
    </w:p>
    <w:p>
      <w:pPr>
        <w:ind w:left="520" w:hanging="514"/>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1" w:lineRule="exact"/>
        <w:rPr>
          <w:rFonts w:ascii="Arial" w:cs="Arial" w:eastAsia="Arial" w:hAnsi="Arial"/>
          <w:sz w:val="18"/>
          <w:szCs w:val="18"/>
          <w:color w:val="auto"/>
        </w:rPr>
      </w:pPr>
    </w:p>
    <w:p>
      <w:pPr>
        <w:jc w:val="both"/>
        <w:ind w:left="520" w:right="440" w:hanging="514"/>
        <w:spacing w:after="0" w:line="256"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8"/>
          <w:szCs w:val="18"/>
          <w:color w:val="auto"/>
        </w:rPr>
      </w:pPr>
    </w:p>
    <w:p>
      <w:pPr>
        <w:ind w:left="520" w:right="400" w:hanging="514"/>
        <w:spacing w:after="0" w:line="295"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520" w:right="20" w:hanging="514"/>
        <w:spacing w:after="0" w:line="256"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020" w:right="180" w:hanging="509"/>
        <w:spacing w:after="0" w:line="256"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ind w:left="1020" w:right="500" w:hanging="509"/>
        <w:spacing w:after="0" w:line="256"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jc w:val="both"/>
        <w:ind w:left="1020" w:right="660" w:hanging="509"/>
        <w:spacing w:after="0" w:line="366" w:lineRule="auto"/>
        <w:tabs>
          <w:tab w:leader="none" w:pos="1020"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020" w:right="180" w:hanging="509"/>
        <w:spacing w:after="0" w:line="256"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520" w:right="320" w:hanging="514"/>
        <w:spacing w:after="0" w:line="366" w:lineRule="auto"/>
        <w:tabs>
          <w:tab w:leader="none" w:pos="5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020" w:right="80" w:hanging="509"/>
        <w:spacing w:after="0" w:line="295" w:lineRule="auto"/>
        <w:tabs>
          <w:tab w:leader="none" w:pos="10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1020" w:right="40" w:hanging="509"/>
        <w:spacing w:after="0" w:line="265" w:lineRule="auto"/>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11430</wp:posOffset>
            </wp:positionV>
            <wp:extent cx="35674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Lasse J. Petterson</w:t>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 and Director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Mark W. Marinko, certify that:</w:t>
      </w:r>
    </w:p>
    <w:p>
      <w:pPr>
        <w:spacing w:after="0" w:line="112" w:lineRule="exact"/>
        <w:rPr>
          <w:sz w:val="20"/>
          <w:szCs w:val="20"/>
          <w:color w:val="auto"/>
        </w:rPr>
      </w:pPr>
    </w:p>
    <w:p>
      <w:pPr>
        <w:ind w:left="520" w:hanging="514"/>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Great Lakes Dredge &amp; Dock Corporation;</w:t>
      </w:r>
    </w:p>
    <w:p>
      <w:pPr>
        <w:spacing w:after="0" w:line="111" w:lineRule="exact"/>
        <w:rPr>
          <w:rFonts w:ascii="Arial" w:cs="Arial" w:eastAsia="Arial" w:hAnsi="Arial"/>
          <w:sz w:val="18"/>
          <w:szCs w:val="18"/>
          <w:color w:val="auto"/>
        </w:rPr>
      </w:pPr>
    </w:p>
    <w:p>
      <w:pPr>
        <w:jc w:val="both"/>
        <w:ind w:left="520" w:right="440" w:hanging="514"/>
        <w:spacing w:after="0" w:line="256"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8"/>
          <w:szCs w:val="18"/>
          <w:color w:val="auto"/>
        </w:rPr>
      </w:pPr>
    </w:p>
    <w:p>
      <w:pPr>
        <w:ind w:left="520" w:right="400" w:hanging="514"/>
        <w:spacing w:after="0" w:line="295" w:lineRule="auto"/>
        <w:tabs>
          <w:tab w:leader="none" w:pos="5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520" w:right="20" w:hanging="514"/>
        <w:spacing w:after="0" w:line="256"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020" w:right="180" w:hanging="509"/>
        <w:spacing w:after="0" w:line="256"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ind w:left="1020" w:right="500" w:hanging="509"/>
        <w:spacing w:after="0" w:line="256"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jc w:val="both"/>
        <w:ind w:left="1020" w:right="660" w:hanging="509"/>
        <w:spacing w:after="0" w:line="366" w:lineRule="auto"/>
        <w:tabs>
          <w:tab w:leader="none" w:pos="1020" w:val="left"/>
        </w:tabs>
        <w:numPr>
          <w:ilvl w:val="1"/>
          <w:numId w:val="1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 w:lineRule="exact"/>
        <w:rPr>
          <w:rFonts w:ascii="Arial" w:cs="Arial" w:eastAsia="Arial" w:hAnsi="Arial"/>
          <w:sz w:val="15"/>
          <w:szCs w:val="15"/>
          <w:color w:val="auto"/>
        </w:rPr>
      </w:pPr>
    </w:p>
    <w:p>
      <w:pPr>
        <w:ind w:left="1020" w:right="180" w:hanging="509"/>
        <w:spacing w:after="0" w:line="256"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520" w:right="320" w:hanging="514"/>
        <w:spacing w:after="0" w:line="366" w:lineRule="auto"/>
        <w:tabs>
          <w:tab w:leader="none" w:pos="5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Arial" w:cs="Arial" w:eastAsia="Arial" w:hAnsi="Arial"/>
          <w:sz w:val="15"/>
          <w:szCs w:val="15"/>
          <w:color w:val="auto"/>
        </w:rPr>
      </w:pPr>
    </w:p>
    <w:p>
      <w:pPr>
        <w:ind w:left="1020" w:right="80" w:hanging="509"/>
        <w:spacing w:after="0" w:line="295" w:lineRule="auto"/>
        <w:tabs>
          <w:tab w:leader="none" w:pos="10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1020" w:right="40" w:hanging="509"/>
        <w:spacing w:after="0" w:line="265" w:lineRule="auto"/>
        <w:tabs>
          <w:tab w:leader="none" w:pos="10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11430</wp:posOffset>
            </wp:positionV>
            <wp:extent cx="356743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Mark W. Marinko</w:t>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ind w:right="140"/>
        <w:spacing w:after="0" w:line="331" w:lineRule="auto"/>
        <w:rPr>
          <w:sz w:val="20"/>
          <w:szCs w:val="20"/>
          <w:color w:val="auto"/>
        </w:rPr>
      </w:pPr>
      <w:r>
        <w:rPr>
          <w:rFonts w:ascii="Arial" w:cs="Arial" w:eastAsia="Arial" w:hAnsi="Arial"/>
          <w:sz w:val="15"/>
          <w:szCs w:val="15"/>
          <w:color w:val="auto"/>
        </w:rPr>
        <w:t>In connection with the Quarterly Report of Great Lakes Dredge &amp; Dock Corporation (the “Company”) on Form 10-Q for the period ended September 30, 2020, as filed with the Securities and Exchange Commission on the date hereof (the “Report”), I, Lasse J. Petterson, Chief Executive Officer and Director of the Company, certify pursuant to 18 U.S.C. Section 1350, as adopted pursuant to Section 906 of the Sarbanes-Oxley Act of 2002, that:</w:t>
      </w:r>
    </w:p>
    <w:p>
      <w:pPr>
        <w:spacing w:after="0" w:line="30" w:lineRule="exact"/>
        <w:rPr>
          <w:sz w:val="20"/>
          <w:szCs w:val="20"/>
          <w:color w:val="auto"/>
        </w:rPr>
      </w:pPr>
    </w:p>
    <w:p>
      <w:pPr>
        <w:ind w:left="1020" w:hanging="509"/>
        <w:spacing w:after="0"/>
        <w:tabs>
          <w:tab w:leader="none" w:pos="10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Section 15(d) of the Securities Exchange Act of 1934, as amended; and</w:t>
      </w:r>
    </w:p>
    <w:p>
      <w:pPr>
        <w:spacing w:after="0" w:line="172" w:lineRule="exact"/>
        <w:rPr>
          <w:rFonts w:ascii="Arial" w:cs="Arial" w:eastAsia="Arial" w:hAnsi="Arial"/>
          <w:sz w:val="15"/>
          <w:szCs w:val="15"/>
          <w:color w:val="auto"/>
        </w:rPr>
      </w:pPr>
    </w:p>
    <w:p>
      <w:pPr>
        <w:ind w:left="1020" w:right="720" w:hanging="509"/>
        <w:spacing w:after="0" w:line="26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LASSE J. PETTERSON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8505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505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Lasse J. Petterson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pacing w:after="0" w:line="23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7" w:lineRule="exact"/>
        <w:rPr>
          <w:sz w:val="20"/>
          <w:szCs w:val="20"/>
          <w:color w:val="auto"/>
        </w:rPr>
      </w:pPr>
    </w:p>
    <w:p>
      <w:pPr>
        <w:ind w:right="20"/>
        <w:spacing w:after="0" w:line="331" w:lineRule="auto"/>
        <w:rPr>
          <w:sz w:val="20"/>
          <w:szCs w:val="20"/>
          <w:color w:val="auto"/>
        </w:rPr>
      </w:pPr>
      <w:r>
        <w:rPr>
          <w:rFonts w:ascii="Arial" w:cs="Arial" w:eastAsia="Arial" w:hAnsi="Arial"/>
          <w:sz w:val="15"/>
          <w:szCs w:val="15"/>
          <w:color w:val="auto"/>
        </w:rPr>
        <w:t>In connection with the Quarterly Report of Great Lakes Dredge &amp; Dock Corporation (the “Company”) on Form 10-Q for the period ended September 30, 2020 as filed with the Securities and Exchange Commission on the date hereof (the “Report”), I, Mark W. Marinko, Senior Vice President and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1020" w:hanging="509"/>
        <w:spacing w:after="0"/>
        <w:tabs>
          <w:tab w:leader="none" w:pos="10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Section 15(d) of the Securities Exchange Act of 1934, as amended; and</w:t>
      </w:r>
    </w:p>
    <w:p>
      <w:pPr>
        <w:spacing w:after="0" w:line="172" w:lineRule="exact"/>
        <w:rPr>
          <w:rFonts w:ascii="Arial" w:cs="Arial" w:eastAsia="Arial" w:hAnsi="Arial"/>
          <w:sz w:val="15"/>
          <w:szCs w:val="15"/>
          <w:color w:val="auto"/>
        </w:rPr>
      </w:pPr>
    </w:p>
    <w:p>
      <w:pPr>
        <w:ind w:left="1020" w:right="720" w:hanging="509"/>
        <w:spacing w:after="0" w:line="265"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MARK W. MARINKO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8505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05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 W. Marinko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2020</w:t>
      </w:r>
    </w:p>
    <w:p>
      <w:pPr>
        <w:spacing w:after="0" w:line="23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04"/>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2020-11-04T15:26:19Z</dcterms:created>
  <dcterms:modified xsi:type="dcterms:W3CDTF">2020-11-04T15:26:19Z</dcterms:modified>
</cp:coreProperties>
</file>