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40" w:type="dxa"/>
            <w:vAlign w:val="bottom"/>
          </w:tcPr>
          <w:p>
            <w:pPr>
              <w:spacing w:after="0"/>
              <w:rPr>
                <w:sz w:val="24"/>
                <w:szCs w:val="24"/>
                <w:color w:val="auto"/>
              </w:rPr>
            </w:pPr>
          </w:p>
        </w:tc>
        <w:tc>
          <w:tcPr>
            <w:tcW w:w="504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40" w:type="dxa"/>
            <w:vAlign w:val="bottom"/>
          </w:tcPr>
          <w:p>
            <w:pPr>
              <w:spacing w:after="0"/>
              <w:rPr>
                <w:sz w:val="15"/>
                <w:szCs w:val="15"/>
                <w:color w:val="auto"/>
              </w:rPr>
            </w:pPr>
          </w:p>
        </w:tc>
        <w:tc>
          <w:tcPr>
            <w:tcW w:w="504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3">
            <w:col w:w="8860" w:space="100"/>
            <w:col w:w="140" w:space="200"/>
            <w:col w:w="21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3, 2013, 59,390,161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Borders>
              <w:top w:val="single" w:sz="8" w:color="0000EE"/>
            </w:tcBorders>
          </w:tcPr>
          <w:p>
            <w:pPr>
              <w:spacing w:after="0"/>
              <w:rPr>
                <w:sz w:val="24"/>
                <w:szCs w:val="24"/>
                <w:color w:val="auto"/>
              </w:rPr>
            </w:pPr>
          </w:p>
        </w:tc>
        <w:tc>
          <w:tcPr>
            <w:tcW w:w="266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2013 and December 31,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2013 and 2012</w:t>
              </w:r>
            </w:hyperlink>
          </w:p>
        </w:tc>
        <w:tc>
          <w:tcPr>
            <w:tcW w:w="27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for the Three Months ended March 31,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Equity for the Three Months ended March 31, 2013 and 2012</w:t>
              </w:r>
            </w:hyperlink>
          </w:p>
        </w:tc>
        <w:tc>
          <w:tcPr>
            <w:tcW w:w="1200" w:type="dxa"/>
            <w:vAlign w:val="bottom"/>
            <w:tcBorders>
              <w:top w:val="single" w:sz="8" w:color="0000EE"/>
            </w:tcBorders>
            <w:gridSpan w:val="3"/>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Months ended March 31, 2013 and 2012</w:t>
              </w:r>
            </w:hyperlink>
          </w:p>
        </w:tc>
        <w:tc>
          <w:tcPr>
            <w:tcW w:w="2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Item 2 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440" w:type="dxa"/>
            <w:vAlign w:val="bottom"/>
          </w:tcPr>
          <w:p>
            <w:pPr>
              <w:spacing w:after="0"/>
              <w:rPr>
                <w:sz w:val="24"/>
                <w:szCs w:val="24"/>
                <w:color w:val="auto"/>
              </w:rPr>
            </w:pPr>
          </w:p>
        </w:tc>
        <w:tc>
          <w:tcPr>
            <w:tcW w:w="47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 Quantitative and Qualitative Disclosures About Market Risk</w:t>
              </w:r>
            </w:hyperlink>
          </w:p>
        </w:tc>
        <w:tc>
          <w:tcPr>
            <w:tcW w:w="58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7"/>
          </w:tcPr>
          <w:p>
            <w:pPr>
              <w:spacing w:after="0"/>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Part II Other Information</w:t>
              </w:r>
            </w:hyperlink>
          </w:p>
        </w:tc>
        <w:tc>
          <w:tcPr>
            <w:tcW w:w="90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1 Legal Proceedings</w:t>
              </w:r>
            </w:hyperlink>
          </w:p>
        </w:tc>
        <w:tc>
          <w:tcPr>
            <w:tcW w:w="88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2 Unregistered Sales of Equity Securities and Use of Proceeds</w:t>
              </w:r>
            </w:hyperlink>
          </w:p>
        </w:tc>
        <w:tc>
          <w:tcPr>
            <w:tcW w:w="5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276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7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5 Other Information</w:t>
              </w:r>
            </w:hyperlink>
          </w:p>
        </w:tc>
        <w:tc>
          <w:tcPr>
            <w:tcW w:w="440" w:type="dxa"/>
            <w:vAlign w:val="bottom"/>
            <w:tcBorders>
              <w:top w:val="single" w:sz="8" w:color="0000EE"/>
            </w:tcBorders>
            <w:gridSpan w:val="3"/>
          </w:tcPr>
          <w:p>
            <w:pPr>
              <w:spacing w:after="0"/>
              <w:rPr>
                <w:sz w:val="24"/>
                <w:szCs w:val="24"/>
                <w:color w:val="auto"/>
              </w:rPr>
            </w:pPr>
          </w:p>
        </w:tc>
        <w:tc>
          <w:tcPr>
            <w:tcW w:w="83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060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52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4">
              <w:r>
                <w:rPr>
                  <w:rFonts w:ascii="Arial" w:cs="Arial" w:eastAsia="Arial" w:hAnsi="Arial"/>
                  <w:sz w:val="18"/>
                  <w:szCs w:val="18"/>
                  <w:b w:val="1"/>
                  <w:bCs w:val="1"/>
                  <w:color w:val="0000EE"/>
                  <w:w w:val="86"/>
                </w:rPr>
                <w:t>Signature</w:t>
              </w:r>
            </w:hyperlink>
          </w:p>
        </w:tc>
        <w:tc>
          <w:tcPr>
            <w:tcW w:w="103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4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35">
              <w:r>
                <w:rPr>
                  <w:rFonts w:ascii="Arial" w:cs="Arial" w:eastAsia="Arial" w:hAnsi="Arial"/>
                  <w:sz w:val="18"/>
                  <w:szCs w:val="18"/>
                  <w:b w:val="1"/>
                  <w:bCs w:val="1"/>
                  <w:color w:val="0000EE"/>
                  <w:w w:val="90"/>
                </w:rPr>
                <w:t>Exhibit Index</w:t>
              </w:r>
            </w:hyperlink>
          </w:p>
        </w:tc>
        <w:tc>
          <w:tcPr>
            <w:tcW w:w="1000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6780" w:type="dxa"/>
            <w:vAlign w:val="bottom"/>
            <w:gridSpan w:val="17"/>
          </w:tcPr>
          <w:p>
            <w:pPr>
              <w:ind w:left="568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141,250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149,142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73,916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26,629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28,726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40,479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288,917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313,690</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347,740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346,540</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103,967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104,031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17,509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801,013</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88,624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123,082</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38,490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11,280</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141,240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185,950</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7 3/8% SENIOR NOTES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250,000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103,436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106,767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10,252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526,428</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552,970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stock—$.0001 par value; 90,000 authorized, 59,391 and 59,359 shares issued and outstanding at March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2013 and December 31, 2012,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272,156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271,418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274,817</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273,635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274,585</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273,425</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801,013</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7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7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188,847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154,907</w:t>
            </w:r>
          </w:p>
        </w:tc>
        <w:tc>
          <w:tcPr>
            <w:tcW w:w="100" w:type="dxa"/>
            <w:vAlign w:val="bottom"/>
            <w:shd w:val="clear" w:color="auto" w:fill="CCEEFF"/>
          </w:tcPr>
          <w:p>
            <w:pPr>
              <w:spacing w:after="0"/>
              <w:rPr>
                <w:sz w:val="18"/>
                <w:szCs w:val="18"/>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163,064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134,885</w:t>
            </w:r>
          </w:p>
        </w:tc>
        <w:tc>
          <w:tcPr>
            <w:tcW w:w="100" w:type="dxa"/>
            <w:vAlign w:val="bottom"/>
          </w:tcPr>
          <w:p>
            <w:pPr>
              <w:spacing w:after="0"/>
              <w:rPr>
                <w:sz w:val="19"/>
                <w:szCs w:val="19"/>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13,267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21"/>
        </w:trPr>
        <w:tc>
          <w:tcPr>
            <w:tcW w:w="77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19"/>
                <w:szCs w:val="19"/>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1"/>
        </w:trPr>
        <w:tc>
          <w:tcPr>
            <w:tcW w:w="774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r>
      <w:tr>
        <w:trPr>
          <w:trHeight w:val="222"/>
        </w:trPr>
        <w:tc>
          <w:tcPr>
            <w:tcW w:w="77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17"/>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r>
      <w:tr>
        <w:trPr>
          <w:trHeight w:val="20"/>
        </w:trPr>
        <w:tc>
          <w:tcPr>
            <w:tcW w:w="7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59,038</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59,434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00" w:type="dxa"/>
            <w:vAlign w:val="bottom"/>
          </w:tcPr>
          <w:p>
            <w:pPr>
              <w:spacing w:after="0"/>
              <w:rPr>
                <w:sz w:val="18"/>
                <w:szCs w:val="18"/>
                <w:color w:val="auto"/>
              </w:rPr>
            </w:pPr>
          </w:p>
        </w:tc>
        <w:tc>
          <w:tcPr>
            <w:tcW w:w="780" w:type="dxa"/>
            <w:vAlign w:val="bottom"/>
            <w:gridSpan w:val="3"/>
          </w:tcPr>
          <w:p>
            <w:pPr>
              <w:jc w:val="right"/>
              <w:ind w:right="32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 (2)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income—net of tax</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444</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$(4) and $3 for the three months ended March 31, 2013 and 2012,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$11 and $315 for the three months ended March 31, 2013 and 2012,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gridSpan w:val="12"/>
          </w:tcPr>
          <w:p>
            <w:pPr>
              <w:jc w:val="right"/>
              <w:ind w:right="820"/>
              <w:spacing w:after="0"/>
              <w:rPr>
                <w:sz w:val="20"/>
                <w:szCs w:val="20"/>
                <w:color w:val="auto"/>
              </w:rPr>
            </w:pPr>
            <w:r>
              <w:rPr>
                <w:rFonts w:ascii="Arial" w:cs="Arial" w:eastAsia="Arial" w:hAnsi="Arial"/>
                <w:sz w:val="14"/>
                <w:szCs w:val="14"/>
                <w:b w:val="1"/>
                <w:bCs w:val="1"/>
                <w:color w:val="auto"/>
                <w:w w:val="87"/>
              </w:rPr>
              <w:t>Great Lakes Dredge &amp; Dock Corporation shareholders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2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59,359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$271,418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751</w:t>
            </w: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Vesting of restricted stock units, including impact of shares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withheld for taxes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w w:val="94"/>
              </w:rPr>
              <w:t>Excess income tax benefit from share-based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433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comprehensive income—net of tax</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272,156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274,585</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right"/>
              <w:ind w:right="820"/>
              <w:spacing w:after="0"/>
              <w:rPr>
                <w:sz w:val="20"/>
                <w:szCs w:val="20"/>
                <w:color w:val="auto"/>
              </w:rPr>
            </w:pPr>
            <w:r>
              <w:rPr>
                <w:rFonts w:ascii="Arial" w:cs="Arial" w:eastAsia="Arial" w:hAnsi="Arial"/>
                <w:sz w:val="14"/>
                <w:szCs w:val="14"/>
                <w:b w:val="1"/>
                <w:bCs w:val="1"/>
                <w:color w:val="auto"/>
                <w:w w:val="87"/>
              </w:rPr>
              <w:t>Great Lakes Dredge &amp; Dock Corporation shareholders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2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2012</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58,999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$267,918</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$24,042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568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$292,537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1,015</w:t>
            </w: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Vesting of restricted stock units, including impact of shares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withheld for taxes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Excess income tax benefit from share-based compensation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(1,240)</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(1,240)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953</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income—net of tax</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478</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BALANCE—March 31, 2012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59,111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6</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268,998</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23,858</w:t>
            </w:r>
          </w:p>
        </w:tc>
        <w:tc>
          <w:tcPr>
            <w:tcW w:w="280" w:type="dxa"/>
            <w:vAlign w:val="bottom"/>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481</w:t>
            </w: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453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293,796</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12,075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dispositions of property and equipment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(gain)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(4,351)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(30,695)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(13,232)</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(18,244)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(15,514)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(15,456)</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Repayments of long term note payable</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(10,547)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79,500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(58,000)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(17,797)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24,440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its subsidiaries (the “Company” or “Great Lakes”) and the notes thereto, included in the Company’s Annual Report on Form 10-K for the year ended December 31, 2012.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2013, and its results of operations for the three months ended March 31, 2013 and 2012 and cash flows for the three months ended March 31, 2013 and 2012 have been included.</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13"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20%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months ended March 31, 2013 and 2012,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center"/>
              <w:ind w:left="136"/>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60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4"/>
              </w:rPr>
              <w:t>Net income attributable to common shareholders of Great Lakes Dredge &amp; Dock</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59,369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59,038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ind w:left="1380"/>
              <w:spacing w:after="0"/>
              <w:rPr>
                <w:sz w:val="20"/>
                <w:szCs w:val="20"/>
                <w:color w:val="auto"/>
              </w:rPr>
            </w:pPr>
            <w:r>
              <w:rPr>
                <w:rFonts w:ascii="Arial" w:cs="Arial" w:eastAsia="Arial" w:hAnsi="Arial"/>
                <w:sz w:val="18"/>
                <w:szCs w:val="18"/>
                <w:color w:val="auto"/>
              </w:rPr>
              <w:t>Weighted-average common shares outstanding — diluted</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60,017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59,434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440" w:type="dxa"/>
            <w:vAlign w:val="bottom"/>
            <w:gridSpan w:val="2"/>
          </w:tcPr>
          <w:p>
            <w:pPr>
              <w:ind w:left="46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spacing w:after="0"/>
              <w:rPr>
                <w:sz w:val="20"/>
                <w:szCs w:val="20"/>
                <w:color w:val="auto"/>
              </w:rPr>
            </w:pPr>
            <w:r>
              <w:rPr>
                <w:rFonts w:ascii="Arial" w:cs="Arial" w:eastAsia="Arial" w:hAnsi="Arial"/>
                <w:sz w:val="18"/>
                <w:szCs w:val="18"/>
                <w:color w:val="auto"/>
              </w:rPr>
              <w:t>Accounts receivable at March 31, 2013 and December 31, 2012 are as follows: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24"/>
                <w:szCs w:val="24"/>
                <w:color w:val="auto"/>
              </w:rPr>
            </w:pPr>
          </w:p>
        </w:tc>
        <w:tc>
          <w:tcPr>
            <w:tcW w:w="1180" w:type="dxa"/>
            <w:vAlign w:val="bottom"/>
            <w:gridSpan w:val="7"/>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Contracts in progress</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74,653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91,459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20,119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151,756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159,776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(2,469)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accounts receivable—net</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149,287</w:t>
            </w:r>
          </w:p>
        </w:tc>
        <w:tc>
          <w:tcPr>
            <w:tcW w:w="3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157,726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$141,250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149,142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149,287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157,726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components of contracts in progress at March 31, 2013 and December 31, 2012 are as follows:</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24"/>
                <w:szCs w:val="24"/>
                <w:color w:val="auto"/>
              </w:rPr>
            </w:pPr>
          </w:p>
        </w:tc>
        <w:tc>
          <w:tcPr>
            <w:tcW w:w="1180" w:type="dxa"/>
            <w:vAlign w:val="bottom"/>
            <w:gridSpan w:val="7"/>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$ 346,231</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458,750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1440" w:type="dxa"/>
            <w:vAlign w:val="bottom"/>
            <w:gridSpan w:val="6"/>
            <w:shd w:val="clear" w:color="auto" w:fill="CCEEFF"/>
          </w:tcPr>
          <w:p>
            <w:pPr>
              <w:jc w:val="right"/>
              <w:ind w:right="196"/>
              <w:spacing w:after="0"/>
              <w:rPr>
                <w:sz w:val="20"/>
                <w:szCs w:val="20"/>
                <w:color w:val="auto"/>
              </w:rPr>
            </w:pPr>
            <w:r>
              <w:rPr>
                <w:rFonts w:ascii="Arial" w:cs="Arial" w:eastAsia="Arial" w:hAnsi="Arial"/>
                <w:sz w:val="18"/>
                <w:szCs w:val="18"/>
                <w:color w:val="auto"/>
              </w:rPr>
              <w:t>(279,717)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(392,860)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3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66,514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65,890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54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73,916</w:t>
            </w:r>
          </w:p>
        </w:tc>
        <w:tc>
          <w:tcPr>
            <w:tcW w:w="3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69,574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440" w:type="dxa"/>
            <w:vAlign w:val="bottom"/>
            <w:gridSpan w:val="6"/>
          </w:tcPr>
          <w:p>
            <w:pPr>
              <w:jc w:val="right"/>
              <w:ind w:right="196"/>
              <w:spacing w:after="0"/>
              <w:rPr>
                <w:sz w:val="20"/>
                <w:szCs w:val="20"/>
                <w:color w:val="auto"/>
              </w:rPr>
            </w:pPr>
            <w:r>
              <w:rPr>
                <w:rFonts w:ascii="Arial" w:cs="Arial" w:eastAsia="Arial" w:hAnsi="Arial"/>
                <w:sz w:val="18"/>
                <w:szCs w:val="18"/>
                <w:color w:val="auto"/>
              </w:rPr>
              <w:t>$(376,801)</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 (338,741)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367,272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327,461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54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96"/>
              <w:spacing w:after="0"/>
              <w:rPr>
                <w:sz w:val="20"/>
                <w:szCs w:val="20"/>
                <w:color w:val="auto"/>
              </w:rPr>
            </w:pPr>
            <w:r>
              <w:rPr>
                <w:rFonts w:ascii="Arial" w:cs="Arial" w:eastAsia="Arial" w:hAnsi="Arial"/>
                <w:sz w:val="18"/>
                <w:szCs w:val="18"/>
                <w:color w:val="auto"/>
              </w:rPr>
              <w:t>(9,529)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568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2013 and December 31, 2012, the Company held certain derivative contracts that it uses to manage commodity price risk. The Company does not hold or issue derivatives for speculative or trading purposes. The fair values of these financial instruments are summarized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40" w:type="dxa"/>
            <w:vAlign w:val="bottom"/>
          </w:tcPr>
          <w:p>
            <w:pPr>
              <w:spacing w:after="0"/>
              <w:rPr>
                <w:sz w:val="12"/>
                <w:szCs w:val="12"/>
                <w:color w:val="auto"/>
              </w:rPr>
            </w:pPr>
          </w:p>
        </w:tc>
        <w:tc>
          <w:tcPr>
            <w:tcW w:w="18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40" w:type="dxa"/>
            <w:vAlign w:val="bottom"/>
          </w:tcPr>
          <w:p>
            <w:pPr>
              <w:spacing w:after="0"/>
              <w:rPr>
                <w:sz w:val="12"/>
                <w:szCs w:val="12"/>
                <w:color w:val="auto"/>
              </w:rPr>
            </w:pPr>
          </w:p>
        </w:tc>
        <w:tc>
          <w:tcPr>
            <w:tcW w:w="18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At March 31, 2013</w:t>
            </w:r>
          </w:p>
        </w:tc>
        <w:tc>
          <w:tcPr>
            <w:tcW w:w="100" w:type="dxa"/>
            <w:vAlign w:val="bottom"/>
          </w:tcPr>
          <w:p>
            <w:pPr>
              <w:spacing w:after="0"/>
              <w:rPr>
                <w:sz w:val="14"/>
                <w:szCs w:val="14"/>
                <w:color w:val="auto"/>
              </w:rPr>
            </w:pPr>
          </w:p>
        </w:tc>
        <w:tc>
          <w:tcPr>
            <w:tcW w:w="102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91"/>
              </w:rPr>
              <w:t>(Level 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4"/>
                <w:szCs w:val="14"/>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40" w:type="dxa"/>
            <w:vAlign w:val="bottom"/>
          </w:tcPr>
          <w:p>
            <w:pPr>
              <w:spacing w:after="0"/>
              <w:rPr>
                <w:sz w:val="12"/>
                <w:szCs w:val="12"/>
                <w:color w:val="auto"/>
              </w:rPr>
            </w:pPr>
          </w:p>
        </w:tc>
        <w:tc>
          <w:tcPr>
            <w:tcW w:w="18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00" w:type="dxa"/>
            <w:vAlign w:val="bottom"/>
            <w:vMerge w:val="restart"/>
          </w:tcPr>
          <w:p>
            <w:pPr>
              <w:spacing w:after="0"/>
              <w:rPr>
                <w:sz w:val="12"/>
                <w:szCs w:val="12"/>
                <w:color w:val="auto"/>
              </w:rPr>
            </w:pPr>
          </w:p>
        </w:tc>
        <w:tc>
          <w:tcPr>
            <w:tcW w:w="1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At December 31,</w:t>
            </w:r>
          </w:p>
        </w:tc>
        <w:tc>
          <w:tcPr>
            <w:tcW w:w="100" w:type="dxa"/>
            <w:vAlign w:val="bottom"/>
          </w:tcPr>
          <w:p>
            <w:pPr>
              <w:spacing w:after="0"/>
              <w:rPr>
                <w:sz w:val="12"/>
                <w:szCs w:val="12"/>
                <w:color w:val="auto"/>
              </w:rPr>
            </w:pPr>
          </w:p>
        </w:tc>
        <w:tc>
          <w:tcPr>
            <w:tcW w:w="102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40" w:type="dxa"/>
            <w:vAlign w:val="bottom"/>
          </w:tcPr>
          <w:p>
            <w:pPr>
              <w:spacing w:after="0"/>
              <w:rPr>
                <w:sz w:val="12"/>
                <w:szCs w:val="12"/>
                <w:color w:val="auto"/>
              </w:rPr>
            </w:pPr>
          </w:p>
        </w:tc>
        <w:tc>
          <w:tcPr>
            <w:tcW w:w="18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39"/>
              <w:spacing w:after="0" w:line="148" w:lineRule="exact"/>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91"/>
              </w:rPr>
              <w:t>(Level 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4"/>
                <w:szCs w:val="14"/>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31, 2013, the Company was party to various swap arrangements to hedge the price of a portion of its diesel fuel purchase requirements for work in its backlog to be performed through March 2014. As of March 31, 2013, there were 2.0 million gallons remaining on these contracts which represent approximately 80% of the Company’s forecasted fuel purchases through March 2014. Under these swap agreements, the Company will pay fixed prices ranging from $3.01 to $3.26 per gallon.</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March 31, 2013, the fair value liability of the fuel hedge contracts was estimated to be $150 and is recorded in accrued expenses. At December 31, 2012 the fair value liability of the fuel hedge contracts was estimated to be $178 and is recorded in accrued expenses. The loss reclassified to earnings from changes in fair value of derivatives, net of cash settlements and taxes, for the three months ended March 31, 2013 was $137. The remaining gains and losses included in accumulated other comprehensive income (loss) at March 31, 2013 will be reclassified into earnings over the next twelve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2013 and December 31, 2012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Fair Value at</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6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3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Balance Sheet Location</w:t>
            </w:r>
          </w:p>
        </w:tc>
        <w:tc>
          <w:tcPr>
            <w:tcW w:w="580" w:type="dxa"/>
            <w:vAlign w:val="bottom"/>
          </w:tcPr>
          <w:p>
            <w:pPr>
              <w:jc w:val="right"/>
              <w:ind w:right="8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82"/>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4"/>
                <w:szCs w:val="14"/>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13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jc w:val="center"/>
              <w:ind w:right="852"/>
              <w:spacing w:after="0"/>
              <w:rPr>
                <w:sz w:val="20"/>
                <w:szCs w:val="20"/>
                <w:color w:val="auto"/>
              </w:rPr>
            </w:pPr>
            <w:r>
              <w:rPr>
                <w:rFonts w:ascii="Arial" w:cs="Arial" w:eastAsia="Arial" w:hAnsi="Arial"/>
                <w:sz w:val="18"/>
                <w:szCs w:val="18"/>
                <w:color w:val="auto"/>
                <w:w w:val="85"/>
              </w:rPr>
              <w:t>Derivatives designated as hedges</w:t>
            </w: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jc w:val="center"/>
              <w:ind w:right="852"/>
              <w:spacing w:after="0"/>
              <w:rPr>
                <w:sz w:val="20"/>
                <w:szCs w:val="20"/>
                <w:color w:val="auto"/>
              </w:rPr>
            </w:pPr>
            <w:r>
              <w:rPr>
                <w:rFonts w:ascii="Arial" w:cs="Arial" w:eastAsia="Arial" w:hAnsi="Arial"/>
                <w:sz w:val="18"/>
                <w:szCs w:val="18"/>
                <w:color w:val="auto"/>
                <w:w w:val="85"/>
              </w:rPr>
              <w:t>Fuel hedge contracts</w:t>
            </w:r>
          </w:p>
        </w:tc>
        <w:tc>
          <w:tcPr>
            <w:tcW w:w="13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Accrued expenses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150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0"/>
        </w:trPr>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9"/>
          </w:tcPr>
          <w:p>
            <w:pPr>
              <w:jc w:val="right"/>
              <w:ind w:right="112"/>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adjustments—net of tax</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1"/>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Derivatives: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0" w:type="dxa"/>
            <w:vAlign w:val="bottom"/>
          </w:tcPr>
          <w:p>
            <w:pPr>
              <w:ind w:left="440"/>
              <w:spacing w:after="0"/>
              <w:rPr>
                <w:sz w:val="20"/>
                <w:szCs w:val="20"/>
                <w:color w:val="auto"/>
              </w:rPr>
            </w:pPr>
            <w:r>
              <w:rPr>
                <w:rFonts w:ascii="Arial" w:cs="Arial" w:eastAsia="Arial" w:hAnsi="Arial"/>
                <w:sz w:val="18"/>
                <w:szCs w:val="18"/>
                <w:color w:val="auto"/>
              </w:rPr>
              <w:t>Change in fair value of derivatives—net of tax</w:t>
            </w:r>
          </w:p>
        </w:tc>
        <w:tc>
          <w:tcPr>
            <w:tcW w:w="2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4"/>
          </w:tcPr>
          <w:p>
            <w:pPr>
              <w:jc w:val="right"/>
              <w:ind w:right="7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860" w:type="dxa"/>
            <w:vAlign w:val="bottom"/>
            <w:gridSpan w:val="2"/>
          </w:tcPr>
          <w:p>
            <w:pPr>
              <w:ind w:left="460"/>
              <w:spacing w:after="0"/>
              <w:rPr>
                <w:sz w:val="20"/>
                <w:szCs w:val="20"/>
                <w:color w:val="auto"/>
              </w:rPr>
            </w:pPr>
            <w:r>
              <w:rPr>
                <w:rFonts w:ascii="Arial" w:cs="Arial" w:eastAsia="Arial" w:hAnsi="Arial"/>
                <w:sz w:val="18"/>
                <w:szCs w:val="18"/>
                <w:color w:val="auto"/>
              </w:rPr>
              <w:t>Total other comprehensive income—net of tax</w:t>
            </w:r>
          </w:p>
        </w:tc>
        <w:tc>
          <w:tcPr>
            <w:tcW w:w="21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4"/>
            <w:vMerge w:val="restart"/>
          </w:tcPr>
          <w:p>
            <w:pPr>
              <w:spacing w:after="0"/>
              <w:rPr>
                <w:sz w:val="20"/>
                <w:szCs w:val="20"/>
                <w:color w:val="auto"/>
              </w:rPr>
            </w:pPr>
            <w:r>
              <w:rPr>
                <w:rFonts w:ascii="Arial" w:cs="Arial" w:eastAsia="Arial" w:hAnsi="Arial"/>
                <w:sz w:val="18"/>
                <w:szCs w:val="18"/>
                <w:color w:val="auto"/>
                <w:w w:val="88"/>
              </w:rPr>
              <w:t>Adjustments reclassified from accumulated balances of other comprehensive income to earnings are as follows:</w:t>
            </w: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2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Statement of Operations Location</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21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2013</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2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Fuel hedge contracts</w:t>
            </w:r>
          </w:p>
        </w:tc>
        <w:tc>
          <w:tcPr>
            <w:tcW w:w="2140" w:type="dxa"/>
            <w:vAlign w:val="bottom"/>
          </w:tcPr>
          <w:p>
            <w:pPr>
              <w:spacing w:after="0"/>
              <w:rPr>
                <w:sz w:val="20"/>
                <w:szCs w:val="20"/>
                <w:color w:val="auto"/>
              </w:rPr>
            </w:pPr>
            <w:r>
              <w:rPr>
                <w:rFonts w:ascii="Arial" w:cs="Arial" w:eastAsia="Arial" w:hAnsi="Arial"/>
                <w:sz w:val="18"/>
                <w:szCs w:val="18"/>
                <w:color w:val="auto"/>
                <w:w w:val="98"/>
              </w:rPr>
              <w:t>Costs of contract revenues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tax (provision) benefit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March 31, 2013. The senior notes are senior unsecured obligations of the Company and its subsidiaries that guarantee the senior notes. The fair value of the senior notes was $263,750 at March 31, 2013, which is a Level 1 fair value measurement as the senior notes value was obtained using quoted prices in active markets.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2013 and December 31, 2012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3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$ 10,139</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9,560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liabilities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3,401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Plant &amp; overhead accrual</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3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$ 40,561</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0" w:type="dxa"/>
            <w:vAlign w:val="bottom"/>
            <w:vMerge w:val="restart"/>
          </w:tcPr>
          <w:p>
            <w:pPr>
              <w:jc w:val="right"/>
              <w:ind w:right="2114"/>
              <w:spacing w:after="0"/>
              <w:rPr>
                <w:sz w:val="20"/>
                <w:szCs w:val="20"/>
                <w:color w:val="auto"/>
              </w:rPr>
            </w:pPr>
            <w:r>
              <w:rPr>
                <w:rFonts w:ascii="Arial" w:cs="Arial" w:eastAsia="Arial" w:hAnsi="Arial"/>
                <w:sz w:val="18"/>
                <w:szCs w:val="18"/>
                <w:color w:val="auto"/>
              </w:rPr>
              <w:t>11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and the Company will be in pro forma compliance with the existing financial covenants both before and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and subject to other standard conditions. The prior credit agreement with Bank of America N.A. was terminated.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at either a LIBOR rate plus a margin of between 1.50% to 2.50% per annum or a base rate plus a margin of between 0.50% to 1.50% per annum.</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2013, the Company had $21,500 of borrowings on the revolver and $33,420 of letters of credit outstanding, resulting in $120,080 of availability under the Credit Agreement. At March 31, 2013, the Company was in compliance with its various covenants under its Credit Agreement.</w:t>
      </w:r>
    </w:p>
    <w:p>
      <w:pPr>
        <w:spacing w:after="0" w:line="14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March 31, 2013, Great Lakes had no letters of credit outstanding under this facility. At March 31, 2013, the Company also had $250,000 of 7.375% senior notes outstanding, which mature in February 2019.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Segment information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4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173,959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123,673</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(12,406)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188,847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154,907</w:t>
            </w:r>
          </w:p>
        </w:tc>
        <w:tc>
          <w:tcPr>
            <w:tcW w:w="120" w:type="dxa"/>
            <w:vAlign w:val="bottom"/>
            <w:shd w:val="clear" w:color="auto" w:fill="CCEEFF"/>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Foreign dredging revenue of $38,385 and $18,025 for the three months ended March 31, 2013 and 2012, respectively, was primarily attributable to work done in the Middle East as well as for the Wheatstone LNG project in Western Australia.</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320" w:firstLine="224"/>
        <w:spacing w:after="0" w:line="417" w:lineRule="auto"/>
        <w:tabs>
          <w:tab w:leader="none" w:pos="64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Bid bonds are generally obtained for a percentage of bid value and amounts outstanding typically range from $1,000 to $10,000. At March 31, 2013, the Company had outstanding performance bonds valued at approximately $612,677; however, the revenue value remaining in backlog related to these projects totaled approximately $186,754. 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the Company’s results of operations, cash flows or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March 19, 2013, the Company and three of its current and former executives were sued in a securities class action in the Northern District of Illinois captioned </w:t>
      </w:r>
      <w:r>
        <w:rPr>
          <w:rFonts w:ascii="Arial" w:cs="Arial" w:eastAsia="Arial" w:hAnsi="Arial"/>
          <w:sz w:val="16"/>
          <w:szCs w:val="16"/>
          <w:i w:val="1"/>
          <w:iCs w:val="1"/>
          <w:color w:val="auto"/>
        </w:rPr>
        <w:t>United Union of Roofers, Waterproofers &amp; Allied Workers Local Union No. 8 v. Great Lakes Dredge &amp; Dock Corporation et al.</w:t>
      </w:r>
      <w:r>
        <w:rPr>
          <w:rFonts w:ascii="Arial" w:cs="Arial" w:eastAsia="Arial" w:hAnsi="Arial"/>
          <w:sz w:val="16"/>
          <w:szCs w:val="16"/>
          <w:color w:val="auto"/>
        </w:rPr>
        <w:t>, Case No. 1:13-cv-02115.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w:t>
      </w:r>
      <w:r>
        <w:rPr>
          <w:rFonts w:ascii="Arial" w:cs="Arial" w:eastAsia="Arial" w:hAnsi="Arial"/>
          <w:sz w:val="16"/>
          <w:szCs w:val="16"/>
          <w:i w:val="1"/>
          <w:iCs w:val="1"/>
          <w:color w:val="auto"/>
        </w:rPr>
        <w:t>Boozer v. Great Lakes Dredge &amp; Dock Corporation et al.</w:t>
      </w:r>
      <w:r>
        <w:rPr>
          <w:rFonts w:ascii="Arial" w:cs="Arial" w:eastAsia="Arial" w:hAnsi="Arial"/>
          <w:sz w:val="16"/>
          <w:szCs w:val="16"/>
          <w:color w:val="auto"/>
        </w:rPr>
        <w:t xml:space="preserve">, Case No. 1:13-cv-02339, and </w:t>
      </w:r>
      <w:r>
        <w:rPr>
          <w:rFonts w:ascii="Arial" w:cs="Arial" w:eastAsia="Arial" w:hAnsi="Arial"/>
          <w:sz w:val="16"/>
          <w:szCs w:val="16"/>
          <w:i w:val="1"/>
          <w:iCs w:val="1"/>
          <w:color w:val="auto"/>
        </w:rPr>
        <w:t>Connors v. Great Lakes Dredge &amp; Dock Corporation et al.</w:t>
      </w:r>
      <w:r>
        <w:rPr>
          <w:rFonts w:ascii="Arial" w:cs="Arial" w:eastAsia="Arial" w:hAnsi="Arial"/>
          <w:sz w:val="16"/>
          <w:szCs w:val="16"/>
          <w:color w:val="auto"/>
        </w:rPr>
        <w:t>, Case No. 1:13-cv-02450, were filed in the Northern District of Illinois on March 28, 2013,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 2013, respectively. The Company denies liability and intends to vigorously defend these actions.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On March 28, 2013, the Company was named as a nominal defendant, and its directors were named as defendants, in a shareholder derivative action in DuPage County Circuit Court in Illinois captioned </w:t>
      </w:r>
      <w:r>
        <w:rPr>
          <w:rFonts w:ascii="Arial" w:cs="Arial" w:eastAsia="Arial" w:hAnsi="Arial"/>
          <w:sz w:val="16"/>
          <w:szCs w:val="16"/>
          <w:i w:val="1"/>
          <w:iCs w:val="1"/>
          <w:color w:val="auto"/>
        </w:rPr>
        <w:t>Hammoud v. Berger et al.</w:t>
      </w:r>
      <w:r>
        <w:rPr>
          <w:rFonts w:ascii="Arial" w:cs="Arial" w:eastAsia="Arial" w:hAnsi="Arial"/>
          <w:sz w:val="16"/>
          <w:szCs w:val="16"/>
          <w:color w:val="auto"/>
        </w:rPr>
        <w:t xml:space="preserve">,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w:t>
      </w:r>
      <w:r>
        <w:rPr>
          <w:rFonts w:ascii="Arial" w:cs="Arial" w:eastAsia="Arial" w:hAnsi="Arial"/>
          <w:sz w:val="16"/>
          <w:szCs w:val="16"/>
          <w:i w:val="1"/>
          <w:iCs w:val="1"/>
          <w:color w:val="auto"/>
        </w:rPr>
        <w:t>The City of Haverhill Retirement System v.</w:t>
      </w:r>
      <w:r>
        <w:rPr>
          <w:rFonts w:ascii="Arial" w:cs="Arial" w:eastAsia="Arial" w:hAnsi="Arial"/>
          <w:sz w:val="16"/>
          <w:szCs w:val="16"/>
          <w:color w:val="auto"/>
        </w:rPr>
        <w:t xml:space="preserve"> </w:t>
      </w:r>
      <w:r>
        <w:rPr>
          <w:rFonts w:ascii="Arial" w:cs="Arial" w:eastAsia="Arial" w:hAnsi="Arial"/>
          <w:sz w:val="16"/>
          <w:szCs w:val="16"/>
          <w:i w:val="1"/>
          <w:iCs w:val="1"/>
          <w:color w:val="auto"/>
        </w:rPr>
        <w:t>Leight et al.</w:t>
      </w:r>
      <w:r>
        <w:rPr>
          <w:rFonts w:ascii="Arial" w:cs="Arial" w:eastAsia="Arial" w:hAnsi="Arial"/>
          <w:sz w:val="16"/>
          <w:szCs w:val="16"/>
          <w:color w:val="auto"/>
        </w:rPr>
        <w:t>, Case No. 1:13-cv-02470, was filed in the Northern District of Illinois on April 2, 2013.</w:t>
      </w:r>
    </w:p>
    <w:p>
      <w:pPr>
        <w:spacing w:after="0" w:line="1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During the quarter ended March 31, 2012, a favorable judgment was rendered in the Company’s loss of use claim related to the dredge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allision in the approach channel to Port Newark, New Jersey. In January 2008, the Company filed suit against the M/V </w:t>
      </w:r>
      <w:r>
        <w:rPr>
          <w:rFonts w:ascii="Arial" w:cs="Arial" w:eastAsia="Arial" w:hAnsi="Arial"/>
          <w:sz w:val="16"/>
          <w:szCs w:val="16"/>
          <w:i w:val="1"/>
          <w:iCs w:val="1"/>
          <w:color w:val="auto"/>
        </w:rPr>
        <w:t>Orange Sun</w:t>
      </w:r>
      <w:r>
        <w:rPr>
          <w:rFonts w:ascii="Arial" w:cs="Arial" w:eastAsia="Arial" w:hAnsi="Arial"/>
          <w:sz w:val="16"/>
          <w:szCs w:val="16"/>
          <w:color w:val="auto"/>
        </w:rPr>
        <w:t xml:space="preserve"> and her owners for damages incurred by the Company in connection with the allision. Following a bench trial in the 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Oral argument was conducted on April 5, 2013 and on April 30, 2013 the appellate panel summarily affirmed the trial court’s opinion in favor of Great Lakes. The defendants are entitled to appeal the decision to either the Second Circuit en banc or the Supreme Court of the United States. The Company cannot be assured whether defendants will continue to appeal the judgment or predict the outcome of any further appellate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Subsidiary guarantors</w:t>
      </w:r>
    </w:p>
    <w:p>
      <w:pPr>
        <w:spacing w:after="0" w:line="9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Company’s long-term debt at March 31, 2013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6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March 31, 2013 and December 31,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months ended March 31, 2013 and 2012;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2013 and 2012.</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Subsidiary</w:t>
            </w:r>
          </w:p>
        </w:tc>
        <w:tc>
          <w:tcPr>
            <w:tcW w:w="40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137,857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(96,918)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29,326</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361,020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10,236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(96,986)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347,706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36,423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650,100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(652,181)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868,764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10,607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670,809</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(749,167)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801,013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75,529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4,720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(96,774)</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210,418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7,023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(96,986)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141,240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220,167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(96,986)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648,597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274,817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(652,181)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648,597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274,585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(652,181)</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274,585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868,764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10,607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670,809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(749,167)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801,013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Non-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Subsidiary</w:t>
            </w:r>
          </w:p>
        </w:tc>
        <w:tc>
          <w:tcPr>
            <w:tcW w:w="4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4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147,610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(148,763)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400,372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346,503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618,070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ind w:left="1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908,478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9,796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677,161</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(769,040)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122,191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105,303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(148,793)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281,216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47,043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185,950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106,144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291,543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403,736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552,970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616,935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273,635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616,935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273,425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273,425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908,478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9,796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677,161</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(769,040)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2013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4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Guarantors</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185,419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188,847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(159,932)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(163,064)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296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19,187</w:t>
            </w:r>
          </w:p>
        </w:tc>
        <w:tc>
          <w:tcPr>
            <w:tcW w:w="0" w:type="dxa"/>
            <w:vAlign w:val="bottom"/>
          </w:tcPr>
          <w:p>
            <w:pPr>
              <w:spacing w:after="0"/>
              <w:rPr>
                <w:sz w:val="1"/>
                <w:szCs w:val="1"/>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(Gain) 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(5,672)</w:t>
            </w:r>
          </w:p>
        </w:tc>
        <w:tc>
          <w:tcPr>
            <w:tcW w:w="18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9,556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tcPr>
          <w:p>
            <w:pPr>
              <w:ind w:left="8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3,884</w:t>
            </w:r>
          </w:p>
        </w:tc>
        <w:tc>
          <w:tcPr>
            <w:tcW w:w="1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411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5460" w:type="dxa"/>
            <w:vAlign w:val="bottom"/>
          </w:tcPr>
          <w:p>
            <w:pPr>
              <w:ind w:left="880"/>
              <w:spacing w:after="0"/>
              <w:rPr>
                <w:sz w:val="20"/>
                <w:szCs w:val="20"/>
                <w:color w:val="auto"/>
              </w:rPr>
            </w:pPr>
            <w:r>
              <w:rPr>
                <w:rFonts w:ascii="Arial" w:cs="Arial" w:eastAsia="Arial" w:hAnsi="Arial"/>
                <w:sz w:val="18"/>
                <w:szCs w:val="18"/>
                <w:color w:val="auto"/>
              </w:rPr>
              <w:t>Net income (loss) attributable to Great Lakes Dredge &amp;</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080"/>
              <w:spacing w:after="0"/>
              <w:rPr>
                <w:sz w:val="20"/>
                <w:szCs w:val="20"/>
                <w:color w:val="auto"/>
              </w:rPr>
            </w:pPr>
            <w:r>
              <w:rPr>
                <w:rFonts w:ascii="Arial" w:cs="Arial" w:eastAsia="Arial" w:hAnsi="Arial"/>
                <w:sz w:val="18"/>
                <w:szCs w:val="18"/>
                <w:color w:val="auto"/>
              </w:rPr>
              <w:t>Dock 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9,446</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Comprehensive income (loss) attributable to Great Lakes Dredge &amp;</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1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Guarantors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155,444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(2,336)</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154,907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(135,167)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(134,885)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(Gain) loss on sale of assets—net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 net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8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1,068</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operating activities</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(8,582)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(2,952)</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(15,514)</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(15,456)</w:t>
            </w:r>
          </w:p>
        </w:tc>
        <w:tc>
          <w:tcPr>
            <w:tcW w:w="16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(15,456)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Repayments of long term note payable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(10,547)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6,127</w:t>
            </w: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1,861</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loans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Repayments of revolving 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(58,000)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1"/>
              </w:rPr>
              <w:t>Effect of foreign currency exchange rates on cash and cash equivalents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(17,936)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24,272</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Arial" w:cs="Arial" w:eastAsia="Arial" w:hAnsi="Arial"/>
                <w:sz w:val="18"/>
                <w:szCs w:val="18"/>
                <w:color w:val="auto"/>
                <w:w w:val="79"/>
              </w:rPr>
              <w:t>20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operating activities</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(13,845)</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(8,101)</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(8,033)</w:t>
            </w:r>
          </w:p>
        </w:tc>
        <w:tc>
          <w:tcPr>
            <w:tcW w:w="16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(10,089)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(10,327)</w:t>
            </w: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(4,943)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foreign currency exchange rates on cash and cash equivalents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(23,560)</w:t>
            </w:r>
          </w:p>
        </w:tc>
        <w:tc>
          <w:tcPr>
            <w:tcW w:w="1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(4,110)</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108,985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85,425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Arial" w:cs="Arial" w:eastAsia="Arial" w:hAnsi="Arial"/>
                <w:sz w:val="18"/>
                <w:szCs w:val="18"/>
                <w:color w:val="auto"/>
                <w:w w:val="79"/>
              </w:rPr>
              <w:t>21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2012, and in other securities filings by Great Lakes with the SEC.</w:t>
      </w:r>
    </w:p>
    <w:p>
      <w:pPr>
        <w:spacing w:after="0" w:line="128"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22% of its dredging revenues for the first three months of 2013, compared with the Company’s prior three year average of 16%. The mobility of the Company’s fleet enables the Company to move equipment in response to changes in demand for dredging services.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The U.S. dredging market consists of three primary types of work: capital, coastal protection and maintenance. The Company’s “bid market” is defined as the aggregate dollar value of domestic projects on which the Company bid or could have bid if not for capacity constraints. The Company experienced an average combined bid market share in the U.S. of 37% over the prior three years, including 29%, 60% and 31% of the domestic capital, coastal protection and maintenance sectors, respectively. The Company’s average bid market share of rivers &amp; lakes in the two years of activity since the Matteson acquisition is 43%.</w:t>
      </w:r>
    </w:p>
    <w:p>
      <w:pPr>
        <w:spacing w:after="0" w:line="144"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The Company’s largest domestic dredging customer is the U.S. Army Corps of Engineers (the “Corps”), which is responsible for civil projects related to navigation and improvements to U.S. waters and related resources. In the first three months of 2013, the Company’s dredging revenues earned from contracts with federal government agencies, including the Corps as well as other federal entities such as the U.S. Coast Guard and the U.S. Navy, and third parties operating under contracts with federal agencies, were approximately 41% of dredging revenues, below the Company’s prior three year average of 62%.</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demolition subsidiaries, collectively, are a U.S. provider of commercial and industrial demolition and remediation services such as exterior and interior demolition for site preparation as well as environmental remediation. Historically, the majority of the work was performed in the New England area. Through increased collaboration with Great Lakes’ other lines of business, the demolition operations are pursuing opportunities outside of the New England area and into the marine demolition markets, specifically bridge demolition across the eastern part of the U.S. Through an acquisition in 2012, the segment’s scope of work has expanded into the Midwest U.S. market. In the first three months of 2013, demolition revenues accounted for 8% of total revenues, below the prior three year average of 14%.</w:t>
      </w:r>
    </w:p>
    <w:p>
      <w:pPr>
        <w:spacing w:after="0" w:line="144"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tables set forth the components of net income attributable to Great Lakes Dredge &amp; Dock Corporation and Adjusted EBITDA, as defined below, as a percentage of contract revenues for the three months ended March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880" w:type="dxa"/>
            <w:vAlign w:val="bottom"/>
          </w:tcPr>
          <w:p>
            <w:pPr>
              <w:spacing w:after="0"/>
              <w:rPr>
                <w:sz w:val="14"/>
                <w:szCs w:val="14"/>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9"/>
                <w:szCs w:val="19"/>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(87.1)</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1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r>
      <w:tr>
        <w:trPr>
          <w:trHeight w:val="217"/>
        </w:trPr>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0.3 %</w:t>
            </w:r>
          </w:p>
        </w:tc>
        <w:tc>
          <w:tcPr>
            <w:tcW w:w="2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w w:val="99"/>
              </w:rPr>
              <w:t>0.7 %</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9.6 %</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9.5 %</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Adjusted EBITDA, as provided herein, represents net income attributable to Great Lakes Dredge &amp; Dock Corporation, adjusted for net interest expense, income taxes, depreciation and amortization expense, debt extinguishment and accelerated maintenance expense for new international deployments. In 2012, the Company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the financial statements to more easily compare our year-to-year results. This modification is not, however, relevant to Adjusted EBITDA calculations for the first quarter of 2012 or the first quarter of 2013.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Adjusted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12,075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18,137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9"/>
              </w:rPr>
              <w:t>Three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(in thousands)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Dredging: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Capital—U.S.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Capital—foreign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38,385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18,025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113.0 %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Coastal protection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56,921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31,183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Maintenance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27,764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40,545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Rivers &amp; lakes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880"/>
              <w:spacing w:after="0"/>
              <w:rPr>
                <w:sz w:val="20"/>
                <w:szCs w:val="20"/>
                <w:color w:val="auto"/>
              </w:rPr>
            </w:pPr>
            <w:r>
              <w:rPr>
                <w:rFonts w:ascii="Arial" w:cs="Arial" w:eastAsia="Arial" w:hAnsi="Arial"/>
                <w:sz w:val="18"/>
                <w:szCs w:val="18"/>
                <w:color w:val="auto"/>
              </w:rPr>
              <w:t>Total dredging revenues</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173,959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123,673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Demolition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32,546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Intersegment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(1,312)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188,847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154,907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Total revenue for the 2013 first quarter was $188.8 million, up $33.9 million or 22% from $154.9 million during the 2012 first quarter. For the three months ended March 31, 2013, increases in coastal protection and domestic and foreign capital revenue were offset by decreases in maintenance and demolition revenue.</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to $45.5 million, adding $18.6 million, or 69%, in the 2013 first quarter compared to the 2012 first quarter. Domestic capital dredging revenues in the quarter ended March 31, 2013 were driven by a costal restoration project in Louisiana as well as a deepening project in Delaware. These increases were slightly offset by a greater amount of work in the Port of New York/New Jersey in the first quarter of 2012.</w:t>
      </w:r>
    </w:p>
    <w:p>
      <w:pPr>
        <w:spacing w:after="0" w:line="12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Foreign dredging revenue increased $20.4 million, or 113%, for the first quarter of 2013 to $38.4 million. The first quarter 2013 foreign revenue was driven by the mobilization of the dredge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and attendant plant for the Wheatstone LNG project in Western Australia as well as mobilization for a project in Brazil. The Company expects to commence dredging activities for these foreign capital projects in the second quarter of 2013.</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in the 2013 first quarter increased $25.7 million, or 83%, from the 2012 first quarter. The significant increase in coastal protection revenue in the first three months of 2013 was a result of a greater number of projects with higher contract values compared to the same period in 2012. In the 2013 first quarter, the Company worked on coastal protection projects in New York and New Jersey, which included some emergency work as a result of Superstorm Sandy, as well as projects in North Carolina and Florida.</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 severe weather such as hurricanes, flooding and droughts can also cause the accumulation of sediments and drive the need for maintenance dredging. Maintenance revenue in the 2013 first quarter decreased by $12.8 million, or 32%, compared to the 2012 first quarter. The Company performed a greater amount of harbor work in the first quarter 2012 that was not repeated in the first quarter of 2013. During the first quarter of 2013, the Company worked on projects in Florida, Maryland and Georgia.</w:t>
      </w:r>
    </w:p>
    <w:p>
      <w:pPr>
        <w:spacing w:after="0" w:line="143"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first quarter of 2013 was $5.4 million, a decrease of $1.6 million or 23% compared to the first quarter of 2012. The decrease in the first quarter relates to a greater number of projects in first quarter of 2012, including a project in Mississippi that did not reoccur in the current year. Rivers and lakes revenues in the first quarter is typically lower due to freezing conditions in northern regions of the U.S. Rivers &amp; lakes continued work on its large municipal lake project in Texas during the first quarter of 2013.</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Demolition segment which consists of demolition and remediation services recorded revenues of $14.9 million for the three months ended March 31, 2013 compared to $32.5 million for the same period in 2012. The decrease is attributable to a higher backlog at year end 2011, compared to 2012, which resulted in a greater number of projects for the demolition segment in the 2012 first quarter. In addition, the first quarter 2013 was negatively impacted by three projects that were delayed. This decrease was slightly offset by $6.1 million of revenue earned from the business acquired from Terra Contracting, LLC which did not become a part of the Company until the first quarter of 2013.</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Consolidated gross profit for the 2013 first quarter increased 29% to $25.8 million, from $20.0 million in the first quarter of 2012. Gross profit margin (gross profit divided by revenue) for the 2013 first quarter increased to 13.7% from 12.9% in the 2012 first quarter. The increase in consolidated gross profit and gross profit margin in the 2013 first quarter is primarily the result of better weather conditions as the first quarter of 2012 was negatively impacted by offshore weather conditions, primarily wind that produced rough seas. This increase was partially offset by lower Demolition margins on fewer projects and Dredging mechanical delays experienced on a few projects during the first three months of 2013.</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general and administrative expenses totaled $19.2 million for the three months ended March 31, 2013 as compared to $13.3 million for the three months ended March 31, 2012. In the first quarter of 2013, the Company incurred additional payroll and benefit expenses, representing an increase of $1.4 million over the same period in the prior year. General and administrative expenses of $1.7 million related to the business acquired in the Terra acquisition also contributed to the increase as the business did not become a part of the Company until the first quarter of 2013. An increase in legal and professional fees of $1.2 million and additional bad debt expense of $1.0 million increased general and administrative expenses in the three months ended March 31, 2013 over the comparable period in 2012.</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Operating income for the three months ended March 31, 2013 decreased by $0.2 million or 3% from $6.8 million in the same period of 2012 as higher operating margin was offset by increased general and administrative expenses described above.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Company’s net interest expense totaled $5.7 million for the three months ended March 31, 2013, in line with interest expense of $5.3 million for the first three months of 2012.</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 expense for the three months ended March 31, 2013 was a benefit of $0.1 million, compared to $0.6 million of provision for the same 2012 period. The effective tax rate for the three months ended March 31, 2013 was 33.9%, which is lower than the effective tax rate of 37.2% for the same period of 2012. The first quarter 2013 benefited from credits allowed in the 2012 tax return that were not reflected in the 2012 provision. The Company expects the tax rate for the full year to remain near 39%.</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Net income attributable to Great Lakes Dredge &amp; Dock Corporation was $0.4 million and the earnings per diluted share was $0.01 for the 2013 first quarter compared to net income attributable to Great Lakes Dredge &amp; Dock Corporation of $1.1 million and earnings per share of $0.02 for the same 2012 period. The decrease in 2013 is due to the decrease in operating income for the three months ended March 31, 2013.</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Adjusted EBITDA (as defined on page 23) was $18.1 million for the three months ended March 31, 2013 compared with $14.7 million in the same 2012 period, as increased depreciation expense in 2013 as a result of significant capital expenditures during 2012 negatively impacted operating income, but is excluded from Adjusted EBITDA.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Dredging revenues for the three months ended March 31, 2013 were $174.0 million, compared to $122.4 million for the same period of 2012. The dredging segment for the three months ended March 31, 2013 experienced increases in coastal protection revenue as well as domestic and foreign capital revenue, partially offset by lower maintenance revenues. Increases in dredging revenue for the three months were driven by vessel mobilizations for the Wheatstone LNG project in Western Australia and a separate project in Brazil as well as a significant coastal restoration project in Louisiana.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Gross profit margin in the dredging segment was 18.0% for the three months ended March 31, 2013 compared to gross profit margin in the dredging segment of 13.0% for the three months ended March 31, 2012. The increase in dredging gross profit margin is a result poor offshore weather conditions during the first quarter of 2012 that negatively impacted gross profit margin, partially offset by mechanical delays experienced on a few projects.</w:t>
      </w:r>
    </w:p>
    <w:p>
      <w:pPr>
        <w:spacing w:after="0" w:line="10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Dredging segment operating income was $19.0 million for the three months ended March 31, 2013, compared to operating income of $4.9 million for the three months ended March 31, 2012. The increase in operating income for the three months ended March 31, 2013 is a result of the increase in gross profit in the first quarter of 2013, as mentioned above, slightly offset by an increase in general and administrative expenses.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Demolition revenues for the three months ended March 31, 2013 totaled $14.9 million, compared to $32.5 million for the same 2012 period. Demolition revenues for the 2013 first quarter were down due to a lower backlog at year end 2012, resulting in fewer projects on which to earn revenue in the first quarter of 2013 compared to the same period in 2012. In addition, the first quarter 2013 was negatively impacted by three projects that were delayed. These decreases were partially offset by $2.0 million of revenue recognized from customer acceptance of pending change orders and $6.1 million of revenue earned from the business acquired from Terra Contracting, LLC that was part of the Company only during the first quarter of 2013.</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demolition segment had a negative gross profit margin of 36.8% for the three months ended March 31, 2013 and a gross profit margin of 12.5% for the three months ended March 31, 2012. During the first quarter 2013, the demolition segment experienced cost overruns on projects. The demolition segment generated an operating loss of $12.4 million for the three months ended March 31, 2013, compared to operating income of $1.8 million for the same period of 2012. This decrease in operating income and increase in the operating loss was due to the negative gross profit margin described above as well as an increase in general and administrative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Backlog (in thousands)</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Dredging:</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Capital—U.S.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$103,061</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$151,479</w:t>
            </w: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Capital—foreign</w:t>
            </w:r>
          </w:p>
        </w:tc>
        <w:tc>
          <w:tcPr>
            <w:tcW w:w="680" w:type="dxa"/>
            <w:vAlign w:val="bottom"/>
          </w:tcPr>
          <w:p>
            <w:pPr>
              <w:jc w:val="right"/>
              <w:spacing w:after="0"/>
              <w:rPr>
                <w:sz w:val="20"/>
                <w:szCs w:val="20"/>
                <w:color w:val="auto"/>
              </w:rPr>
            </w:pPr>
            <w:r>
              <w:rPr>
                <w:rFonts w:ascii="Arial" w:cs="Arial" w:eastAsia="Arial" w:hAnsi="Arial"/>
                <w:sz w:val="18"/>
                <w:szCs w:val="18"/>
                <w:color w:val="auto"/>
              </w:rPr>
              <w:t>195,292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218,953</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247,257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Coastal protection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80,245</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70,767</w:t>
            </w: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Maintenance</w:t>
            </w:r>
          </w:p>
        </w:tc>
        <w:tc>
          <w:tcPr>
            <w:tcW w:w="680" w:type="dxa"/>
            <w:vAlign w:val="bottom"/>
          </w:tcPr>
          <w:p>
            <w:pPr>
              <w:jc w:val="right"/>
              <w:spacing w:after="0"/>
              <w:rPr>
                <w:sz w:val="20"/>
                <w:szCs w:val="20"/>
                <w:color w:val="auto"/>
              </w:rPr>
            </w:pPr>
            <w:r>
              <w:rPr>
                <w:rFonts w:ascii="Arial" w:cs="Arial" w:eastAsia="Arial" w:hAnsi="Arial"/>
                <w:sz w:val="18"/>
                <w:szCs w:val="18"/>
                <w:color w:val="auto"/>
              </w:rPr>
              <w:t>2,211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22,406</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22,166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Rivers &amp; lakes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880"/>
              <w:spacing w:after="0"/>
              <w:rPr>
                <w:sz w:val="20"/>
                <w:szCs w:val="20"/>
                <w:color w:val="auto"/>
              </w:rPr>
            </w:pPr>
            <w:r>
              <w:rPr>
                <w:rFonts w:ascii="Arial" w:cs="Arial" w:eastAsia="Arial" w:hAnsi="Arial"/>
                <w:sz w:val="18"/>
                <w:szCs w:val="18"/>
                <w:color w:val="auto"/>
              </w:rPr>
              <w:t>Dredging Backlog</w:t>
            </w: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360,881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389,291</w:t>
            </w:r>
          </w:p>
        </w:tc>
        <w:tc>
          <w:tcPr>
            <w:tcW w:w="5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523,942</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Demolition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60,148*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60,427</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Backlog</w:t>
            </w: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417,532</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449,439</w:t>
            </w:r>
          </w:p>
        </w:tc>
        <w:tc>
          <w:tcPr>
            <w:tcW w:w="5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584,369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December 31, 2012 demolition backlog includes backlog acquired by the Company on December 31, 2012 in connection with the Terra acquisition.</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27% of the Company’s March 31, 2013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domestic dredging bid market for the 2013 first quarter was $229.1 million, a small decrease of $0.5 million from the same period in the prior year. The bid market in the first quarter of 2013 was slightly lower than the same period in the prior year as there were larger contract value domestic capital projects let to bid by governmental agencies, offset by fewer contracts for coastal protection and rivers &amp; lakes projects. For the contracts released in the 2013 first quarter, the Company won 9%, or $3.9 million, of the maintenance projects and 66%, or $109.7 million, of the domestic capital projects awarded year to date through March 31, 2013. The Company won 52% of the overall domestic bid market through March 31, 2013, which is above the Company’s prior three year average of 37%. Variability in contract wins from quarter to quarter is not unusual and one quarter’s win rate is generally not indicative of the win rate the Company is likely to achieve for a full year.</w:t>
      </w:r>
    </w:p>
    <w:p>
      <w:pPr>
        <w:spacing w:after="0" w:line="14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Company’s contracted dredging backlog was $360.9 million at March 31, 2013 compared to $389.3 million as of December 31, 2012. Dredging backlog decreased $28.4 million or 7% as the Company continued to earn revenue on several of the projects in backlog at year end, partially offset by new awards, especially in the domestic capital bid market. These amounts do not reflect approximately $18.0 million of domestic low bids pending formal award and additional phases (“options”) pending on projects currently in backlog at March 31, 2013. At December 31, 2012 the amount of domestic low bids and options pending award was $82.1 million.</w:t>
      </w:r>
    </w:p>
    <w:p>
      <w:pPr>
        <w:spacing w:after="0" w:line="143" w:lineRule="exact"/>
        <w:rPr>
          <w:sz w:val="20"/>
          <w:szCs w:val="20"/>
          <w:color w:val="auto"/>
        </w:rPr>
      </w:pPr>
    </w:p>
    <w:p>
      <w:pPr>
        <w:jc w:val="both"/>
        <w:ind w:right="280"/>
        <w:spacing w:after="0" w:line="294" w:lineRule="auto"/>
        <w:rPr>
          <w:sz w:val="20"/>
          <w:szCs w:val="20"/>
          <w:color w:val="auto"/>
        </w:rPr>
      </w:pPr>
      <w:r>
        <w:rPr>
          <w:rFonts w:ascii="Arial" w:cs="Arial" w:eastAsia="Arial" w:hAnsi="Arial"/>
          <w:sz w:val="16"/>
          <w:szCs w:val="16"/>
          <w:color w:val="auto"/>
        </w:rPr>
        <w:t>Domestic capital dredging backlog at March 31, 2013 was $59.9 million greater than at December 31, 2012 as progress on the Company’s capital projects in Louisiana converted backlog into revenue and the Company was awarded new projects in Louisiana and New York/New Jersey during the quarter to add over $100 million to domestic capital backlog. The Company continues to anticipate a strong capital dredging bid market over the next twelve months. In January 2013, the Corps released for proposal the Port of Miami harbor deepening with the expectation of an award date in the second quarter of 2013. The Company expects several East Coast ports to continue their planning efforts to deepen in anticipation of larger draft vessels from international trade.</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Coastal protection dredging backlog at March 31, 2013 was $46.3 million lower than at December 31, 2012 as the Company substantially completed two projects on the East Coast and one in Southern California. Another project in New Jersey partially completed the scope of work in backlog at year end 2012, but was given new options on work that adds to its backlog at the end of the quarter. Superstorm Sandy impacted the East Coast of the U.S. in October 2012 and the government has appropriated $50.5 billion, including nearly $4 billion for Corps projects to assist the needed relief for the region. In addition, the Corps is expected to let for bid projects for East Coast markets from this funding throughout 2013.</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Maintenance dredging backlog was $20.2 million less at March 31, 2013 than at December 31, 2012 as no significant projects were awarded in the quarter and the Company completed all but one of the projects in its backlog at year end.</w:t>
      </w:r>
    </w:p>
    <w:p>
      <w:pPr>
        <w:spacing w:after="0" w:line="13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Rivers &amp; lakes backlog is $1.8 million higher at March 31, 2013 than at December 31, 2012. Rivers &amp; lakes projects in Texas and the Mississippi River were executed in the quarter. The Corps awarded the Company an option to the work it is performing on the Mississippi River. Rivers &amp; lakes continues to have projects in Florida, Texas, Louisiana and on the Mississippi River and its tributaries in backlog that are expected to be converted into revenue during 2013.</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Foreign capital dredging backlog decreased $23.7 million to $195.3 million at March 31, 2013 from December 31, 2012, due to significant work on projects in backlog from the Middle East and mobilization of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to the Wheatstone LNG project in Western Australia and mobilization of a mechanical dredge for a contract in Brazil. The Company continues to pursue opportunities in the Middle East, Southwest Pacific and South America for the vessels that are currently deployed in these international regions.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Demolition services backlog was $3.5 million lower at March 31, 2013 from December 31, 2012. The current quarter includes backlog of approximately $4 million from the newly acquired Terra. Work on existing projects in New York, New England and the Midwest earned revenue from projects in backlog at year end 2012. Backlog was partially replenished with new contracts for work in New England.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During the quarter ended March 31, 2012, a judgment in the aggregate amount of $13.3 million was rendered in the Company’s favor in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The Company cannot predict the outcome of the appellate process. For additional information regarding this matter, see Note 8 to the Company’s condensed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Company’s net cash used in operating activities for the three months ended March 31, 2013 and 2012 totaled $13.2 million, and $18.2 million, respectively. Normal increases or decreases in the level of working capital relative to the level of operational activity impact cash flow from operating activities. In the first three months of 2013, the decrease in net cash used in operating activities was primarily the result of higher adjusted EBITDA in the three months ended March 31, 2013 as compared to the same period in the prior year.</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Company’s net cash flows used in investing activities for the first three months of 2013 and 2012 totaled $15.5 million and $8.0 million, respectively. Investing activities in both periods primarily relate to normal course upgrades and capital maintenance of the Company’s dredging fleet. The Company spent $9.4 million on construction in progress for vessels being built to our specifications that we intend to have funded through operating lease upon delivery.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net cash flows provided by (used in) financing activities for the three months ended March 31, 2013 and 2012 totaled $10.9 million and $(1.4) million, respectively. Increases were primarily due to net borrowings on the Company’s revolver during the first quarter 2013 of $21.5 million. The Company also paid $10.5 million on a promissory note related to the Terra acquisition.</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March 31, 2013, the Company had $21.5 million of borrowings on the revolver and $33.4 million of letters of credit outstanding, resulting in $120.1 million of availability under the Credit Agreement. At March 31, 2013, the Company was in compliance with its various covenants under its Credit Agreement.</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March 31,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March 31, 2013 has not materially changed since December 31, 2012. The market risk profile of the Company on December 31, 2012 is disclosed in Item 7A. “Quantitative and Qualitative Disclosures about Market Risk” of the Company’s Annual Report on Form 10-K for the year ended December 31,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w:t>
      </w:r>
    </w:p>
    <w:p>
      <w:pPr>
        <w:ind w:right="40"/>
        <w:spacing w:after="0" w:line="254" w:lineRule="auto"/>
        <w:rPr>
          <w:sz w:val="20"/>
          <w:szCs w:val="20"/>
          <w:color w:val="auto"/>
        </w:rPr>
      </w:pPr>
      <w:r>
        <w:rPr>
          <w:rFonts w:ascii="Arial" w:cs="Arial" w:eastAsia="Arial" w:hAnsi="Arial"/>
          <w:sz w:val="18"/>
          <w:szCs w:val="18"/>
          <w:color w:val="auto"/>
        </w:rPr>
        <w:t>2013.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Chief Executive Officer and Chief Financial Officer concluded that our disclosure controls and procedures were not effective in providing such a reasonable assurance as a result of the identified material weakness in internal control over financial reporting as further described in Item 9A. “Controls and Procedures” of our Annual Report on Form 10-K for the year ended December 31, 2012. Notwithstanding the material weakness, management has concluded that the condensed consolidated financial statements included in this Quarterly Report on Form 10-Q present fairly, in all material respects, the Company’s financial position, results of operations and cash flows in conformity with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Other than described below, there have been no changes in our internal control over financial reporting (as defined in Rule 13a-15(f) under the Exchange Act) during the fiscal quarter ended March 31, 2013 that have materially affected, or are reasonably likely to materially affect, our internal control over financial reporting.</w:t>
      </w:r>
    </w:p>
    <w:p>
      <w:pPr>
        <w:spacing w:after="0" w:line="14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Management has developed a remediation plan to address the internal control deficiencies described above. Our plan was designed to ensure that each area affected by a material control weakness was remediated properly. The remediation plan included the following actions:</w:t>
      </w:r>
    </w:p>
    <w:p>
      <w:pPr>
        <w:spacing w:after="0" w:line="4" w:lineRule="exact"/>
        <w:rPr>
          <w:sz w:val="20"/>
          <w:szCs w:val="20"/>
          <w:color w:val="auto"/>
        </w:rPr>
      </w:pPr>
    </w:p>
    <w:p>
      <w:pPr>
        <w:ind w:left="1480" w:right="320" w:hanging="446"/>
        <w:spacing w:after="0" w:line="33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finance team at the demolition segment will report directly to the corporate finance function, instead of divisional leadership.</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level of resources in the accounting, internal audit and compliance functions at the corporate office.</w:t>
      </w:r>
    </w:p>
    <w:p>
      <w:pPr>
        <w:spacing w:after="0" w:line="90" w:lineRule="exact"/>
        <w:rPr>
          <w:rFonts w:ascii="Arial" w:cs="Arial" w:eastAsia="Arial" w:hAnsi="Arial"/>
          <w:sz w:val="18"/>
          <w:szCs w:val="18"/>
          <w:color w:val="auto"/>
        </w:rPr>
      </w:pPr>
    </w:p>
    <w:p>
      <w:pPr>
        <w:ind w:left="1480" w:right="40" w:hanging="446"/>
        <w:spacing w:after="0" w:line="33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4" w:lineRule="exact"/>
        <w:rPr>
          <w:rFonts w:ascii="Arial" w:cs="Arial" w:eastAsia="Arial" w:hAnsi="Arial"/>
          <w:sz w:val="16"/>
          <w:szCs w:val="16"/>
          <w:color w:val="auto"/>
        </w:rPr>
      </w:pPr>
    </w:p>
    <w:p>
      <w:pPr>
        <w:ind w:left="1480" w:right="32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all appropriate demolition segment and corporate accounting personnel regarding the application of the Company’s accounting policy regarding revenue recognition.</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Management is in the process of remediating the internal control deficiency. The remediation plan is being administered by the Chief Financial Officer and involves key leaders from across the organization, including the Chief Executive Officer and Chief Legal Officer.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2013 to the risk factors previously disclosed in Item 1A. Risk Factors in the Company’s Annual Report on Form 10-K for the year ended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240" w:top="459" w:right="7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Waiver and Amendment No. 2 to Credit Agreement, dated as of March 15, 2013, by and among Great Lakes Dredge &amp; Dock Corporation, the</w:t>
            </w:r>
          </w:p>
        </w:tc>
      </w:tr>
      <w:tr>
        <w:trPr>
          <w:trHeight w:val="216"/>
        </w:trPr>
        <w:tc>
          <w:tcPr>
            <w:tcW w:w="92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other Credit Parties party thereto, Wells Fargo Bank, National Association, as Administrative Agent, Swingline Lender and an Issuing Lender,</w:t>
            </w:r>
          </w:p>
        </w:tc>
      </w:tr>
      <w:tr>
        <w:trPr>
          <w:trHeight w:val="222"/>
        </w:trPr>
        <w:tc>
          <w:tcPr>
            <w:tcW w:w="92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and the other lenders party thereto. (1)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Waiver to International Letter of Credit Agreement, dated as of March 15, 2013, to the International Letter of Credit Agreement, by and among</w:t>
            </w:r>
          </w:p>
        </w:tc>
      </w:tr>
      <w:tr>
        <w:trPr>
          <w:trHeight w:val="222"/>
        </w:trPr>
        <w:tc>
          <w:tcPr>
            <w:tcW w:w="92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w w:val="93"/>
              </w:rPr>
              <w:t>Great Lakes Dredge &amp; Dock Corporation, Great Lakes Dredge &amp; Dock Company, LLC and Wells Fargo Bank, National Association. (1)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40"/>
              <w:spacing w:after="0"/>
              <w:rPr>
                <w:sz w:val="20"/>
                <w:szCs w:val="20"/>
                <w:color w:val="auto"/>
              </w:rPr>
            </w:pPr>
            <w:r>
              <w:rPr>
                <w:rFonts w:ascii="Arial" w:cs="Arial" w:eastAsia="Arial" w:hAnsi="Arial"/>
                <w:sz w:val="18"/>
                <w:szCs w:val="18"/>
                <w:color w:val="auto"/>
                <w:w w:val="88"/>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40"/>
              <w:spacing w:after="0"/>
              <w:rPr>
                <w:sz w:val="20"/>
                <w:szCs w:val="20"/>
                <w:color w:val="auto"/>
              </w:rPr>
            </w:pPr>
            <w:r>
              <w:rPr>
                <w:rFonts w:ascii="Arial" w:cs="Arial" w:eastAsia="Arial" w:hAnsi="Arial"/>
                <w:sz w:val="18"/>
                <w:szCs w:val="18"/>
                <w:color w:val="auto"/>
                <w:w w:val="88"/>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ind w:left="60"/>
              <w:spacing w:after="0"/>
              <w:rPr>
                <w:sz w:val="20"/>
                <w:szCs w:val="20"/>
                <w:color w:val="auto"/>
              </w:rPr>
            </w:pPr>
            <w:r>
              <w:rPr>
                <w:rFonts w:ascii="Arial" w:cs="Arial" w:eastAsia="Arial" w:hAnsi="Arial"/>
                <w:sz w:val="18"/>
                <w:szCs w:val="18"/>
                <w:color w:val="auto"/>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Current Report on Form 8-K filed with the Commission on March 19, 2012</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58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 S</w:t>
      </w:r>
      <w:r>
        <w:rPr>
          <w:rFonts w:ascii="Arial" w:cs="Arial" w:eastAsia="Arial" w:hAnsi="Arial"/>
          <w:sz w:val="14"/>
          <w:szCs w:val="14"/>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10795</wp:posOffset>
            </wp:positionV>
            <wp:extent cx="3524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0"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William S. Steckel</w:t>
      </w:r>
    </w:p>
    <w:p>
      <w:pPr>
        <w:spacing w:after="0" w:line="2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02"/>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Waiver and Amendment No. 2 to Credit Agreement, dated as of March 15, 2013, by and among Great Lakes Dredge &amp; Dock Corporation, the</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other Credit Parties party thereto, Wells Fargo Bank, National Association, as Administrative Agent, Swingline Lender and an Issuing Lender,</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the other lenders party thereto. (1)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Waiver to International Letter of Credit Agreement, dated as of March 15, 2013, to the International Letter of Credit Agreement, by and among</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Great Lakes Dredge &amp; Dock Corporation, Great Lakes Dredge &amp; Dock Company, LLC and Wells Fargo Bank, National Association. (1)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54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19, 2012 (Commission file no. 001-33225).</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William S. Steckel,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2013,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2013, as filed with the Securities and Exchange Commission on the date hereof (the “Report”), I, William S. Steckel, Senior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8"/>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2019-12-07T14:13:18Z</dcterms:created>
  <dcterms:modified xsi:type="dcterms:W3CDTF">2019-12-07T14:13:18Z</dcterms:modified>
</cp:coreProperties>
</file>