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7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right"/>
              <w:ind w:right="4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24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(Zip Code)</w:t>
            </w:r>
          </w:p>
        </w:tc>
      </w:tr>
      <w:tr>
        <w:trPr>
          <w:trHeight w:val="298"/>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8440" w:space="140"/>
            <w:col w:w="240" w:space="140"/>
            <w:col w:w="160" w:space="220"/>
            <w:col w:w="220" w:space="120"/>
            <w:col w:w="1740"/>
          </w:cols>
          <w:pgMar w:left="240" w:top="314"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As of November 4, 2011, 58,960,444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Part I Financial Information (Unaudited)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4"/>
        </w:trPr>
        <w:tc>
          <w:tcPr>
            <w:tcW w:w="11040" w:type="dxa"/>
            <w:vAlign w:val="bottom"/>
            <w:gridSpan w:val="21"/>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1</w:t>
            </w:r>
          </w:p>
        </w:tc>
        <w:tc>
          <w:tcPr>
            <w:tcW w:w="982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2011 and December 31,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and Nine Months ended September 30, 2011 and 2010</w:t>
              </w:r>
            </w:hyperlink>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 for the Nine Months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800" w:type="dxa"/>
            <w:vAlign w:val="bottom"/>
            <w:tcBorders>
              <w:top w:val="single" w:sz="8" w:color="0000EE"/>
            </w:tcBorders>
            <w:gridSpan w:val="6"/>
          </w:tcPr>
          <w:p>
            <w:pPr>
              <w:spacing w:after="0"/>
              <w:rPr>
                <w:sz w:val="24"/>
                <w:szCs w:val="24"/>
                <w:color w:val="auto"/>
              </w:rPr>
            </w:pPr>
          </w:p>
        </w:tc>
        <w:tc>
          <w:tcPr>
            <w:tcW w:w="21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2</w:t>
            </w:r>
          </w:p>
        </w:tc>
        <w:tc>
          <w:tcPr>
            <w:tcW w:w="982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5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4</w:t>
            </w:r>
          </w:p>
        </w:tc>
        <w:tc>
          <w:tcPr>
            <w:tcW w:w="982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31">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1</w:t>
            </w:r>
          </w:p>
        </w:tc>
        <w:tc>
          <w:tcPr>
            <w:tcW w:w="98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85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2</w:t>
            </w:r>
          </w:p>
        </w:tc>
        <w:tc>
          <w:tcPr>
            <w:tcW w:w="98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5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4</w:t>
            </w:r>
          </w:p>
        </w:tc>
        <w:tc>
          <w:tcPr>
            <w:tcW w:w="66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1">
              <w:r>
                <w:rPr>
                  <w:rFonts w:ascii="Arial" w:cs="Arial" w:eastAsia="Arial" w:hAnsi="Arial"/>
                  <w:sz w:val="18"/>
                  <w:szCs w:val="18"/>
                  <w:color w:val="0000EE"/>
                  <w:w w:val="83"/>
                </w:rPr>
                <w:t>Reserved</w:t>
              </w:r>
            </w:hyperlink>
          </w:p>
        </w:tc>
        <w:tc>
          <w:tcPr>
            <w:tcW w:w="91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5</w:t>
            </w:r>
          </w:p>
        </w:tc>
        <w:tc>
          <w:tcPr>
            <w:tcW w:w="98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20" w:type="dxa"/>
            <w:vAlign w:val="bottom"/>
            <w:gridSpan w:val="4"/>
          </w:tcPr>
          <w:p>
            <w:pPr>
              <w:ind w:left="44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5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2">
              <w:r>
                <w:rPr>
                  <w:rFonts w:ascii="Arial" w:cs="Arial" w:eastAsia="Arial" w:hAnsi="Arial"/>
                  <w:sz w:val="18"/>
                  <w:szCs w:val="18"/>
                  <w:b w:val="1"/>
                  <w:bCs w:val="1"/>
                  <w:color w:val="0000EE"/>
                  <w:w w:val="86"/>
                </w:rPr>
                <w:t>Signature</w:t>
              </w:r>
            </w:hyperlink>
          </w:p>
        </w:tc>
        <w:tc>
          <w:tcPr>
            <w:tcW w:w="48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22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3"/>
        </w:trPr>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12"/>
          </w:tcPr>
          <w:p>
            <w:pPr>
              <w:ind w:left="44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230"/>
        </w:trPr>
        <w:tc>
          <w:tcPr>
            <w:tcW w:w="20" w:type="dxa"/>
            <w:vAlign w:val="bottom"/>
          </w:tcPr>
          <w:p>
            <w:pPr>
              <w:spacing w:after="0"/>
              <w:rPr>
                <w:sz w:val="20"/>
                <w:szCs w:val="20"/>
                <w:color w:val="auto"/>
              </w:rPr>
            </w:pPr>
          </w:p>
        </w:tc>
        <w:tc>
          <w:tcPr>
            <w:tcW w:w="9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107,050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110,044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24,842</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32,398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31,734</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28,747</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306,677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222,969</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311,588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323,231</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27,128</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7,329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767,818</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27,688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14,484</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Current portion of note payable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118,821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132,817</w:t>
            </w: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7 3/8% SENIOR NOTES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99,451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482,472</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stock—$.0001 par value; 90,000,000 authorized, 58,960,444 and 58,770,369 shares issued and outstanding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September 30, 2011 and December 31, 2010, respectively.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267,297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266,329</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12,261</w:t>
            </w: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284,976</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278,953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285,346</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276,825</w:t>
            </w:r>
          </w:p>
        </w:tc>
        <w:tc>
          <w:tcPr>
            <w:tcW w:w="100" w:type="dxa"/>
            <w:vAlign w:val="bottom"/>
            <w:shd w:val="clear" w:color="auto" w:fill="CCEEFF"/>
          </w:tcPr>
          <w:p>
            <w:pPr>
              <w:spacing w:after="0"/>
              <w:rPr>
                <w:sz w:val="18"/>
                <w:szCs w:val="18"/>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767,818</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158,468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468,765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514,868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131,077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140,638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394,166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417,100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38,447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42,084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74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(18,107)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40" w:type="dxa"/>
            <w:vAlign w:val="bottom"/>
            <w:vMerge w:val="continue"/>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58,818</w:t>
            </w: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Retained</w:t>
            </w:r>
          </w:p>
        </w:tc>
        <w:tc>
          <w:tcPr>
            <w:tcW w:w="1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1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Earnings</w:t>
            </w:r>
          </w:p>
        </w:tc>
        <w:tc>
          <w:tcPr>
            <w:tcW w:w="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 January 1, 2011</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58,770,369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$12,261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6"/>
              </w:rPr>
              <w:t>357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77,369</w:t>
            </w:r>
          </w:p>
        </w:tc>
        <w:tc>
          <w:tcPr>
            <w:tcW w:w="140" w:type="dxa"/>
            <w:vAlign w:val="bottom"/>
          </w:tcPr>
          <w:p>
            <w:pPr>
              <w:spacing w:after="0"/>
              <w:rPr>
                <w:sz w:val="18"/>
                <w:szCs w:val="18"/>
                <w:color w:val="auto"/>
              </w:rPr>
            </w:pPr>
          </w:p>
        </w:tc>
        <w:tc>
          <w:tcPr>
            <w:tcW w:w="800" w:type="dxa"/>
            <w:vAlign w:val="bottom"/>
            <w:gridSpan w:val="2"/>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impact of shares withheld for taxes</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106,428</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6,278</w:t>
            </w:r>
          </w:p>
        </w:tc>
        <w:tc>
          <w:tcPr>
            <w:tcW w:w="140" w:type="dxa"/>
            <w:vAlign w:val="bottom"/>
          </w:tcPr>
          <w:p>
            <w:pPr>
              <w:spacing w:after="0"/>
              <w:rPr>
                <w:sz w:val="18"/>
                <w:szCs w:val="18"/>
                <w:color w:val="auto"/>
              </w:rPr>
            </w:pPr>
          </w:p>
        </w:tc>
        <w:tc>
          <w:tcPr>
            <w:tcW w:w="800" w:type="dxa"/>
            <w:vAlign w:val="bottom"/>
            <w:gridSpan w:val="2"/>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Excess income tax benefit from share based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w w:val="94"/>
              </w:rPr>
              <w:t>Acquisition of noncontrolling interest in NASDI,</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9"/>
                <w:szCs w:val="19"/>
                <w:color w:val="auto"/>
              </w:rPr>
            </w:pP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1,973</w:t>
            </w:r>
          </w:p>
        </w:tc>
        <w:tc>
          <w:tcPr>
            <w:tcW w:w="16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w w:val="98"/>
              </w:rPr>
              <w:t>Dividend equivalents paid on restricted stock</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units</w:t>
            </w:r>
          </w:p>
        </w:tc>
        <w:tc>
          <w:tcPr>
            <w:tcW w:w="120" w:type="dxa"/>
            <w:vAlign w:val="bottom"/>
          </w:tcPr>
          <w:p>
            <w:pPr>
              <w:spacing w:after="0"/>
              <w:rPr>
                <w:sz w:val="19"/>
                <w:szCs w:val="19"/>
                <w:color w:val="auto"/>
              </w:rPr>
            </w:pP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w w:val="79"/>
              </w:rPr>
              <w:t>525</w:t>
            </w:r>
          </w:p>
        </w:tc>
        <w:tc>
          <w:tcPr>
            <w:tcW w:w="16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 net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Reclassification of derivative gains to</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860"/>
              <w:spacing w:after="0"/>
              <w:rPr>
                <w:sz w:val="20"/>
                <w:szCs w:val="20"/>
                <w:color w:val="auto"/>
              </w:rPr>
            </w:pPr>
            <w:r>
              <w:rPr>
                <w:rFonts w:ascii="Arial" w:cs="Arial" w:eastAsia="Arial" w:hAnsi="Arial"/>
                <w:sz w:val="18"/>
                <w:szCs w:val="18"/>
                <w:color w:val="auto"/>
              </w:rPr>
              <w:t>earnings (net of tax of $830)</w:t>
            </w:r>
          </w:p>
        </w:tc>
        <w:tc>
          <w:tcPr>
            <w:tcW w:w="120" w:type="dxa"/>
            <w:vAlign w:val="bottom"/>
          </w:tcPr>
          <w:p>
            <w:pPr>
              <w:spacing w:after="0"/>
              <w:rPr>
                <w:sz w:val="19"/>
                <w:szCs w:val="19"/>
                <w:color w:val="auto"/>
              </w:rPr>
            </w:pPr>
          </w:p>
        </w:tc>
        <w:tc>
          <w:tcPr>
            <w:tcW w:w="10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Change in fair value of derivatives (net of tax</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 $313)</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left="53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6"/>
              </w:rPr>
              <w:t>472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ind w:left="860"/>
              <w:spacing w:after="0"/>
              <w:rPr>
                <w:sz w:val="20"/>
                <w:szCs w:val="20"/>
                <w:color w:val="auto"/>
              </w:rPr>
            </w:pPr>
            <w:r>
              <w:rPr>
                <w:rFonts w:ascii="Arial" w:cs="Arial" w:eastAsia="Arial" w:hAnsi="Arial"/>
                <w:sz w:val="18"/>
                <w:szCs w:val="18"/>
                <w:color w:val="auto"/>
              </w:rPr>
              <w:t>Total comprehensive income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79"/>
              </w:rPr>
              <w:t>525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58,960,444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6</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267,297</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18,468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(795)</w:t>
            </w: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79"/>
              </w:rPr>
              <w:t>370</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24"/>
                <w:szCs w:val="2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9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Earnings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Deficit)</w:t>
            </w:r>
          </w:p>
        </w:tc>
        <w:tc>
          <w:tcPr>
            <w:tcW w:w="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 January 1, 2010</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58,542,038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99"/>
              </w:rPr>
              <w:t>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$263,579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(18,336)</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79"/>
              </w:rPr>
              <w:t>539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68,467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 units, including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impact of shares withheld for taxes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97,917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79"/>
              </w:rPr>
              <w:t>470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w w:val="98"/>
              </w:rPr>
              <w:t>Dividend equivalents paid on restricted stock</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units</w:t>
            </w:r>
          </w:p>
        </w:tc>
        <w:tc>
          <w:tcPr>
            <w:tcW w:w="120" w:type="dxa"/>
            <w:vAlign w:val="bottom"/>
          </w:tcPr>
          <w:p>
            <w:pPr>
              <w:spacing w:after="0"/>
              <w:rPr>
                <w:sz w:val="19"/>
                <w:szCs w:val="19"/>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27,819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27,288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Reclassification of derivative gains to</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earnings (net of tax of $64)</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Change in fair value of derivatives (net of</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860"/>
              <w:spacing w:after="0"/>
              <w:rPr>
                <w:sz w:val="20"/>
                <w:szCs w:val="20"/>
                <w:color w:val="auto"/>
              </w:rPr>
            </w:pPr>
            <w:r>
              <w:rPr>
                <w:rFonts w:ascii="Arial" w:cs="Arial" w:eastAsia="Arial" w:hAnsi="Arial"/>
                <w:sz w:val="18"/>
                <w:szCs w:val="18"/>
                <w:color w:val="auto"/>
              </w:rPr>
              <w:t>tax of $153)</w:t>
            </w:r>
          </w:p>
        </w:tc>
        <w:tc>
          <w:tcPr>
            <w:tcW w:w="1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income (loss)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26,961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BALANCE — September 30, 2010</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58,721,624</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center"/>
              <w:ind w:left="575"/>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265,783</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6,476</w:t>
            </w:r>
          </w:p>
        </w:tc>
        <w:tc>
          <w:tcPr>
            <w:tcW w:w="240" w:type="dxa"/>
            <w:vAlign w:val="bottom"/>
          </w:tcPr>
          <w:p>
            <w:pPr>
              <w:spacing w:after="0" w:line="20" w:lineRule="exact"/>
              <w:rPr>
                <w:sz w:val="1"/>
                <w:szCs w:val="1"/>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ind w:left="460"/>
              <w:spacing w:after="0"/>
              <w:rPr>
                <w:sz w:val="20"/>
                <w:szCs w:val="20"/>
                <w:color w:val="auto"/>
              </w:rPr>
            </w:pPr>
            <w:r>
              <w:rPr>
                <w:rFonts w:ascii="Arial" w:cs="Arial" w:eastAsia="Arial" w:hAnsi="Arial"/>
                <w:sz w:val="18"/>
                <w:szCs w:val="18"/>
                <w:color w:val="auto"/>
              </w:rPr>
              <w:t>212</w:t>
            </w:r>
          </w:p>
        </w:tc>
        <w:tc>
          <w:tcPr>
            <w:tcW w:w="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10,225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Loss on extinguishment of 7 3/4% senior subordinated notes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Unrealized foreign currency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Excess income tax benefit from share based compensation</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(13,279)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(24,901)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7 3/8% senior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Redemption of 7 3/4% senior subordinated notes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(175,000)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 redemption premium</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(5,962)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0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(14,611)</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equivalents due to changes in foreign currency exchange rates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107,050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79,031</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5,282</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Acquisition of noncontrolling interest in NASDI, LLC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274"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2010.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2011, its results of operations for the three and nine months ended September 30, 2011 and 2010 and its cash flows for the nine months ended September 30, 2011 and 2010 have been included.</w:t>
      </w:r>
    </w:p>
    <w:p>
      <w:pPr>
        <w:spacing w:after="0" w:line="12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 In the current year condensed consolidated statements of operations, the Company has presented gains, net of losses, on the sale of assets as a separate line item in operating income. In the prior year gains, net of losses, on the sale of assets included in costs of contract revenues were $151 and $387 for the three and nine months ended September 30, 2010.</w:t>
      </w:r>
    </w:p>
    <w:p>
      <w:pPr>
        <w:spacing w:after="0" w:line="147"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22%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1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operates in two reportable segments: dredging and demolition. These reportable segments are the Company’s operating segments and the reporting units at which the Company tests goodwill for impairment. In the current quarter, the Company early adopted new accounting guidance that allows for the option to perform a qualitative assessment prior to calculating the fair value of a reporting unit in the first step of the annual goodwill impairment testing. The Company performed its most recent annual test of impairment as of July 1, 2011 for the goodwill in both the dredging and demolition segments with no indication of goodwill impairment as of the test date. As of the test date, the fair value of both the dredging segment and the demolition segment were in excess of their carrying values by approximately 35% and 8%, respectively. Given the small margin the demolition segment’s fair value is in excess of its carrying value, a more than insignificant decline in the demolition segment’s future operating results or cash flow forecasts versus the segment’s current forecasts could potentially cause a goodwill impairment charge to be recognized in a future period.</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condensed consolidated results of operations for the interim periods presented herein are not necessarily indicative of the results to be expected for the full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standards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2011, the Financial Accounting Standards Board (“FASB”) issued an amendment to their accounting guidance to clarify existing standards and to improve comparability of fair value measurements disclosed in financial statements prepared in accordance with GAAP and International Financial Reporting Standards (“IFRS”). The amendment clarifies the FASB’s intent as it relates to existing measurement guidance and revises some requirements for measuring or disclosing information about fair value measurements. The amendment will be effective for Great Lakes on January 1, 2012 and is not expected to have a significant impact on our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June 2011, the FASB issued an amendment to their accounting guidance that requires presentation of net income and total comprehensive income, together with their components, either in a single continuous statement or in two separate but consecutive statements. The amendment does not alter any current recognition or measurement requirements in respect of items of other comprehensive income. When adopted, Great Lakes will cease to present the components of other comprehensive income within the statements of equity. The amendment will be effective for Great Lakes on January 1, 2012, with early adoption permitted.</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177"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Basic earnings per share is computed by dividing net income attributable to Great Lakes Dredge &amp; Dock Corporation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The computations for basic and diluted earnings per share from continuing operations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8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120" w:type="dxa"/>
            <w:vAlign w:val="bottom"/>
          </w:tcPr>
          <w:p>
            <w:pPr>
              <w:ind w:left="440"/>
              <w:spacing w:after="0"/>
              <w:rPr>
                <w:sz w:val="20"/>
                <w:szCs w:val="20"/>
                <w:color w:val="auto"/>
              </w:rPr>
            </w:pPr>
            <w:r>
              <w:rPr>
                <w:rFonts w:ascii="Arial" w:cs="Arial" w:eastAsia="Arial" w:hAnsi="Arial"/>
                <w:sz w:val="18"/>
                <w:szCs w:val="18"/>
                <w:color w:val="auto"/>
                <w:w w:val="95"/>
              </w:rPr>
              <w:t>Net income attributable to Great Lakes Dredge &amp; Dock Corporation—numerator for basic and diluted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tcPr>
          <w:p>
            <w:pPr>
              <w:ind w:left="660"/>
              <w:spacing w:after="0"/>
              <w:rPr>
                <w:sz w:val="20"/>
                <w:szCs w:val="20"/>
                <w:color w:val="auto"/>
              </w:rPr>
            </w:pPr>
            <w:r>
              <w:rPr>
                <w:rFonts w:ascii="Arial" w:cs="Arial" w:eastAsia="Arial" w:hAnsi="Arial"/>
                <w:sz w:val="18"/>
                <w:szCs w:val="18"/>
                <w:color w:val="auto"/>
              </w:rPr>
              <w:t>earnings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5,602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7,685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Denominator for basic earnings per share—weighted average shares outstanding</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58,930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58,698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58,863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Dilutive impact of outstanding restricted stock units issued</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880"/>
              <w:spacing w:after="0"/>
              <w:rPr>
                <w:sz w:val="20"/>
                <w:szCs w:val="20"/>
                <w:color w:val="auto"/>
              </w:rPr>
            </w:pPr>
            <w:r>
              <w:rPr>
                <w:rFonts w:ascii="Arial" w:cs="Arial" w:eastAsia="Arial" w:hAnsi="Arial"/>
                <w:sz w:val="18"/>
                <w:szCs w:val="18"/>
                <w:color w:val="auto"/>
              </w:rPr>
              <w:t>Dilutive impact of outstanding stock options issued*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diluted earnings per share adjusted weighted average shares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58,901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59,533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460" w:right="80" w:hanging="452"/>
        <w:spacing w:after="0" w:line="25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2011, 990,794 and zero options to purchase shares of common stock, respectively, were excluded from the calculation of diluted earnings per share. For the three and nine months ended September 30, 2010, 588,384 and 304,695 options to purchase shares of common stock, respectively, were excluded. The options were excluded based on the application of the treasury stock method, as such options were determined to be anti-dilutive.</w:t>
      </w:r>
    </w:p>
    <w:p>
      <w:pPr>
        <w:spacing w:after="0" w:line="56" w:lineRule="exact"/>
        <w:rPr>
          <w:rFonts w:ascii="Arial" w:cs="Arial" w:eastAsia="Arial" w:hAnsi="Arial"/>
          <w:sz w:val="18"/>
          <w:szCs w:val="18"/>
          <w:color w:val="auto"/>
        </w:rPr>
      </w:pPr>
    </w:p>
    <w:p>
      <w:pPr>
        <w:ind w:left="640" w:hanging="176"/>
        <w:spacing w:after="0"/>
        <w:tabs>
          <w:tab w:leader="none" w:pos="64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September 30, 2011, the Company held certain derivative contracts that it uses to manage commodity price risk and interest rate risk. The Company does not hold or issue derivatives for speculative or trading purposes. At September 30, 2011 the Company held a position in a money market fund where quoted prices are not available in an active market. The fair values of these financial instruments are summarized as follows: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2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 September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1"/>
        </w:trPr>
        <w:tc>
          <w:tcPr>
            <w:tcW w:w="42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30, 2011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1"/>
              </w:rPr>
              <w:t>(Level 2)</w:t>
            </w:r>
          </w:p>
        </w:tc>
        <w:tc>
          <w:tcPr>
            <w:tcW w:w="2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w w:val="83"/>
              </w:rPr>
              <w:t>20,022</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ind w:left="600"/>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rPr>
              <w:t>Total assets measured at fair value</w:t>
            </w:r>
          </w:p>
        </w:tc>
        <w:tc>
          <w:tcPr>
            <w:tcW w:w="64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20,519</w:t>
            </w:r>
          </w:p>
        </w:tc>
        <w:tc>
          <w:tcPr>
            <w:tcW w:w="3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w w:val="83"/>
              </w:rPr>
              <w:t>19,321</w:t>
            </w:r>
          </w:p>
        </w:tc>
        <w:tc>
          <w:tcPr>
            <w:tcW w:w="7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center"/>
              <w:ind w:left="661"/>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Quoted Prices in</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660" w:type="dxa"/>
            <w:vAlign w:val="bottom"/>
          </w:tcPr>
          <w:p>
            <w:pPr>
              <w:spacing w:after="0"/>
              <w:rPr>
                <w:sz w:val="12"/>
                <w:szCs w:val="12"/>
                <w:color w:val="auto"/>
              </w:rPr>
            </w:pPr>
          </w:p>
        </w:tc>
        <w:tc>
          <w:tcPr>
            <w:tcW w:w="18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Significant Other</w:t>
            </w:r>
          </w:p>
        </w:tc>
        <w:tc>
          <w:tcPr>
            <w:tcW w:w="2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2"/>
                <w:szCs w:val="12"/>
                <w:color w:val="auto"/>
              </w:rPr>
            </w:pPr>
          </w:p>
        </w:tc>
        <w:tc>
          <w:tcPr>
            <w:tcW w:w="12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At December</w:t>
            </w:r>
          </w:p>
        </w:tc>
        <w:tc>
          <w:tcPr>
            <w:tcW w:w="280" w:type="dxa"/>
            <w:vAlign w:val="bottom"/>
          </w:tcPr>
          <w:p>
            <w:pPr>
              <w:spacing w:after="0"/>
              <w:rPr>
                <w:sz w:val="12"/>
                <w:szCs w:val="12"/>
                <w:color w:val="auto"/>
              </w:rPr>
            </w:pPr>
          </w:p>
        </w:tc>
        <w:tc>
          <w:tcPr>
            <w:tcW w:w="12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Identical Assets</w:t>
            </w:r>
          </w:p>
        </w:tc>
        <w:tc>
          <w:tcPr>
            <w:tcW w:w="660" w:type="dxa"/>
            <w:vAlign w:val="bottom"/>
          </w:tcPr>
          <w:p>
            <w:pPr>
              <w:spacing w:after="0"/>
              <w:rPr>
                <w:sz w:val="12"/>
                <w:szCs w:val="12"/>
                <w:color w:val="auto"/>
              </w:rPr>
            </w:pPr>
          </w:p>
        </w:tc>
        <w:tc>
          <w:tcPr>
            <w:tcW w:w="18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Observable Inputs</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34"/>
        </w:trPr>
        <w:tc>
          <w:tcPr>
            <w:tcW w:w="4280" w:type="dxa"/>
            <w:vAlign w:val="bottom"/>
            <w:gridSpan w:val="3"/>
            <w:vMerge w:val="continue"/>
          </w:tcPr>
          <w:p>
            <w:pPr>
              <w:spacing w:after="0"/>
              <w:rPr>
                <w:sz w:val="11"/>
                <w:szCs w:val="11"/>
                <w:color w:val="auto"/>
              </w:rPr>
            </w:pPr>
          </w:p>
        </w:tc>
        <w:tc>
          <w:tcPr>
            <w:tcW w:w="1300" w:type="dxa"/>
            <w:vAlign w:val="bottom"/>
            <w:gridSpan w:val="4"/>
          </w:tcPr>
          <w:p>
            <w:pPr>
              <w:jc w:val="right"/>
              <w:ind w:right="75"/>
              <w:spacing w:after="0" w:line="114" w:lineRule="exact"/>
              <w:rPr>
                <w:sz w:val="20"/>
                <w:szCs w:val="20"/>
                <w:color w:val="auto"/>
              </w:rPr>
            </w:pPr>
            <w:r>
              <w:rPr>
                <w:rFonts w:ascii="Arial" w:cs="Arial" w:eastAsia="Arial" w:hAnsi="Arial"/>
                <w:sz w:val="12"/>
                <w:szCs w:val="12"/>
                <w:b w:val="1"/>
                <w:bCs w:val="1"/>
                <w:color w:val="auto"/>
              </w:rPr>
              <w:t>31, 2010</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100"/>
              <w:spacing w:after="0" w:line="114" w:lineRule="exact"/>
              <w:rPr>
                <w:sz w:val="20"/>
                <w:szCs w:val="20"/>
                <w:color w:val="auto"/>
              </w:rPr>
            </w:pPr>
            <w:r>
              <w:rPr>
                <w:rFonts w:ascii="Arial" w:cs="Arial" w:eastAsia="Arial" w:hAnsi="Arial"/>
                <w:sz w:val="12"/>
                <w:szCs w:val="12"/>
                <w:b w:val="1"/>
                <w:bCs w:val="1"/>
                <w:color w:val="auto"/>
              </w:rPr>
              <w:t>(Level 1)</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ind w:left="80"/>
              <w:spacing w:after="0" w:line="114" w:lineRule="exact"/>
              <w:rPr>
                <w:sz w:val="20"/>
                <w:szCs w:val="20"/>
                <w:color w:val="auto"/>
              </w:rPr>
            </w:pPr>
            <w:r>
              <w:rPr>
                <w:rFonts w:ascii="Arial" w:cs="Arial" w:eastAsia="Arial" w:hAnsi="Arial"/>
                <w:sz w:val="12"/>
                <w:szCs w:val="12"/>
                <w:b w:val="1"/>
                <w:bCs w:val="1"/>
                <w:color w:val="auto"/>
              </w:rPr>
              <w:t>(Level 2)</w:t>
            </w:r>
          </w:p>
        </w:tc>
        <w:tc>
          <w:tcPr>
            <w:tcW w:w="280" w:type="dxa"/>
            <w:vAlign w:val="bottom"/>
          </w:tcPr>
          <w:p>
            <w:pPr>
              <w:spacing w:after="0"/>
              <w:rPr>
                <w:sz w:val="11"/>
                <w:szCs w:val="11"/>
                <w:color w:val="auto"/>
              </w:rPr>
            </w:pPr>
          </w:p>
        </w:tc>
        <w:tc>
          <w:tcPr>
            <w:tcW w:w="1040" w:type="dxa"/>
            <w:vAlign w:val="bottom"/>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Fuel hedge contracts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w w:val="79"/>
              </w:rPr>
              <w:t>595</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780" w:type="dxa"/>
            <w:vAlign w:val="bottom"/>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595</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 is not accounted for as a hedge; therefore, the changes in fair value are recorded as adjustments to interest expense in each reporting period.</w:t>
      </w:r>
    </w:p>
    <w:p>
      <w:pPr>
        <w:spacing w:after="0" w:line="113" w:lineRule="exact"/>
        <w:rPr>
          <w:sz w:val="20"/>
          <w:szCs w:val="20"/>
          <w:color w:val="auto"/>
        </w:rPr>
      </w:pPr>
    </w:p>
    <w:p>
      <w:pPr>
        <w:ind w:right="780"/>
        <w:spacing w:after="0" w:line="306" w:lineRule="auto"/>
        <w:rPr>
          <w:sz w:val="20"/>
          <w:szCs w:val="20"/>
          <w:color w:val="auto"/>
        </w:rPr>
      </w:pPr>
      <w:r>
        <w:rPr>
          <w:rFonts w:ascii="Arial" w:cs="Arial" w:eastAsia="Arial" w:hAnsi="Arial"/>
          <w:sz w:val="16"/>
          <w:szCs w:val="16"/>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Fair Value Measurements Using</w:t>
            </w:r>
          </w:p>
        </w:tc>
        <w:tc>
          <w:tcPr>
            <w:tcW w:w="68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w w:val="91"/>
              </w:rPr>
              <w:t>Fair Value Measurements Using</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Significant Unobservable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Significant Unobservable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Inputs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(Level 3) Interest Rate Swaps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(Level 3) Interest Rate Swaps</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w w:val="83"/>
              </w:rPr>
              <w:t>2011</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81"/>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68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7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unrealized gains (losses): included in earnings</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2"/>
          </w:tcPr>
          <w:p>
            <w:pPr>
              <w:jc w:val="right"/>
              <w:ind w:right="700"/>
              <w:spacing w:after="0"/>
              <w:rPr>
                <w:sz w:val="20"/>
                <w:szCs w:val="20"/>
                <w:color w:val="auto"/>
              </w:rPr>
            </w:pPr>
            <w:r>
              <w:rPr>
                <w:rFonts w:ascii="Arial" w:cs="Arial" w:eastAsia="Arial" w:hAnsi="Arial"/>
                <w:sz w:val="18"/>
                <w:szCs w:val="18"/>
                <w:color w:val="auto"/>
              </w:rPr>
              <w:t>(511)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5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1680" w:type="dxa"/>
            <w:vAlign w:val="bottom"/>
            <w:gridSpan w:val="3"/>
          </w:tcPr>
          <w:p>
            <w:pPr>
              <w:ind w:left="15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1,198</w:t>
            </w:r>
          </w:p>
        </w:tc>
        <w:tc>
          <w:tcPr>
            <w:tcW w:w="740" w:type="dxa"/>
            <w:vAlign w:val="bottom"/>
          </w:tcPr>
          <w:p>
            <w:pPr>
              <w:spacing w:after="0"/>
              <w:rPr>
                <w:sz w:val="19"/>
                <w:szCs w:val="19"/>
                <w:color w:val="auto"/>
              </w:rPr>
            </w:pPr>
          </w:p>
        </w:tc>
        <w:tc>
          <w:tcPr>
            <w:tcW w:w="84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6"/>
              </w:rPr>
              <w:t>Fair Value Measurements Using</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Fair Value Measurements Using</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Significant Unobservable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Significant Unobservable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6"/>
              </w:rPr>
              <w:t>(Level 3) Interest Rate Swaps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(Level 3) Interest Rate Swaps</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2011</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center"/>
              <w:ind w:right="61"/>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w:t>
            </w:r>
          </w:p>
        </w:tc>
        <w:tc>
          <w:tcPr>
            <w:tcW w:w="168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7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unrealized losses: included in earnings</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8"/>
                <w:szCs w:val="18"/>
                <w:color w:val="auto"/>
              </w:rPr>
              <w:t>Balance at September 30,</w:t>
            </w:r>
          </w:p>
        </w:tc>
        <w:tc>
          <w:tcPr>
            <w:tcW w:w="1680" w:type="dxa"/>
            <w:vAlign w:val="bottom"/>
            <w:gridSpan w:val="3"/>
          </w:tcPr>
          <w:p>
            <w:pPr>
              <w:ind w:left="154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1,198</w:t>
            </w:r>
          </w:p>
        </w:tc>
        <w:tc>
          <w:tcPr>
            <w:tcW w:w="740" w:type="dxa"/>
            <w:vAlign w:val="bottom"/>
          </w:tcPr>
          <w:p>
            <w:pPr>
              <w:spacing w:after="0"/>
              <w:rPr>
                <w:sz w:val="19"/>
                <w:szCs w:val="19"/>
                <w:color w:val="auto"/>
              </w:rPr>
            </w:pPr>
          </w:p>
        </w:tc>
        <w:tc>
          <w:tcPr>
            <w:tcW w:w="84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20" w:type="dxa"/>
            <w:vAlign w:val="bottom"/>
            <w:vMerge w:val="restart"/>
          </w:tcPr>
          <w:p>
            <w:pPr>
              <w:jc w:val="right"/>
              <w:ind w:right="3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Fuel hedge contracts</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September 30, 2011, the Company was party to various swap arrangements to hedge the price of a portion of its diesel fuel purchase requirements for work in its backlog to be performed through May 2012. As of September 30, 2011, there were 3.2 million gallons remaining on these contracts which represent approximately 45% of the Company’s forecasted fuel purchases through May 2012. Under these swap agreements, the Company will pay fixed prices ranging from $2.35 to $3.33 per gallon.</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as a reduction of fuel expense, which is a component of costs of contract revenues in the condensed consolidated statements of operations.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September 30, 2011 and December 31, 2010, the fair value asset of the fuel hedge contracts was estimated to be $19 and $595, respectively, and is recorded in other current assets. At September 30, 2011 the fair value liability of the fuel hedge contracts was estimated to be $720, and is recorded in accrued expenses. The gain reclassified to earnings from changes in fair value of derivatives, net of cash settlements and taxes, for the period ended September 30, 2011 was $1,250. The remaining gains included in accumulated other comprehensive income at September 30, 2011 will be reclassified into earnings over the next eight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money market fund, interest rate and fuel hedge contracts outstanding as of September 30, 2011 and December 31, 2010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Fair Value</w:t>
            </w: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At September 30, 2011</w:t>
            </w:r>
          </w:p>
        </w:tc>
        <w:tc>
          <w:tcPr>
            <w:tcW w:w="2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38"/>
              <w:spacing w:after="0" w:line="130"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6"/>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1040"/>
              <w:spacing w:after="0"/>
              <w:rPr>
                <w:sz w:val="20"/>
                <w:szCs w:val="20"/>
                <w:color w:val="auto"/>
              </w:rPr>
            </w:pPr>
            <w:r>
              <w:rPr>
                <w:rFonts w:ascii="Arial" w:cs="Arial" w:eastAsia="Arial" w:hAnsi="Arial"/>
                <w:sz w:val="14"/>
                <w:szCs w:val="14"/>
                <w:b w:val="1"/>
                <w:bCs w:val="1"/>
                <w:color w:val="auto"/>
                <w:w w:val="78"/>
              </w:rPr>
              <w:t>Asset</w:t>
            </w:r>
          </w:p>
        </w:tc>
        <w:tc>
          <w:tcPr>
            <w:tcW w:w="2040" w:type="dxa"/>
            <w:vAlign w:val="bottom"/>
          </w:tcPr>
          <w:p>
            <w:pPr>
              <w:jc w:val="center"/>
              <w:ind w:right="297"/>
              <w:spacing w:after="0"/>
              <w:rPr>
                <w:sz w:val="20"/>
                <w:szCs w:val="20"/>
                <w:color w:val="auto"/>
              </w:rPr>
            </w:pPr>
            <w:r>
              <w:rPr>
                <w:rFonts w:ascii="Arial" w:cs="Arial" w:eastAsia="Arial" w:hAnsi="Arial"/>
                <w:sz w:val="14"/>
                <w:szCs w:val="14"/>
                <w:b w:val="1"/>
                <w:bCs w:val="1"/>
                <w:color w:val="auto"/>
                <w:w w:val="84"/>
              </w:rPr>
              <w:t>Balance Sheet Location</w:t>
            </w:r>
          </w:p>
        </w:tc>
        <w:tc>
          <w:tcPr>
            <w:tcW w:w="5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Liability</w:t>
            </w:r>
          </w:p>
        </w:tc>
      </w:tr>
      <w:tr>
        <w:trPr>
          <w:trHeight w:val="221"/>
        </w:trPr>
        <w:tc>
          <w:tcPr>
            <w:tcW w:w="35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$ 20,022</w:t>
            </w:r>
          </w:p>
        </w:tc>
        <w:tc>
          <w:tcPr>
            <w:tcW w:w="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ind w:right="297"/>
              <w:spacing w:after="0"/>
              <w:rPr>
                <w:sz w:val="20"/>
                <w:szCs w:val="20"/>
                <w:color w:val="auto"/>
              </w:rPr>
            </w:pPr>
            <w:r>
              <w:rPr>
                <w:rFonts w:ascii="Arial" w:cs="Arial" w:eastAsia="Arial" w:hAnsi="Arial"/>
                <w:sz w:val="18"/>
                <w:szCs w:val="18"/>
                <w:color w:val="auto"/>
                <w:w w:val="85"/>
              </w:rPr>
              <w:t>Accrued expenses</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5"/>
              </w:rPr>
              <w:t>(720)</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rate swaps</w:t>
            </w:r>
          </w:p>
        </w:tc>
        <w:tc>
          <w:tcPr>
            <w:tcW w:w="274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40" w:type="dxa"/>
            <w:vAlign w:val="bottom"/>
          </w:tcPr>
          <w:p>
            <w:pPr>
              <w:jc w:val="center"/>
              <w:ind w:right="297"/>
              <w:spacing w:after="0"/>
              <w:rPr>
                <w:sz w:val="20"/>
                <w:szCs w:val="20"/>
                <w:color w:val="auto"/>
              </w:rPr>
            </w:pPr>
            <w:r>
              <w:rPr>
                <w:rFonts w:ascii="Arial" w:cs="Arial" w:eastAsia="Arial" w:hAnsi="Arial"/>
                <w:sz w:val="18"/>
                <w:szCs w:val="18"/>
                <w:color w:val="auto"/>
                <w:w w:val="85"/>
              </w:rPr>
              <w:t>Accrued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ind w:right="297"/>
              <w:spacing w:after="0"/>
              <w:rPr>
                <w:sz w:val="20"/>
                <w:szCs w:val="20"/>
                <w:color w:val="auto"/>
              </w:rPr>
            </w:pPr>
            <w:r>
              <w:rPr>
                <w:rFonts w:ascii="Arial" w:cs="Arial" w:eastAsia="Arial" w:hAnsi="Arial"/>
                <w:sz w:val="18"/>
                <w:szCs w:val="18"/>
                <w:color w:val="auto"/>
                <w:w w:val="93"/>
              </w:rPr>
              <w:t>Other liabilities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w w:val="85"/>
              </w:rPr>
              <w:t>$ 21,239</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ind w:left="80"/>
              <w:spacing w:after="0"/>
              <w:rPr>
                <w:sz w:val="20"/>
                <w:szCs w:val="20"/>
                <w:color w:val="auto"/>
              </w:rPr>
            </w:pPr>
            <w:r>
              <w:rPr>
                <w:rFonts w:ascii="Arial" w:cs="Arial" w:eastAsia="Arial" w:hAnsi="Arial"/>
                <w:sz w:val="18"/>
                <w:szCs w:val="18"/>
                <w:color w:val="auto"/>
                <w:w w:val="95"/>
              </w:rPr>
              <w:t>(720)</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6"/>
              </w:rPr>
              <w:t>At September 31, 2011</w:t>
            </w:r>
          </w:p>
        </w:tc>
        <w:tc>
          <w:tcPr>
            <w:tcW w:w="2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4"/>
                <w:szCs w:val="14"/>
                <w:b w:val="1"/>
                <w:bCs w:val="1"/>
                <w:color w:val="auto"/>
                <w:w w:val="83"/>
              </w:rPr>
              <w:t>Asset</w:t>
            </w:r>
          </w:p>
        </w:tc>
        <w:tc>
          <w:tcPr>
            <w:tcW w:w="20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4"/>
              </w:rPr>
              <w:t>Balance Sheet Location</w:t>
            </w: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Liability</w:t>
            </w:r>
          </w:p>
        </w:tc>
        <w:tc>
          <w:tcPr>
            <w:tcW w:w="80" w:type="dxa"/>
            <w:vAlign w:val="bottom"/>
          </w:tcPr>
          <w:p>
            <w:pPr>
              <w:spacing w:after="0"/>
              <w:rPr>
                <w:sz w:val="14"/>
                <w:szCs w:val="14"/>
                <w:color w:val="auto"/>
              </w:rPr>
            </w:pPr>
          </w:p>
        </w:tc>
      </w:tr>
      <w:tr>
        <w:trPr>
          <w:trHeight w:val="221"/>
        </w:trPr>
        <w:tc>
          <w:tcPr>
            <w:tcW w:w="35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816</w:t>
            </w:r>
          </w:p>
        </w:tc>
        <w:tc>
          <w:tcPr>
            <w:tcW w:w="900" w:type="dxa"/>
            <w:vAlign w:val="bottom"/>
          </w:tcPr>
          <w:p>
            <w:pPr>
              <w:spacing w:after="0"/>
              <w:rPr>
                <w:sz w:val="19"/>
                <w:szCs w:val="19"/>
                <w:color w:val="auto"/>
              </w:rPr>
            </w:pPr>
          </w:p>
        </w:tc>
        <w:tc>
          <w:tcPr>
            <w:tcW w:w="2040" w:type="dxa"/>
            <w:vAlign w:val="bottom"/>
          </w:tcPr>
          <w:p>
            <w:pPr>
              <w:jc w:val="center"/>
              <w:ind w:right="217"/>
              <w:spacing w:after="0"/>
              <w:rPr>
                <w:sz w:val="20"/>
                <w:szCs w:val="20"/>
                <w:color w:val="auto"/>
              </w:rPr>
            </w:pPr>
            <w:r>
              <w:rPr>
                <w:rFonts w:ascii="Arial" w:cs="Arial" w:eastAsia="Arial" w:hAnsi="Arial"/>
                <w:sz w:val="18"/>
                <w:szCs w:val="18"/>
                <w:color w:val="auto"/>
                <w:w w:val="93"/>
              </w:rPr>
              <w:t>Other liabilities</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ind w:left="14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9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ind w:right="217"/>
              <w:spacing w:after="0"/>
              <w:rPr>
                <w:sz w:val="20"/>
                <w:szCs w:val="20"/>
                <w:color w:val="auto"/>
              </w:rPr>
            </w:pPr>
            <w:r>
              <w:rPr>
                <w:rFonts w:ascii="Arial" w:cs="Arial" w:eastAsia="Arial" w:hAnsi="Arial"/>
                <w:sz w:val="18"/>
                <w:szCs w:val="18"/>
                <w:color w:val="auto"/>
                <w:w w:val="93"/>
              </w:rPr>
              <w:t>Other liabilities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595</w:t>
            </w:r>
          </w:p>
        </w:tc>
        <w:tc>
          <w:tcPr>
            <w:tcW w:w="900" w:type="dxa"/>
            <w:vAlign w:val="bottom"/>
          </w:tcPr>
          <w:p>
            <w:pPr>
              <w:spacing w:after="0"/>
              <w:rPr>
                <w:sz w:val="19"/>
                <w:szCs w:val="19"/>
                <w:color w:val="auto"/>
              </w:rPr>
            </w:pPr>
          </w:p>
        </w:tc>
        <w:tc>
          <w:tcPr>
            <w:tcW w:w="2040" w:type="dxa"/>
            <w:vAlign w:val="bottom"/>
          </w:tcPr>
          <w:p>
            <w:pPr>
              <w:jc w:val="center"/>
              <w:ind w:right="217"/>
              <w:spacing w:after="0"/>
              <w:rPr>
                <w:sz w:val="20"/>
                <w:szCs w:val="20"/>
                <w:color w:val="auto"/>
              </w:rPr>
            </w:pPr>
            <w:r>
              <w:rPr>
                <w:rFonts w:ascii="Arial" w:cs="Arial" w:eastAsia="Arial" w:hAnsi="Arial"/>
                <w:sz w:val="18"/>
                <w:szCs w:val="18"/>
                <w:color w:val="auto"/>
                <w:w w:val="85"/>
              </w:rPr>
              <w:t>Accrued expenses</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9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September 30, 2011. The senior notes are senior unsecured obligations of the Company and its subsidiaries that guarantee the senior notes. The fair value of the senior notes was $231,250 at September 30, 2011, based on recent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Share based compensation</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2007 Long-Term Incentive Plan permits the grant of stock options, stock appreciation rights, restricted stock and restricted stock units to its employees and directors for up to 5.8 million shares of common stock. The Company believes that such awards better align the interests of its employees with those of its shareholders and help to attract and retain the best possible talent.</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June 2011, the Company granted 444,178 options to purchase shares of common stock and 263,428 restricted stock units to certain employees pursuant to the plan. In addition all non-employee directors on the Company’s board of directors are paid a portion of their compensation in stock grants. Compensation cost charged to income related to all share-based compensation arrangements was $381 and $1,224, respectively, for the three months and nine months ended September 30, 2011 and $440 and $1,734, respectively, for the three and nine months ended September 30, 2010.</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Accounts receivable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September 30, 2011 and December 31, 2010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8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Contracts in progress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57,009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64,399</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spacing w:after="0"/>
              <w:rPr>
                <w:sz w:val="18"/>
                <w:szCs w:val="18"/>
                <w:color w:val="auto"/>
              </w:rPr>
            </w:pPr>
          </w:p>
        </w:tc>
      </w:tr>
      <w:tr>
        <w:trPr>
          <w:trHeight w:val="221"/>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111,883</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97,203</w:t>
            </w: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(1,655)</w:t>
            </w: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110,044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95,548</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September 30, 2011 and December 31, 2010, $4,181 and $5,923, respectively, of retainage from long-term projects was not expected to be collected within the next twelve months and is classified as other non-current assets.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Contracts in progress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2011 and December 31, 2010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84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34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179,826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287,291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(158,153)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(263,665)</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w w:val="93"/>
              </w:rPr>
              <w:t>Costs and earnings in excess of billings for contracts in progress</w:t>
            </w: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21,673</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23,626</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5"/>
              </w:rPr>
              <w:t>Costs and earnings in excess of billings for completed contracts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 contract revenues in excess of billings</w:t>
            </w: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25,735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34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(425,977)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(429,688)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410,765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415,204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Total billings in excess of contract revenues</w:t>
            </w:r>
          </w:p>
        </w:tc>
        <w:tc>
          <w:tcPr>
            <w:tcW w:w="3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320" w:type="dxa"/>
            <w:vAlign w:val="bottom"/>
            <w:vMerge w:val="restart"/>
          </w:tcPr>
          <w:p>
            <w:pPr>
              <w:jc w:val="right"/>
              <w:ind w:right="2732"/>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11" w:name="page12"/>
    <w:bookmarkEnd w:id="11"/>
    <w:p>
      <w:pPr>
        <w:ind w:left="800" w:hanging="336"/>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2011 and December 31, 2010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40" w:type="dxa"/>
            <w:vAlign w:val="bottom"/>
            <w:gridSpan w:val="3"/>
          </w:tcPr>
          <w:p>
            <w:pPr>
              <w:ind w:left="182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employee benefits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Insurance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Percentage of completion adjustment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0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820" w:hanging="356"/>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The financial statements of the Company’s foreign subsidiaries where the operations are primarily denominated in the 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in accumulated other comprehensive income. Foreign currency transaction gains and losses are included in loss on foreign currency transactions, net.</w:t>
      </w:r>
    </w:p>
    <w:p>
      <w:pPr>
        <w:spacing w:after="0" w:line="173" w:lineRule="exact"/>
        <w:rPr>
          <w:sz w:val="20"/>
          <w:szCs w:val="20"/>
          <w:color w:val="auto"/>
        </w:rPr>
      </w:pPr>
    </w:p>
    <w:p>
      <w:pPr>
        <w:ind w:left="820" w:hanging="356"/>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134,591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149,107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396,273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463,747</w:t>
            </w: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56,827</w:t>
            </w: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72,492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51,121</w:t>
            </w: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1,193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(5,954)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(1,143)</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158,468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173,333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468,765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514,868</w:t>
            </w: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55,684</w:t>
            </w:r>
          </w:p>
        </w:tc>
      </w:tr>
    </w:tbl>
    <w:p>
      <w:pPr>
        <w:spacing w:after="0" w:line="15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addition, foreign dredging revenue of $21,843 and $59,779 for the three months and nine months ended September 30, 2011 and $20,916 and $60,129 for the three months and nine months ended September 30, 2010, respectively, was primarily attributable to work done in the Middle East and Brazil.</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080" w:firstLine="224"/>
        <w:spacing w:after="0" w:line="417" w:lineRule="auto"/>
        <w:tabs>
          <w:tab w:leader="none" w:pos="907"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2007, the Company entered into a credit agreement (the “Credit Agreement”) with Bank of America N.A. as administrative agent and issuing lender, various other financial institutions as lenders and certain subsidiaries of the Company as loan parties. The Credit Agreement provides for a revolving credit facility of up to $145,000 in borrowings and includes sublimits for the issuance of letters of credit and swingline loans. The revolving credit facility matures on June 12, 2012. The revolving credit facility bears interest at rates selected at the option of Great Lakes, currently equal to either LIBOR plus an applicable margin or the Base Rate (as defined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3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Credit Agreement), plus an applicable margin. The applicable margins for LIBOR loans and Base Rate loans, as well as any non-use fee, are subject to adjustment based upon the Company’s ratio of Total Funded Debt to Adjusted Consolidated EBITDA (each as defined in the Credit Agreement). As of September 30, 2011, the Company had no borrowings and $22,641 of letters of credit outstanding, resulting in $122,359 of availability under the Credit Agreement.</w:t>
      </w:r>
    </w:p>
    <w:p>
      <w:pPr>
        <w:spacing w:after="0" w:line="14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Company obtains its performance, bid and payment bonds through bonding agreements (the “Bonding Agreements”). The bonds issued under the Bonding Agreements are customarily required for dredging and marine construction projects, as well as demolition projects. As of September 30, 2011, Great Lakes had outstanding bonds valued at $265,481; however, the revenue value remaining in backlog related to these projects totaled $176,757.</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September 30, 2011, Great Lakes had $11,725 of letters of credit outstanding under this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$250,000 of 7.375% senior notes outstanding, which mature in February 2019.</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obligations under the Credit Agreement and Bonding Agreements are secured by liens on a substantial portion of Great Lakes’ assets. As of December 31, 2010, the net book value of the Company’s operating equipment securing the Company’s obligations under the Credit Agreement and Bonding Agreements was $95,658 and $70,662, respectively. Great Lakes’ obligations under its international letter of credit facility are secured by the Company’s foreign accounts receivable.</w:t>
      </w:r>
    </w:p>
    <w:p>
      <w:pPr>
        <w:spacing w:after="0" w:line="143"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Credit Agreement, the Bonding Agreements and the indenture relating to the senior notes contain various restrictive covenants, including a limitation on dividends, limitations on redemption and repurchases of capital stock, limitations on the incurrence of additional indebtedness and requirements to maintain certain financial covenants.</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asbestos-related personal injury lawsuits, the majority of which were filed between 1989 and 2000. All of the cases filed against the Company prior to 1996 were administratively dismissed in May 1996 and any cases filed since that time have similarly been administratively transferred to the inactive docket. Over the last year, hundreds of lawsuits have been reactivated in an effort to clean out the administrative docket. Prior to the commencement of discovery in any of the reactivated cases, counsel for plaintiffs agreed to name a group of cases that they intended to pursue and to dismiss the remaining cases without prejudice. Plaintiffs have currently named 40 cases against the Company that they intend to pursue, each of which involves one plaintiff. The remaining cases against the Company have been dismissed. Plaintiffs in the dismissed cases could file a new lawsuit if they develop a new disease allegedly caused by exposure to asbestos on board our vessels. The Company is presently unable to quantify the amounts of damages being sought in these lawsuits because none of the complaints specify a damage amount. The Company does not believe that it is probable that losses from these claims could be material, and an estimate of a range of losses relating to these claims cannot reasonably be made. Based on the foregoing, management does not believe that the 40 lawsuits, individually and in the aggregate, will have a material impact on our business, financial position, results of operations or cash flows.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27, 2011, NASDI received a subpoena from a federal grand jury in the District of Massachusetts directing NASDI to furnish certain documents relating to certain projects performed by NASDI since January 2005. The Company continues to fully cooperate with the federal grand jury subpoena and internally investigate as appropriate.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April 6, 2011, NASDI received a subpoena from the District Attorney for Richmond County, New York in connection with a grand jury investigation. The subpoena directs NASDI to furnish certain documents relating to one project performed by NASDI and one of its subcontractors. The subpoena appears to be related to the activities of NASDI’s subcontractor for this project. The Company fully complied with the production of requested documents and will continue to cooperate if additional requests are made. Based on the Company’s internal investigation to date, the Company does not believe that it will have any liability with respect to this matter. In addition, the Company intends to continue to fully cooperate with the New York grand jury subpoena.</w:t>
      </w:r>
    </w:p>
    <w:p>
      <w:pPr>
        <w:spacing w:after="0" w:line="1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Company has not accrued any amounts with respect to these NASDI matters as the Company does not believe, based on information currently known to it, that a loss relating to these matters is probable, and an estimate of a range of potential losses relating to these matters cannot reasonably be made.</w:t>
      </w:r>
    </w:p>
    <w:p>
      <w:pPr>
        <w:spacing w:after="0" w:line="160" w:lineRule="exact"/>
        <w:rPr>
          <w:sz w:val="20"/>
          <w:szCs w:val="20"/>
          <w:color w:val="auto"/>
        </w:rPr>
      </w:pPr>
    </w:p>
    <w:p>
      <w:pPr>
        <w:ind w:left="880" w:hanging="416"/>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Effective January 1, 2011 the Company reacquired Mr. Christopher Berardi’s membership interest in NASDI for no cost per terms of NASDI’s limited liability company agreement. This resulted in the elimination of noncontrolling interest of $1,973 during the first quarter ended March 31, 2011. The Company now owns 100% of NASDI.</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182" w:lineRule="exact"/>
        <w:rPr>
          <w:sz w:val="20"/>
          <w:szCs w:val="20"/>
          <w:color w:val="auto"/>
        </w:rPr>
      </w:pPr>
    </w:p>
    <w:p>
      <w:pPr>
        <w:ind w:left="900" w:hanging="43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2011, the Company entered into a transaction to sell a parcel of land in Channelview, Texas. The Company received proceeds of $6,490 for land with a recorded value of $106, resulting in a gain of $6,384. There were no other items occurring subsequent to September 30, 2011 that would have a material impact on the financial statements.</w:t>
      </w:r>
    </w:p>
    <w:p>
      <w:pPr>
        <w:spacing w:after="0" w:line="215" w:lineRule="exact"/>
        <w:rPr>
          <w:sz w:val="20"/>
          <w:szCs w:val="20"/>
          <w:color w:val="auto"/>
        </w:rPr>
      </w:pPr>
    </w:p>
    <w:p>
      <w:pPr>
        <w:ind w:left="900" w:hanging="43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9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The Company’s long-term debt at September 30, 2011 includes $250,000 of 7.375% senior notes due February 1, 2019. The Company’s obligations under these senior unsecured notes are guaranteed by the Company’s wholly-owned domestic subsidiaries. Such guarantees are full, unconditional and joint and several.</w:t>
      </w:r>
    </w:p>
    <w:p>
      <w:pPr>
        <w:spacing w:after="0" w:line="62"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 sheets as of September 30, 2011 and December 31,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of operations for the three and nine months ended September 30, 2011 and 2010;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2011 and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55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 CONDENSED CONSOLIDATING BALANCE SHEET AS OF SEPTEMBER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Subsidiary</w:t>
            </w:r>
          </w:p>
        </w:tc>
        <w:tc>
          <w:tcPr>
            <w:tcW w:w="13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2"/>
                <w:szCs w:val="12"/>
                <w:color w:val="auto"/>
              </w:rPr>
            </w:pPr>
          </w:p>
        </w:tc>
        <w:tc>
          <w:tcPr>
            <w:tcW w:w="600" w:type="dxa"/>
            <w:vAlign w:val="bottom"/>
          </w:tcPr>
          <w:p>
            <w:pPr>
              <w:jc w:val="right"/>
              <w:ind w:right="93"/>
              <w:spacing w:after="0" w:line="147" w:lineRule="exact"/>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gridSpan w:val="4"/>
          </w:tcPr>
          <w:p>
            <w:pPr>
              <w:ind w:left="11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107,875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110,044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323,387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64,411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(94,957)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306,677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311,472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572,946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(576,678)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782,586</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14,375</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643,611</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(672,754)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767,818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(94,793)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note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198,016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LONG TERM NOTE PAYABLE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100,570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211,462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8,821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358,265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(96,076)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482,472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571,124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284,976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(576,678)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284,976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571,124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285,346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(576,678)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285,346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782,586</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14,375</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643,611</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(672,754)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767,818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vMerge w:val="restart"/>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right="55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 CONDENSED CONSOLIDATING BALANCE SHEET AS OF DECEMBER 31,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Subsidiary</w:t>
            </w:r>
          </w:p>
        </w:tc>
        <w:tc>
          <w:tcPr>
            <w:tcW w:w="13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2"/>
                <w:szCs w:val="12"/>
                <w:color w:val="auto"/>
              </w:rPr>
            </w:pPr>
          </w:p>
        </w:tc>
        <w:tc>
          <w:tcPr>
            <w:tcW w:w="820" w:type="dxa"/>
            <w:vAlign w:val="bottom"/>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GLDD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60" w:type="dxa"/>
            <w:vAlign w:val="bottom"/>
            <w:gridSpan w:val="4"/>
          </w:tcPr>
          <w:p>
            <w:pPr>
              <w:ind w:left="11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(17,881)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217,347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(17,910)</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222,969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322,958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528,425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(530,736)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685,593</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8,313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548,780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(548,861)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(17,806)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30,511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note payable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LONG TERM NOTE PAYABLE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157,168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271,955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(18,125)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278,953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(530,736)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528,425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276,825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(530,736)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276,825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2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685,593</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8,313</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548,780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(548,861)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693,825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vMerge w:val="restart"/>
          </w:tcPr>
          <w:p>
            <w:pPr>
              <w:jc w:val="right"/>
              <w:ind w:right="17"/>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ind w:right="55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 CONDENSED CONSOLIDATING STATEMENT OF OPERATIONS FOR THE THREE MONTHS ENDED SEPTEMBER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9"/>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7"/>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155,426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(127,306)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(131,077)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Gain on sale of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88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16,459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8,912</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5,659</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Arial" w:cs="Arial" w:eastAsia="Arial" w:hAnsi="Arial"/>
                <w:sz w:val="18"/>
                <w:szCs w:val="18"/>
                <w:color w:val="auto"/>
              </w:rPr>
              <w:t>Net income (loss) attributable to Great Lakes Dredge &amp; Dock</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16,094</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540"/>
        <w:spacing w:after="0" w:line="287" w:lineRule="auto"/>
        <w:rPr>
          <w:sz w:val="20"/>
          <w:szCs w:val="20"/>
          <w:color w:val="auto"/>
        </w:rPr>
      </w:pPr>
      <w:r>
        <w:rPr>
          <w:rFonts w:ascii="Arial" w:cs="Arial" w:eastAsia="Arial" w:hAnsi="Arial"/>
          <w:sz w:val="16"/>
          <w:szCs w:val="16"/>
          <w:b w:val="1"/>
          <w:bCs w:val="1"/>
          <w:color w:val="auto"/>
        </w:rPr>
        <w:t>GREAT LAKES DREDGE &amp; DOCK CORPORATION AND SUBSIDIARIES CONDENSED CONSOLIDATING STATEMENT OF OPERATIONS FOR THE THREE MONTHS ENDED SEPTEMBER 30,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172,655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(1,551)</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(139,825)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(140,638)</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16,640</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(3,302)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(16,942)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(16,942)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12,834</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(5,113)</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(16,942)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7,721</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(16,942)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72"/>
              <w:spacing w:after="0"/>
              <w:rPr>
                <w:sz w:val="20"/>
                <w:szCs w:val="20"/>
                <w:color w:val="auto"/>
              </w:rPr>
            </w:pPr>
            <w:r>
              <w:rPr>
                <w:rFonts w:ascii="Arial" w:cs="Arial" w:eastAsia="Arial" w:hAnsi="Arial"/>
                <w:sz w:val="18"/>
                <w:szCs w:val="18"/>
                <w:color w:val="auto"/>
                <w:w w:val="79"/>
              </w:rPr>
              <w:t>17</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ind w:right="55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 CONDENSED CONSOLIDATING STATEMENT OF OPERATIONS FOR THE NINE MONTHS ENDED SEPTEMBER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460,688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(8,305)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468,765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(387,094)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(394,166)</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74,599</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38,447</w:t>
            </w: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Gain on sale of assets,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39,054</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(15,693)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(16,432)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Intcome before income taxes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44,212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540"/>
        <w:spacing w:after="0" w:line="287" w:lineRule="auto"/>
        <w:rPr>
          <w:sz w:val="20"/>
          <w:szCs w:val="20"/>
          <w:color w:val="auto"/>
        </w:rPr>
      </w:pPr>
      <w:r>
        <w:rPr>
          <w:rFonts w:ascii="Arial" w:cs="Arial" w:eastAsia="Arial" w:hAnsi="Arial"/>
          <w:sz w:val="16"/>
          <w:szCs w:val="16"/>
          <w:b w:val="1"/>
          <w:bCs w:val="1"/>
          <w:color w:val="auto"/>
        </w:rPr>
        <w:t>GREAT LAKES DREDGE &amp; DOCK CORPORATION AND SUBSIDIARIES CONDENSED CONSOLIDATING STATEMENT OF OPERATIONS FOR THE NINE MONTHS ENDED SEPTEMBER 30,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Subsidiary</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512,702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(3,592)</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514,868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(414,793)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(417,100)</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97,768</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38,876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42,084</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55,684</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(9,517)</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(57,254)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(57,254)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45,395</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(18,549)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(18,107)</w:t>
            </w: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(57,254)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27,288</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0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27,819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(57,254)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27,819</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72"/>
              <w:spacing w:after="0"/>
              <w:rPr>
                <w:sz w:val="20"/>
                <w:szCs w:val="20"/>
                <w:color w:val="auto"/>
              </w:rPr>
            </w:pPr>
            <w:r>
              <w:rPr>
                <w:rFonts w:ascii="Arial" w:cs="Arial" w:eastAsia="Arial" w:hAnsi="Arial"/>
                <w:sz w:val="18"/>
                <w:szCs w:val="18"/>
                <w:color w:val="auto"/>
                <w:w w:val="79"/>
              </w:rPr>
              <w:t>18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ind w:right="55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 CONDENSED CONSOLIDATING STATEMENT OF CASH FLOWS FOR THE NINE MONTHS ENDED SEPTEMBER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6"/>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880"/>
              <w:spacing w:after="0"/>
              <w:rPr>
                <w:sz w:val="20"/>
                <w:szCs w:val="20"/>
                <w:color w:val="auto"/>
              </w:rPr>
            </w:pPr>
            <w:r>
              <w:rPr>
                <w:rFonts w:ascii="Arial" w:cs="Arial" w:eastAsia="Arial" w:hAnsi="Arial"/>
                <w:sz w:val="18"/>
                <w:szCs w:val="18"/>
                <w:color w:val="auto"/>
                <w:w w:val="97"/>
              </w:rPr>
              <w:t>Net cash flows provided by (used in) operating activities</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(26,984)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(24,894)</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dispositions of property and equipment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tcPr>
          <w:p>
            <w:pPr>
              <w:ind w:left="880"/>
              <w:spacing w:after="0"/>
              <w:rPr>
                <w:sz w:val="20"/>
                <w:szCs w:val="20"/>
                <w:color w:val="auto"/>
              </w:rPr>
            </w:pPr>
            <w:r>
              <w:rPr>
                <w:rFonts w:ascii="Arial" w:cs="Arial" w:eastAsia="Arial" w:hAnsi="Arial"/>
                <w:sz w:val="18"/>
                <w:szCs w:val="18"/>
                <w:color w:val="auto"/>
              </w:rPr>
              <w:t>Net cash flows used in investing activities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(17,442)</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Proceeds from issuance of 7 3/8% senior notes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250,000</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Redemption of 7 3/4% senior subordinated notes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(175,000)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Senior subordinated notes redemption premium</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financing fees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(3,473)</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equivalents paid on restricted stock units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Taxes paid on settlement of vested share awards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accounts with affiliates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33,524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(36,081)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Capital contributions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3,205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 of equipment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income tax benefit from share-based compensation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880"/>
              <w:spacing w:after="0"/>
              <w:rPr>
                <w:sz w:val="20"/>
                <w:szCs w:val="20"/>
                <w:color w:val="auto"/>
              </w:rPr>
            </w:pPr>
            <w:r>
              <w:rPr>
                <w:rFonts w:ascii="Arial" w:cs="Arial" w:eastAsia="Arial" w:hAnsi="Arial"/>
                <w:sz w:val="18"/>
                <w:szCs w:val="18"/>
                <w:color w:val="auto"/>
                <w:w w:val="98"/>
              </w:rPr>
              <w:t>Net cash flows provided by (used in) financing activities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30,045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26,984</w:t>
            </w: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62,791</w:t>
            </w: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1"/>
        </w:trPr>
        <w:tc>
          <w:tcPr>
            <w:tcW w:w="5240" w:type="dxa"/>
            <w:vAlign w:val="bottom"/>
          </w:tcPr>
          <w:p>
            <w:pPr>
              <w:spacing w:after="0"/>
              <w:rPr>
                <w:sz w:val="20"/>
                <w:szCs w:val="20"/>
                <w:color w:val="auto"/>
              </w:rPr>
            </w:pPr>
            <w:r>
              <w:rPr>
                <w:rFonts w:ascii="Arial" w:cs="Arial" w:eastAsia="Arial" w:hAnsi="Arial"/>
                <w:sz w:val="18"/>
                <w:szCs w:val="18"/>
                <w:color w:val="auto"/>
              </w:rPr>
              <w:t>Net change in cash and equivalents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gridSpan w:val="2"/>
          </w:tcPr>
          <w:p>
            <w:pPr>
              <w:ind w:left="400"/>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102,269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4,781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107,050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ind w:right="55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 LAKES DREDGE &amp; DOCK CORPORATION AND SUBSIDIARIES CONDENSED CONSOLIDATING STATEMENT OF CASH FLOWS FOR THE NINE MONTHS ENDED SEPTEMBER 30, 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9"/>
              </w:rPr>
              <w:t>Subsidiary</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GLDD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w w:val="94"/>
              </w:rPr>
              <w:t>Net cash flows provided by (used in) operating activities</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140,462</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(32,493)</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(18,283)</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(17,922)</w:t>
            </w:r>
          </w:p>
        </w:tc>
        <w:tc>
          <w:tcPr>
            <w:tcW w:w="100" w:type="dxa"/>
            <w:vAlign w:val="bottom"/>
          </w:tcPr>
          <w:p>
            <w:pPr>
              <w:spacing w:after="0"/>
              <w:rPr>
                <w:sz w:val="19"/>
                <w:szCs w:val="19"/>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(45,963)</w:t>
            </w:r>
          </w:p>
        </w:tc>
        <w:tc>
          <w:tcPr>
            <w:tcW w:w="100" w:type="dxa"/>
            <w:vAlign w:val="bottom"/>
          </w:tcPr>
          <w:p>
            <w:pPr>
              <w:spacing w:after="0"/>
              <w:rPr>
                <w:sz w:val="18"/>
                <w:szCs w:val="18"/>
                <w:color w:val="auto"/>
              </w:rPr>
            </w:pP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46,030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loans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Repayments of revolving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(25,968)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Net cash flows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(47,037)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change in cash and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75,781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78,531</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8" w:right="239" w:bottom="1440" w:gutter="0" w:footer="0" w:header="0"/>
        </w:sectPr>
      </w:pPr>
    </w:p>
    <w:bookmarkStart w:id="20" w:name="page21"/>
    <w:bookmarkEnd w:id="20"/>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associated with Great Lakes’ leverage, fixed price contracts, dependence on government contracts and funding, bonding requirements and obligations, international operations, government regulation, restrictive debt covenants and fluctuations in quarterly operations, as well as those risks and uncertainties that are described in Item 1A “Risk Factors” of the Company’s Annual Report on Form 10-K for the year ended December 31, 2010 and in other securities filings by Great Lakes with the SEC.</w:t>
      </w:r>
    </w:p>
    <w:p>
      <w:pPr>
        <w:spacing w:after="0" w:line="12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The Company’s future financial condition, results of operations and cash flows, as well as any forward-looking statements, are subject to change and inherent risks and uncertainties. The forward-looking statements contained in this Quarterly Report on Form 10-Q are made only as of the date hereof and the Company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15% of its dredging revenues for the first nine months of 2011, compared with the Company’s three year average of 23%. The mobility of the Company’s fleet enables the Company to move equipment in response to changes in demand for dredging services.</w:t>
      </w:r>
    </w:p>
    <w:p>
      <w:pPr>
        <w:spacing w:after="0" w:line="10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The Company experienced an average combined bid market share in the U.S. of 39% over the last three years, including 44%, 32% and 52% of the capital, beach nourishment and maintenance sectors, respectively. The Company’s bid market is defined as the aggregate dollar value of domestic projects on which the Company bid or could have bid if not for capacity constraints (“bid market”). With the acquisition of L.W. Matteson, Inc. (“Matteson”), on January 1, 2011 the Company began to provide the following additional dredging and other services: inland lake and river dredging, inland levee and construction dredging, environmental restoration and habitat improvement and other marine construction. The foregoing bid market shares do not reflect Matteson’s activities prior to December 31, 2010.</w:t>
      </w:r>
    </w:p>
    <w:p>
      <w:pPr>
        <w:spacing w:after="0" w:line="1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largest domestic dredging customer is the Army Corps of Engineers (the “Corps”), which has responsibility for federally funded projects related to navigation and flood control of U.S. waterways. In the first nine months of 2011, the Company’s dredging revenues earned from contracts with federal government agencies, including the Corps as well as other federal entities such as the U.S. Coast Guard and the U.S. Navy, were approximately 53% of dredging revenues, down slightly from the Company’s three year average of 60%.</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demolition subsidiaries are headquartered in the Boston, Massachusetts area. In the first nine months of 2011, demolition revenues accounted for 15% of total revenues, above the prior three year average of 12%. The demolition segment’s principal services consist of interior and exterior demolition of commercial and industrial buildings, salvage and recycling of related materials and removal of hazardous substances and materials. The majority of the work has historically been performed in New England; however, the primary demolition subsidiary, NASDI, LLC (“NASDI”) continues to expand its footprint into the New York area and the marine demolition market, and specifically into bridge demolition projects. Effective as of January 1, 2011, NASDI became a wholly owned subsidiary of the Company. See Note 11 to Condensed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57" w:right="259" w:bottom="1440" w:gutter="0" w:footer="0" w:header="0"/>
        </w:sectPr>
      </w:pPr>
    </w:p>
    <w:bookmarkStart w:id="21" w:name="page22"/>
    <w:bookmarkEnd w:id="21"/>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also owns 50% of Amboy Aggregates (“Amboy”) and 50% of TerraSea Environmental Solutions (“TerraSea”) as joint ventures. Amboy’s primary business is mining sand from the entrance channel to the New York harbor in order to provide sand and aggregate for use in road and building construction and for clean land fill. Amboy also imports stone from Nova Scotia and distributes it throughout the New York area. TerraSea is focused on environmental services through its ability to remediate contaminated soil and dredged sediment treatment. The Company’s investments in Amboy and TerraSea are accounted for using the equity method.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two reportable segments: dredging and demolition.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following tables set forth the components of net income (loss) attributable to Great Lakes Dredge &amp; Dock Corporation and Adjusted EBITDA, as defined below, as a percentage of contract revenues for the three months and nine months ended September 30, 2011 and 2010: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2"/>
              </w:rPr>
              <w:t>Three Months Ended</w:t>
            </w: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7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(82.7)</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(81.1)</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(84.1)</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 net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vMerge w:val="restart"/>
          </w:tcPr>
          <w:p>
            <w:pPr>
              <w:ind w:left="200"/>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1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Income tax provision</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(income) loss attributable to noncontrolling interests</w:t>
            </w: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
            <w:vMerge w:val="continue"/>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and debt extinguishment.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accounting principles generally accepted in the United States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 attributable to Great Lakes Dredge and Dock Corporation: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9"/>
              </w:rPr>
              <w:t>Three Months Ended</w:t>
            </w:r>
          </w:p>
        </w:tc>
        <w:tc>
          <w:tcPr>
            <w:tcW w:w="8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8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Great Lakes Dredge &amp; Dock Corporation</w:t>
            </w: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$27,819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Adjusted for:</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3,302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8,027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29,999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25,986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24,127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67,876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sets forth, by segment and dredging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9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2"/>
                <w:szCs w:val="12"/>
                <w:color w:val="auto"/>
              </w:rPr>
            </w:pPr>
          </w:p>
        </w:tc>
        <w:tc>
          <w:tcPr>
            <w:tcW w:w="6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Capital—U.S.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39,778</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$104,092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$130,287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$220,343</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Capital—foreign</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21,843</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20,917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Beach</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41,714</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4,180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898%</w:t>
            </w:r>
          </w:p>
        </w:tc>
        <w:tc>
          <w:tcPr>
            <w:tcW w:w="680" w:type="dxa"/>
            <w:vAlign w:val="bottom"/>
          </w:tcPr>
          <w:p>
            <w:pPr>
              <w:jc w:val="right"/>
              <w:spacing w:after="0"/>
              <w:rPr>
                <w:sz w:val="20"/>
                <w:szCs w:val="20"/>
                <w:color w:val="auto"/>
              </w:rPr>
            </w:pPr>
            <w:r>
              <w:rPr>
                <w:rFonts w:ascii="Arial" w:cs="Arial" w:eastAsia="Arial" w:hAnsi="Arial"/>
                <w:sz w:val="18"/>
                <w:szCs w:val="18"/>
                <w:color w:val="auto"/>
              </w:rPr>
              <w:t>87,947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85,884</w:t>
            </w: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16,583</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19,918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97,391</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Rivers &amp; Lakes*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14,673</w:t>
            </w:r>
          </w:p>
        </w:tc>
        <w:tc>
          <w:tcPr>
            <w:tcW w:w="2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25,735</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Dredging Revenue</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134,591</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149,107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463,747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Demolition</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23,877</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24,226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72,492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51,121</w:t>
            </w: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158,468</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173,333</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468,765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514,868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Rivers &amp; lakes was established by the Company on December 31, 2010 in connection with the Matteson acquisition, and did not operate as part of the Company prior to January 1, 2011.</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revenue for the 2011 third quarter was $158.5 million, down 9% from $173.3 million during the 2010 third quarter. Most of this decline was attributable to a decrease in domestic capital revenue, offset, in part, by increases in beach nourishment and the addition of rivers &amp; lakes revenue. Demolition revenue for the quarter was $23.9 million, down slightly from $24.2 million a year ago. Total revenue for the nine months ended September 30, 2011 was down $46.1 million or 9% compared to the prior year due to decreases in domestic capital dredging revenue, offset, in part, by contributions from rivers &amp; lakes and a significant increase in demolition revenues.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Capital projects include large port deepenings and other infrastructure projects such as land reclamations. Domestic capital revenues in the third quarter and nine months ended September 30, 2011 were primarily generated by work in the Ports of New York and Norfolk, as well as projects in Florida. Domestic capital dredging revenue decreased $64.3 million, or 62%, in the 2011 third quarter compared to the 2010 third quarter. Domestic capital dredging revenue in the third quarter of 2010 included $58.7 million from sand berm construction off the coast of Louisiana, which did not repeat in 2011. Domestic capital dredging revenue decreased $90.1 million, or 41%, in the nine months ended September 30, 2011 compared to the same period in 2010. In the nine months ended September 30, 2010, the Company earned $65.0 million from the sand berm construction mentioned above and approximately $20 million of additional deepening work that was not repeated by the Company in the current year.</w:t>
      </w:r>
    </w:p>
    <w:p>
      <w:pPr>
        <w:spacing w:after="0" w:line="118"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Foreign revenue increased $0.9 million, or 4%, for the third quarter of 2011 to $21.8 million as compared to $20.9 million in the 2010 third quarter. In the nine months ended September 30, 2011, foreign revenue decreased $0.4 million, or 1%, to $59.8 million from $60.1 million the same period of 2010. The Company has diversified its foreign revenue with projects in Bahrain, Brazil and Kuwait. Foreign revenues year to date also benefited from the resolution of outstanding project claims of approximately $3.8 million in the 2011 first quarter, offset by fewer projects in the Middle East.</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Beach nourishment projects include rebuilding of shoreline areas that have been damaged by storm activity or ongoing erosion. Beach nourishment revenue in the 2011 third quarter increased $37.5 million, or nearly nine times that of the same 2010 quarter. Year to date 2011 beach revenue increased $2.1 million, or 2%, compared to the first nine months of 2010. Beach projects during the quarter were positively impacted as the Company was able to work on certain projects which were not subjected to environmental window restrictions typically incurred in the third quarter. In the 2011 third quarter, the Company worked on several beach projects, including projects in Delaware, Florida, New Jersey and North Carolina.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3" w:right="239" w:bottom="1440" w:gutter="0" w:footer="0" w:header="0"/>
        </w:sectPr>
      </w:pPr>
    </w:p>
    <w:bookmarkStart w:id="23" w:name="page24"/>
    <w:bookmarkEnd w:id="2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Maintenance projects include routine dredging of ports, non-inland rivers and channels to remove the regular build up of sediment. Maintenance revenue in the 2011 third quarter decreased by $3.3 million, or 17%, compared to the 2010 third quarter. Maintenance revenue in the first nine months of 2011 decreased by $4.9 million, or 5%, compared to the same period in 2010. Maintenance revenue decreased compared to the prior year as $3.2 million of work typically included in maintenance revenue was shifted to the rivers &amp; lakes division in 2011.</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Rivers and lakes projects include inland lake and river dredging, environmental restoration and habitat improvement and other marine construction. Rivers and lakes revenue was $14.7 million and $25.7 million for the three and nine months ended September 30, 2011, respectively. The Company purchased its rivers and lakes operations on December 31, 2010. Rivers and lakes revenue increased in the 2011 third quarter in comparison to the first half of the year due to the work performed on the backlog established in previous quarters as first quarter revenue is generally limited by freezing conditions in the northern United States that are typical during that time of year.</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Consolidated gross profit for the 2011 third quarter decreased by 16% to $27.4 million, from $32.7 million in the same 2010 quarter. Gross profit margin (gross profit divided by revenue) for the 2011 third quarter decreased to 17.3% from 18.9% in the 2010 third quarter. The decrease in gross profit and gross profit margin was primarily due to greater than anticipated weather delays caused by Hurricane Irene off the East Coast and other subsequent storms. Consolidated gross profit for the nine months ended September 30, 2011 decreased by $23.2 million to $74.6 million from $97.8 million in the same 2010 period, resulting in a decline in gross profit margin to 15.9% from 19.0%. The 2011 third quarter and year to date gross profit margin was impacted by a lower coverage of fixed costs resulting from a comparison to the atypical vessel utilization in the prior third quarter and year to date periods. In addition, gross profit margin benefited in the prior year from a favorable project mix and increased vessel utilization on a number of domestic capital dredging and beach nourishment projects. The negative gross profit margin from the demolition segment the first half of 2011 also contributed to the lower profit margin for the nine months ended September 30, 2011. The demolition segment continued to work on several projects, primarily in the New York market, that experienced cost overruns primarily recognized in previous quarters of 2011. These projects were commenced in 2010 as part of the demolition segment’s expansion into new markets.</w:t>
      </w:r>
    </w:p>
    <w:p>
      <w:pPr>
        <w:spacing w:after="0" w:line="12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general and administrative expenses totaled $12.7 million and $38.4 million for the three and nine months ended September 30, 2011. General and administrative expenses totaled $16.6 million and $42.1 million for the three and nine months ended September 30, 2010. The decrease in 2011 is due largely to costs of $4.4 million and $7.2 million for the three and nine months ended September 30, 2010, respectively, for severance, legal and consulting charges that were recorded in conjunction with the senior management reorganization. The decrease is also attributable to a $1.1 million reduction in the third quarter of 2011 of the future liability related to the earnout due to previous owners of the Company’s rivers and lakes dredging operations. These factors were partially offset by additional amortization expense related to the rivers and lakes acquisition of $0.6 million and $1.7 million for the three and nine months ended September 30, 2011, respectively. Additionally, during the nine months ended September 30, 2011, the demolition segment recorded $1.6 million of investigation-related expenses resulting from two subpoenas received in April 2011 (see Note 10 to Condensed Consolidated Financial Statements).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income for the three and nine months ended September 30, 2011 decreased 7.9% and 29.9% to $14.8 million and $39.1 million, respectively, compared to the same periods of 2010 as a result of decreased dredging revenue and the resulting decline in gross profit.</w:t>
      </w:r>
    </w:p>
    <w:p>
      <w:pPr>
        <w:spacing w:after="0" w:line="132"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Interest expense totaled $5.6 million and $16.4 million for the three and nine months ended September 30, 2011, respectively, an increase from $3.3 million and $9.5 million from the same periods of 2010, primarily due to the Company’s issuance of $250 million of 7.375% senior notes and the related redemption of the Company’s $175 million of 7.75% senior subordinated notes in the 2011 first quarter. Due to timing requirements, both of these note issuances were outstanding and accruing interest for approximately 30 days in the 2011 first quarter, resulting in duplicative interest expense of approximately $1.1 million. In addition, although the senior notes accrue interest at a lower interest rate, the increase in principal outstanding results in an increased amount of interest expense. Additionally, the Company recorded gains on interest rate swaps of $0.1 million and $0.4 million for the three and nine months ended September 30, 2011, compared to gains of $0.6 million and $2.2 million for the three and nine months ended September 30, 2010, respectively, as interest rates generally declined steeply in 2010. While rates have continued to decline during 2011, the magnitude of the decline has lessened, resulting in smaller gains in the current year.</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Income tax expense for the three and nine months ended September 30, 2011 was $3.6 million and $6.6 million, respectively, compared to $5.1 million and $18.1 million for the same 2010 periods. This decrease was primarily attributable to lower earnings generated in 2011. The effective tax rate for the nine months ended September 30, 2011 was 39.2%, which is substantially consistent with the effective tax rate of 39.9% for the same period of 2010. The Company expects the tax rate for the full year to remain at 39.2%.</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income attributable to Great Lakes Dredge &amp; Dock Corporation was $5.6 million and earnings per diluted share were $0.09 for the 2011 third quarter as compared to $7.7 million and $0.13 for the same 2010 period. Net income attributable to Great Lakes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Dredge &amp; Dock Corporation and earnings per diluted share for the nine months ended September 30, 2011 were $9.7 million and $0.16, respectively, compared to $27.8 million and $0.47 for the same 2010 period. The decrease is due to the lower operating income and increased interest expense for the period, as well as approximately $6.2 million of expense associated with the redemption of the $175 million senior subordinated notes (consisting of a $2.9 million non-cash write off of deferred financing fees, a $2.2 million redemption premium, and $1.1 million interest expense on the $175 million notes that were outstanding for 30 days after the debt was called).</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Adjusted EBITDA (as defined on page 22) was $26.0 million and $67.9 million for the three and nine months ended September 30, 2011, respectively, compared with $24.1 million and $81.5 million in the same 2010 periods, primarily for the reasons discussed above. Although operating income for the 2011 third quarter was lower than the same period in the prior year, the Company recorded $11.2 million of non-cash depreciation and amortization expense for the three months ended September 30, 2011 that is included as a component of operating income, but excluded for the purposes of calculating Adjusted EBITDA. The depreciation and amortization expense recorded in the three months ended September 30, 2010 was only $8.0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Dredging revenues for the three and nine months ended September 30, 2011 were $134.6 million and $396.3 million, respectively, compared to $149.1 million and $463.7 million for the same periods of 2010. Dredging revenues for the nine months ended September 30, 2011 were driven by continued domestic capital work with significant contributions from strong third quarter beach revenue offset by a small decline year over year in maintenance revenue. The decline in dredging revenue for the nine months ended September 30, 2011 from the same period in the previous year was due to a decline in domestic capital, which was partially offset by the revenue contribution of the rivers and lakes projects. Domestic capital revenue in the prior year was atypically high due to $65.0 million from sand berm construction off the coast of Louisiana. Gross profit margin in the dredging segment was 17.5% and 18.4% for the three and nine months ended September 30, 2011 compared to gross profit margin in the dredging segment of 20.5% and 20.2% for the three and nine months ended September 30, 2010, respectively, as lower dredging revenues from increased vessel downtime resulted in lower coverage of fixed costs. In addition, gross profit margin benefited in the prior year from a favorable project mix and increased vessel utilization on a number of domestic capital dredging and beach nourishment projects. Dredging segment operating income was $13.6 million and $45.0 million for the three and nine months ended September 30, 2011, compared to operating income of $15.8 million and $56.8 million for the three and nine months ended September 30, 2010, respectively. The decrease reflects the decreased revenues and gross profit margin in the nine months ended September 30, 2011 compared to the same period in 2010.</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Demolition revenues for the three and nine months ended September 30, 2011 totaled $23.9 million and $72.5 million, respectively, compared to $24.2 million and $51.1 million for the same 2010 periods. The demolition segment experienced higher revenue levels in the nine months ended September 30, 2011 than from the same period in the prior year as the segment continued several large jobs that were included in backlog at year end 2010. The demolition segment generated operating income of $1.2 million and an operating loss of $5.9 million for the three and nine months ended September 30, 2011, respectively, compared to operating income of $0.3 million and an operating loss of $1.1 million for the same periods of 2010. Gross profit margin in the demolition segment was 15.8% and 2.2% for the three and nine months ended September 30, 2011 compared to gross profit margin of 8.0% and 7.4% for the three and nine months ended September 30, 2010, respectively. For the nine months ended September 30, 2011, the demolition segment’s greater operating loss and lower gross profit margin is primarily the result of losses recognized to date on projects in backlog at December 31, 2010. In the third quarter of 2011, the demolition segment stabilized the cost overruns on projects in the New York market and believes that the future losses already have been recognized in the results of the segment. The demolition segment also recognized $1.6 million of additional legal and consulting expenses in the nine months ended September 30, 2011 relating to the subpoenas received in April 2011 which impacted the segment’s operating income.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tbl>
      <w:tblPr>
        <w:tblLayout w:type="fixed"/>
        <w:tblInd w:w="920" w:type="dxa"/>
        <w:tblCellMar>
          <w:top w:w="0" w:type="dxa"/>
          <w:left w:w="0" w:type="dxa"/>
          <w:bottom w:w="0" w:type="dxa"/>
          <w:right w:w="0" w:type="dxa"/>
        </w:tblCellMar>
      </w:tblPr>
      <w:tr>
        <w:trPr>
          <w:trHeight w:val="16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20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vMerge w:val="continue"/>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Capital—U.S.</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109,568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117,866</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Capital—foreign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40,675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Beach</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117,543</w:t>
            </w: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18,080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13,391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25,116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Dredging Backlog</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297,364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282,536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Demolition</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68,029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80,984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365,393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363,520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276,262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Rivers &amp; lakes was established by the Company on December 31, 2010 in connection with the Matteson acquisition, and was not part of the Company for the period ended September 30, 2010.</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domestic dredging bid market for the 2011 third quarter totaled $513.9 million, an increase of $158.2 million from the same period in the prior year, resulting in a total amount of contracts awarded for the nine months ended September 30, 2011 of $847.3 million, compared to $658.3 million in the same period of 2010. The Company won 64%, or $188.1 million, of the beach nourishment projects awarded through September 30, 2011, as well as 31%, or $69.2 million, of the maintenance projects and 31%, or $92.8 million, of capital projects awarded through September 30, 2011. The Company won 42% of the overall domestic bid market through September 30, 2011, slightly above its three year average of 39%. The third quarter bid market benefited from many projects let to bid before the fiscal year end of many governmental entities. Given that the size of the year to date bid market is similar to the full year bid market in 2010, the Company expects the full year 2011 bid market to be larger than the full year 2010 bid market. Variability in contract wins from quarter to quarter is not unusual and one quarter’s win rate is generally not indicative of the win rate the Company is likely to achieve for a full year.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contracted dredging backlog was $297.4 million at September 30, 2011 compared to $282.5 million as of December 31, 2010. These amounts do not reflect approximately $78.2 million of domestic low bids pending formal award and additional phases (“options”) pending on projects currently in backlog. At December 31, 2010 the amount of domestic low bids pending award was $39.9 million.</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Domestic capital dredging backlog at September 30, 2011 was $8.2 million less than at December 31, 2010 as the Company worked off its prior backlog related to deepening projects in the ports of New York and New Jersey and won new capital projects including $41 million for channel deepening in New York’s Ambrose Channel and $43 million for Louisiana costal restoration. The Company believes that the new focus in Washington D.C. on marine infrastructure is evidenced by the bipartisan interest in addressing deferred and long overdue navigational improvement needs. Federal capital projects are being prioritized by the Corps as it begins its appropriation of annual funding for projects. The Company believes the Corps will continue to let work to bid during the remainder of this year and into 2012. However, as in prior years, the Company has limited visibility as to future Corps projects. In addition, the Company continues to be optimistic about the passage of a Harbor Maintenance Trust Fund (“HMTF”) bill that allocates existing funding to maintenance dredging as intended. The industry has seen strong support from both Democrats and Republicans for this bill which politicians argue both creates domestic jobs and does not require new taxation.</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Beach dredging backlog at September 30, 2011 was $99.5 million higher than at December 31, 2010 primarily due to six coastal protection/beach re-nourishment projects along the East Coast that were awarded near the end of the third quarter totaling $95.1 million and remain in backlog. The beach nourishment market has continued to be robust and the Company expects to commence the recently awarded projects in the fourth quarter of 2011, as well as work through the resulting backlog through mid-2012.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5"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Maintenance dredging backlog is $40.0 million lower at September 31, 2011 than at December 31, 2010. The Company continued to work through backlog in the third quarter from the projects won in the fourth quarter of 2010. The Company was awarded $11.5 million for maintenance work in Baltimore that will be worked on in the fourth quarter of 2011.</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$43 million Louisiana coastal restoration project won by Great Lakes in July, along with another coastal project that was let to bid, demonstrates that resources are being devoted to help restore the barrier islands and wetlands that provide natural protection from storms in the Gulf Coast area. The Company believes that numerous projects are being planned in the Gulf States resulting from a fund established following the Deepwater Horizon oil spill, which has not yet released projects. These projects have been long overdue to restore the eroding coastline. In addition, the Company expects a deepening project for the Port of Miami, Florida to be released for proposal in the first half of 2012 as domestic ports contemplate the need to facilitate larger draft vessels from international trade that will be coming through the deeper Panama Canal.</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several Middle Eastern countries have experienced civil unrest and resulting governmental instability in the current year, recent international response and focus has contributed to increased stability within many of these nations, including Bahrain. The Company has maintained normal operations for its international projects and has a positive outlook for many of its foreign markets.</w:t>
      </w:r>
    </w:p>
    <w:p>
      <w:pPr>
        <w:spacing w:after="0" w:line="14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Company continues to observe an increase in international dredging and has pursued new opportunities in strategic foreign markets. The Company’s development of opportunities in Brazil translated into new projects, some of which were completed in the third quarter of 2011. In the Middle East there are several new capital projects being let to bid that are well suited for the fleet of vessels that we currently maintain in the region. These foreign opportunities and those in other markets include several projects which fit well with Great Lakes’ expertise and equipment.</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Demolition services backlog was $68.0 million and $81.0 million at September 30, 2011 and December 31, 2010, respectively, a decrease of $13.0 million. The Company continued to work through backlog related to the larger projects that existed at year end 2010. The integration of our demolition and dredging businesses has been a pivotal step to strengthen and grow the demolition segment. Bridge demolition continues to be a focus of future growth as the Company’s expertise on maritime projects provides additional support to these opportunities.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principal sources of liquidity are cash flow generated from operations and borrowings under its senior credit facility. The Company’s principal uses of cash are to meet debt service requirements, finance its capital expenditures, provide working capital and meet other general corporate purposes.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net cash provided by operating activities for the nine months ended September 30, 2011 and 2010 totaled $13.6 million, and $108.3 million, respectively. Normal increases or decreases in the level of working capital relative to the level of operational activity impact cash flow from operating activities. In the first nine months of 2011, net cash provided by operating activities was primarily the result of lower net income and changes in accounts receivable and other operating assets between periods. In the first nine months of 2010, lower activity in foreign dredging operations (which usually experience longer collection periods) coupled with payments being made on a foreign accounts receivable that had been outstanding throughout 2009, drove the increase in cash generated.</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net cash flows used in investing activities for the first nine months of 2011 and 2010 totaled $17.4 million and $17.9 million, respectively. Investing activities in both periods primarily relate to normal course upgrades and capital maintenance of the Company’s dredging fleet. During the nine months ended September 30, 2011, the Company sold the dredge Victoria Island for $6.6 million.</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net cash flows provided by (used in) financing activities for the nine months ended September 30, 2011 and 2010 totaled $62.8 million and $(14.6) million, respectively. The Company issued $250 million of 7.375% senior notes in the first nine months of 2011, resulting in $244.2 million of net proceeds. The Company used a portion of these net proceeds to redeem its $175 million of 7.75% senior subordinated notes in the first nine months of 2011 for $180.0 million, which included a redemption premium and unpaid interest. Cash flows used in financing activities in the first nine months of 2010 was primarily due to the net repayment of $11.0 million of revolving credit borrowings.</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paid $3.5 million in dividends in the first nine months of 2011. The declaration and payment of any future cash dividends will be at the discretion of the Company’s Board of Directors and will depend on many factors, including general economic and business conditions, the Company’s strategic plans, the Company’s financial results and condition, legal requirements, including restrictions and limitations contained in the Company’s Credit Agreement, bonding agreements through which it obtains performance, bid and payment bonds (the “Bonding Agreements”) and the Indenture relating to its senior notes, and other factors the Board of Directors deems relevant. Accordingly, the Company cannot make any assurances as to the amount of any such dividend or that it will pay any future dividend in future periods.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January 2011, the Company issued $250 million aggregate principal amount of 7.375% senior notes due February 1, 2019 in a private placement. Approximately $180 million of the net proceeds from the issuance of the senior notes was used to redeem all of the Company’s 7.75% senior subordinated notes due December 2013, including a redemption premium and accrued and unpaid interest. The remaining net proceeds from the issuance of the senior notes were used to augment working capital and could be used in the future for acquisitions.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obligations under the Credit Agreement and the Bonding Agreements are secured by liens on a substantial portion of the Company’s operating equipment. The Company’s obligations under its international letter of credit facility are secured by the Company’s foreign accounts receivable. The Company’s obligations under its senior notes are unsecured. The Company’s Credit Agreement, Bonding Agreements and the Indenture relating to the senior notes contain various restrictive covenants, including limitations on dividends, redemption and repurchases of capital stock, and the incurrence of indebtedness and requirements to maintain certain financial covenants.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third quarter of 2011, the Company’s cash balance decreased by $0.4 million due to the impact of changes in functional currency exchange rates against the U.S. dollar on non-U.S. dollar cash balances, primarily the Brazilian Real. The unrealized loss on the Company’s cash balance resulting from this exchange rate movement is reflected in the cumulative translation adjustment, net within accumulated other comprehensive income. Cash held in non-U.S. dollar currencies primarily is used for project-related and other operating costs in those currencies reducing the Company’s exposure to future realized exchange gains and losses.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believes its cash and cash equivalents, anticipated cash flows from operations and availability under its Credit Agreement will be sufficient to fund the Company’s operations, capital expenditures and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Credit Agreement and the Bonding Agreements, depends on its future operating performance and cash flow, which in turn, are subject to prevailing economic conditions and to financial, business and other factors, some of which are beyond the Company’s control.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September 30, 2011 has not materially changed since December 31, 2010. The market risk profile of the Company on December 31, 2010 is disclosed in Item 7A. “Quantitative and Qualitative Disclosures about Market Risk” of the Company’s Annual Report on Form 10-K for the year ended December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Controls and Procedures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have evaluated the effectiveness of the Company’s disclosure controls and procedures, as required by Rule 13a-15(b) and 15d-15(b) under the Securities Exchange Act of 1934 (the “Exchange Act”) as of September 30, 2011.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14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most recent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10 “Commitments and Contingencies” in the Notes to Condensed Consolidated Financial Statements.</w:t>
      </w:r>
    </w:p>
    <w:p>
      <w:pPr>
        <w:spacing w:after="0" w:line="28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three months and nine months ended September 30, 2011 to the risk factors previously disclosed in Item 1A. Risk Factors in the Company’s Annual Report on Form 10-K for the year ended December 31, 2010.</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ind w:left="1060" w:hanging="24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060" w:hanging="24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060" w:hanging="24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40" w:type="dxa"/>
            <w:vAlign w:val="bottom"/>
          </w:tcPr>
          <w:p>
            <w:pPr>
              <w:ind w:left="24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7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None.</w:t>
            </w:r>
          </w:p>
        </w:tc>
      </w:tr>
      <w:tr>
        <w:trPr>
          <w:trHeight w:val="500"/>
        </w:trPr>
        <w:tc>
          <w:tcPr>
            <w:tcW w:w="7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40" w:type="dxa"/>
            <w:vAlign w:val="bottom"/>
          </w:tcPr>
          <w:p>
            <w:pPr>
              <w:ind w:left="240"/>
              <w:spacing w:after="0"/>
              <w:rPr>
                <w:sz w:val="20"/>
                <w:szCs w:val="20"/>
                <w:color w:val="auto"/>
              </w:rPr>
            </w:pPr>
            <w:r>
              <w:rPr>
                <w:rFonts w:ascii="Arial" w:cs="Arial" w:eastAsia="Arial" w:hAnsi="Arial"/>
                <w:sz w:val="18"/>
                <w:szCs w:val="18"/>
                <w:b w:val="1"/>
                <w:bCs w:val="1"/>
                <w:color w:val="auto"/>
              </w:rPr>
              <w:t>Reserved</w:t>
            </w:r>
          </w:p>
        </w:tc>
      </w:tr>
      <w:tr>
        <w:trPr>
          <w:trHeight w:val="500"/>
        </w:trPr>
        <w:tc>
          <w:tcPr>
            <w:tcW w:w="7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40" w:type="dxa"/>
            <w:vAlign w:val="bottom"/>
          </w:tcPr>
          <w:p>
            <w:pPr>
              <w:ind w:left="24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7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(a) None.</w:t>
            </w:r>
          </w:p>
        </w:tc>
      </w:tr>
      <w:tr>
        <w:trPr>
          <w:trHeight w:val="432"/>
        </w:trPr>
        <w:tc>
          <w:tcPr>
            <w:tcW w:w="72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(b) Not applicable.</w:t>
            </w:r>
          </w:p>
        </w:tc>
      </w:tr>
      <w:tr>
        <w:trPr>
          <w:trHeight w:val="500"/>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tcPr>
          <w:p>
            <w:pPr>
              <w:ind w:left="200"/>
              <w:spacing w:after="0"/>
              <w:rPr>
                <w:sz w:val="20"/>
                <w:szCs w:val="20"/>
                <w:color w:val="auto"/>
              </w:rPr>
            </w:pPr>
            <w:r>
              <w:rPr>
                <w:rFonts w:ascii="Arial" w:cs="Arial" w:eastAsia="Arial" w:hAnsi="Arial"/>
                <w:sz w:val="18"/>
                <w:szCs w:val="18"/>
                <w:color w:val="auto"/>
              </w:rPr>
              <w:t>Amendment No. 4 to Credit Agreement dated as of September 7, 2011 among Great Lakes Dredge &amp; Dock Corporation,</w:t>
            </w:r>
          </w:p>
        </w:tc>
      </w:tr>
      <w:tr>
        <w:trPr>
          <w:trHeight w:val="216"/>
        </w:trPr>
        <w:tc>
          <w:tcPr>
            <w:tcW w:w="720" w:type="dxa"/>
            <w:vAlign w:val="bottom"/>
          </w:tcPr>
          <w:p>
            <w:pPr>
              <w:spacing w:after="0"/>
              <w:rPr>
                <w:sz w:val="18"/>
                <w:szCs w:val="18"/>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the other Loan Parties from time to time party to the Credit Agreement, the Lenders signatory thereto and Bank of</w:t>
            </w:r>
          </w:p>
        </w:tc>
      </w:tr>
      <w:tr>
        <w:trPr>
          <w:trHeight w:val="216"/>
        </w:trPr>
        <w:tc>
          <w:tcPr>
            <w:tcW w:w="720" w:type="dxa"/>
            <w:vAlign w:val="bottom"/>
          </w:tcPr>
          <w:p>
            <w:pPr>
              <w:spacing w:after="0"/>
              <w:rPr>
                <w:sz w:val="18"/>
                <w:szCs w:val="18"/>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America, N.A. (successor by merger to LaSalle Bank National Association) as Swing Line Lender, Issuing Lender and</w:t>
            </w:r>
          </w:p>
        </w:tc>
      </w:tr>
      <w:tr>
        <w:trPr>
          <w:trHeight w:val="222"/>
        </w:trPr>
        <w:tc>
          <w:tcPr>
            <w:tcW w:w="7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Administrative Agent. (1)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tcPr>
          <w:p>
            <w:pPr>
              <w:ind w:left="20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7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tcPr>
          <w:p>
            <w:pPr>
              <w:ind w:left="20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720" w:type="dxa"/>
            <w:vAlign w:val="bottom"/>
          </w:tcPr>
          <w:p>
            <w:pPr>
              <w:spacing w:after="0"/>
              <w:rPr>
                <w:sz w:val="19"/>
                <w:szCs w:val="19"/>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024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75" w:lineRule="exact"/>
        <w:rPr>
          <w:sz w:val="20"/>
          <w:szCs w:val="20"/>
          <w:color w:val="auto"/>
        </w:rPr>
      </w:pPr>
    </w:p>
    <w:p>
      <w:pPr>
        <w:ind w:left="460" w:right="1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September 13, 2011 (Commission file no. 001-33225).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142" w:lineRule="exact"/>
        <w:rPr>
          <w:sz w:val="20"/>
          <w:szCs w:val="20"/>
          <w:color w:val="auto"/>
        </w:rPr>
      </w:pPr>
    </w:p>
    <w:p>
      <w:pPr>
        <w:ind w:left="6860"/>
        <w:spacing w:after="0"/>
        <w:tabs>
          <w:tab w:leader="none" w:pos="8420" w:val="left"/>
        </w:tabs>
        <w:rPr>
          <w:sz w:val="20"/>
          <w:szCs w:val="20"/>
          <w:color w:val="auto"/>
        </w:rPr>
      </w:pPr>
      <w:r>
        <w:rPr>
          <w:rFonts w:ascii="Arial" w:cs="Arial" w:eastAsia="Arial" w:hAnsi="Arial"/>
          <w:sz w:val="27"/>
          <w:szCs w:val="27"/>
          <w:color w:val="auto"/>
          <w:vertAlign w:val="superscript"/>
        </w:rPr>
        <w:t>By:</w:t>
      </w:r>
      <w:r>
        <w:rPr>
          <w:sz w:val="20"/>
          <w:szCs w:val="20"/>
          <w:color w:val="auto"/>
        </w:rPr>
        <w:tab/>
      </w: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J. B</w:t>
      </w:r>
      <w:r>
        <w:rPr>
          <w:rFonts w:ascii="Arial" w:cs="Arial" w:eastAsia="Arial" w:hAnsi="Arial"/>
          <w:sz w:val="14"/>
          <w:szCs w:val="14"/>
          <w:color w:val="auto"/>
        </w:rPr>
        <w:t>IEMECK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2540</wp:posOffset>
            </wp:positionV>
            <wp:extent cx="2769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jc w:val="center"/>
        <w:ind w:left="7080"/>
        <w:spacing w:after="0"/>
        <w:rPr>
          <w:sz w:val="20"/>
          <w:szCs w:val="20"/>
          <w:color w:val="auto"/>
        </w:rPr>
      </w:pPr>
      <w:r>
        <w:rPr>
          <w:rFonts w:ascii="Arial" w:cs="Arial" w:eastAsia="Arial" w:hAnsi="Arial"/>
          <w:sz w:val="14"/>
          <w:szCs w:val="14"/>
          <w:b w:val="1"/>
          <w:bCs w:val="1"/>
          <w:color w:val="auto"/>
        </w:rPr>
        <w:t>Bruce J. Biemeck</w:t>
      </w:r>
    </w:p>
    <w:p>
      <w:pPr>
        <w:jc w:val="center"/>
        <w:ind w:left="7080"/>
        <w:spacing w:after="0" w:line="221" w:lineRule="auto"/>
        <w:rPr>
          <w:sz w:val="20"/>
          <w:szCs w:val="20"/>
          <w:color w:val="auto"/>
        </w:rPr>
      </w:pPr>
      <w:r>
        <w:rPr>
          <w:rFonts w:ascii="Arial" w:cs="Arial" w:eastAsia="Arial" w:hAnsi="Arial"/>
          <w:sz w:val="14"/>
          <w:szCs w:val="14"/>
          <w:b w:val="1"/>
          <w:bCs w:val="1"/>
          <w:color w:val="auto"/>
        </w:rPr>
        <w:t>President and Chief Financial Officer</w:t>
      </w:r>
    </w:p>
    <w:p>
      <w:pPr>
        <w:jc w:val="center"/>
        <w:ind w:left="708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tcPr>
          <w:p>
            <w:pPr>
              <w:ind w:left="4600"/>
              <w:spacing w:after="0"/>
              <w:rPr>
                <w:sz w:val="20"/>
                <w:szCs w:val="20"/>
                <w:color w:val="auto"/>
              </w:rPr>
            </w:pPr>
            <w:r>
              <w:rPr>
                <w:rFonts w:ascii="Arial" w:cs="Arial" w:eastAsia="Arial" w:hAnsi="Arial"/>
                <w:sz w:val="14"/>
                <w:szCs w:val="14"/>
                <w:b w:val="1"/>
                <w:bCs w:val="1"/>
                <w:color w:val="auto"/>
              </w:rPr>
              <w:t>Document Description</w:t>
            </w:r>
          </w:p>
        </w:tc>
      </w:tr>
      <w:tr>
        <w:trPr>
          <w:trHeight w:val="302"/>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Amendment No. 4 to Credit Agreement dated as of September 7, 2011 among Great Lakes Dredge &amp; Dock Corporation, the other Loan Parties from</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time to time party to the Credit Agreement, the Lenders signatory thereto and Bank of America, N.A. (successor by merger to LaSalle Bank National</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Association) as Swing Line Lender, Issuing Lender and Administrative Agent. (1)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with the SEC on September 13, 2011 (Commission file no. 001-33225).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Bruce J. Biemeck,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2011,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Great Lakes Dredge &amp; Dock Corporation (the “Company”) on Form 10-Q for the period ended June 30, 2011, as filed with the Securities and Exchange Commission on the date hereof (the “Report”), I, Bruce J. Biemeck, President and Chief Financial Officer, certify pursuant to 18 U.S.C. Section 1350, as adopted pursuant to Section 906 of the Sarbanes-Oxley Act of 2002, that:</w:t>
      </w:r>
    </w:p>
    <w:p>
      <w:pPr>
        <w:spacing w:after="0" w:line="5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Bruce J. Biemeck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Bruce J. Biemeck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2011</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lvl w:ilvl="1">
      <w:lvlJc w:val="left"/>
      <w:lvlText w:val="%2."/>
      <w:numFmt w:val="decimal"/>
      <w:start w:val="3"/>
    </w:lvl>
  </w:abstractNum>
  <w:abstractNum w:abstractNumId="3">
    <w:nsid w:val="66EF438D"/>
    <w:multiLevelType w:val="hybridMultilevel"/>
    <w:lvl w:ilvl="0">
      <w:lvlJc w:val="left"/>
      <w:lvlText w:val="%1."/>
      <w:numFmt w:val="decimal"/>
      <w:start w:val="7"/>
    </w:lvl>
  </w:abstractNum>
  <w:abstractNum w:abstractNumId="4">
    <w:nsid w:val="140E0F76"/>
    <w:multiLevelType w:val="hybridMultilevel"/>
    <w:lvl w:ilvl="0">
      <w:lvlJc w:val="left"/>
      <w:lvlText w:val="%1."/>
      <w:numFmt w:val="decimal"/>
      <w:start w:val="8"/>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3"/>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2019-12-11T03:16:35Z</dcterms:created>
  <dcterms:modified xsi:type="dcterms:W3CDTF">2019-12-11T03:16:35Z</dcterms:modified>
</cp:coreProperties>
</file>