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156210</wp:posOffset>
            </wp:positionH>
            <wp:positionV relativeFrom="page">
              <wp:posOffset>307340</wp:posOffset>
            </wp:positionV>
            <wp:extent cx="7249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page">
              <wp:posOffset>156210</wp:posOffset>
            </wp:positionH>
            <wp:positionV relativeFrom="page">
              <wp:posOffset>323850</wp:posOffset>
            </wp:positionV>
            <wp:extent cx="72497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795" cy="8255"/>
                    </a:xfrm>
                    <a:prstGeom prst="rect">
                      <a:avLst/>
                    </a:prstGeom>
                    <a:noFill/>
                  </pic:spPr>
                </pic:pic>
              </a:graphicData>
            </a:graphic>
          </wp:anchor>
        </w:drawing>
        <w:t>UNITED STATES SECURITIES AND EXCHANGE COMMISSION</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66675</wp:posOffset>
            </wp:positionV>
            <wp:extent cx="1443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3355" cy="8255"/>
                    </a:xfrm>
                    <a:prstGeom prst="rect">
                      <a:avLst/>
                    </a:prstGeom>
                    <a:noFill/>
                  </pic:spPr>
                </pic:pic>
              </a:graphicData>
            </a:graphic>
          </wp:anchor>
        </w:drawing>
      </w:r>
    </w:p>
    <w:p>
      <w:pPr>
        <w:spacing w:after="0" w:line="1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90170</wp:posOffset>
            </wp:positionV>
            <wp:extent cx="1443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3355" cy="8255"/>
                    </a:xfrm>
                    <a:prstGeom prst="rect">
                      <a:avLst/>
                    </a:prstGeom>
                    <a:noFill/>
                  </pic:spPr>
                </pic:pic>
              </a:graphicData>
            </a:graphic>
          </wp:anchor>
        </w:drawing>
      </w:r>
    </w:p>
    <w:p>
      <w:pPr>
        <w:spacing w:after="0" w:line="169" w:lineRule="exact"/>
        <w:rPr>
          <w:sz w:val="24"/>
          <w:szCs w:val="24"/>
          <w:color w:val="auto"/>
        </w:rPr>
      </w:pPr>
    </w:p>
    <w:p>
      <w:pPr>
        <w:ind w:left="600" w:hanging="429"/>
        <w:spacing w:after="0"/>
        <w:tabs>
          <w:tab w:leader="none" w:pos="6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8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9" w:lineRule="exact"/>
        <w:rPr>
          <w:sz w:val="24"/>
          <w:szCs w:val="24"/>
          <w:color w:val="auto"/>
        </w:rPr>
      </w:pPr>
    </w:p>
    <w:p>
      <w:pPr>
        <w:ind w:left="600" w:hanging="429"/>
        <w:spacing w:after="0"/>
        <w:tabs>
          <w:tab w:leader="none" w:pos="6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87" w:lineRule="exact"/>
        <w:rPr>
          <w:sz w:val="24"/>
          <w:szCs w:val="24"/>
          <w:color w:val="auto"/>
        </w:rPr>
      </w:pPr>
    </w:p>
    <w:p>
      <w:pPr>
        <w:ind w:left="374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3250565</wp:posOffset>
            </wp:positionH>
            <wp:positionV relativeFrom="paragraph">
              <wp:posOffset>99695</wp:posOffset>
            </wp:positionV>
            <wp:extent cx="755015" cy="755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5015" cy="7550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2"/>
          <w:szCs w:val="42"/>
          <w:b w:val="1"/>
          <w:bCs w:val="1"/>
          <w:color w:val="auto"/>
        </w:rPr>
        <w:t>Great Lakes Dredge &amp; Dock Corporation</w:t>
      </w:r>
    </w:p>
    <w:p>
      <w:pPr>
        <w:spacing w:after="0" w:line="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69215</wp:posOffset>
            </wp:positionV>
            <wp:extent cx="1443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3355" cy="8255"/>
                    </a:xfrm>
                    <a:prstGeom prst="rect">
                      <a:avLst/>
                    </a:prstGeom>
                    <a:noFill/>
                  </pic:spPr>
                </pic:pic>
              </a:graphicData>
            </a:graphic>
          </wp:anchor>
        </w:drawing>
      </w:r>
    </w:p>
    <w:p>
      <w:pPr>
        <w:spacing w:after="0" w:line="161"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2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20" w:type="dxa"/>
            <w:vAlign w:val="bottom"/>
            <w:gridSpan w:val="2"/>
          </w:tcPr>
          <w:p>
            <w:pPr>
              <w:jc w:val="right"/>
              <w:ind w:right="1683"/>
              <w:spacing w:after="0"/>
              <w:rPr>
                <w:sz w:val="20"/>
                <w:szCs w:val="20"/>
                <w:color w:val="auto"/>
              </w:rPr>
            </w:pPr>
            <w:r>
              <w:rPr>
                <w:rFonts w:ascii="Times New Roman" w:cs="Times New Roman" w:eastAsia="Times New Roman" w:hAnsi="Times New Roman"/>
                <w:sz w:val="18"/>
                <w:szCs w:val="18"/>
                <w:b w:val="1"/>
                <w:bCs w:val="1"/>
                <w:color w:val="auto"/>
              </w:rPr>
              <w:t>20-5336063</w:t>
            </w:r>
          </w:p>
        </w:tc>
        <w:tc>
          <w:tcPr>
            <w:tcW w:w="0" w:type="dxa"/>
            <w:vAlign w:val="bottom"/>
          </w:tcPr>
          <w:p>
            <w:pPr>
              <w:spacing w:after="0"/>
              <w:rPr>
                <w:sz w:val="1"/>
                <w:szCs w:val="1"/>
                <w:color w:val="auto"/>
              </w:rPr>
            </w:pPr>
          </w:p>
        </w:tc>
      </w:tr>
      <w:tr>
        <w:trPr>
          <w:trHeight w:val="145"/>
        </w:trPr>
        <w:tc>
          <w:tcPr>
            <w:tcW w:w="1000" w:type="dxa"/>
            <w:vAlign w:val="bottom"/>
          </w:tcPr>
          <w:p>
            <w:pPr>
              <w:spacing w:after="0"/>
              <w:rPr>
                <w:sz w:val="12"/>
                <w:szCs w:val="12"/>
                <w:color w:val="auto"/>
              </w:rPr>
            </w:pPr>
          </w:p>
        </w:tc>
        <w:tc>
          <w:tcPr>
            <w:tcW w:w="254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jc w:val="center"/>
              <w:ind w:right="1183"/>
              <w:spacing w:after="0" w:line="145"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2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20" w:type="dxa"/>
            <w:vAlign w:val="bottom"/>
          </w:tcPr>
          <w:p>
            <w:pPr>
              <w:jc w:val="center"/>
              <w:ind w:right="1183"/>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03"/>
        </w:trPr>
        <w:tc>
          <w:tcPr>
            <w:tcW w:w="1000" w:type="dxa"/>
            <w:vAlign w:val="bottom"/>
          </w:tcPr>
          <w:p>
            <w:pPr>
              <w:spacing w:after="0"/>
              <w:rPr>
                <w:sz w:val="24"/>
                <w:szCs w:val="24"/>
                <w:color w:val="auto"/>
              </w:rPr>
            </w:pPr>
          </w:p>
        </w:tc>
        <w:tc>
          <w:tcPr>
            <w:tcW w:w="2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2122 York Road, Oak Brook, IL</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20" w:type="dxa"/>
            <w:vAlign w:val="bottom"/>
            <w:gridSpan w:val="2"/>
          </w:tcPr>
          <w:p>
            <w:pPr>
              <w:jc w:val="right"/>
              <w:ind w:right="1903"/>
              <w:spacing w:after="0"/>
              <w:rPr>
                <w:sz w:val="20"/>
                <w:szCs w:val="20"/>
                <w:color w:val="auto"/>
              </w:rPr>
            </w:pPr>
            <w:r>
              <w:rPr>
                <w:rFonts w:ascii="Times New Roman" w:cs="Times New Roman" w:eastAsia="Times New Roman" w:hAnsi="Times New Roman"/>
                <w:sz w:val="18"/>
                <w:szCs w:val="18"/>
                <w:b w:val="1"/>
                <w:bCs w:val="1"/>
                <w:color w:val="auto"/>
              </w:rPr>
              <w:t>60523</w:t>
            </w: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2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20" w:type="dxa"/>
            <w:vAlign w:val="bottom"/>
          </w:tcPr>
          <w:p>
            <w:pPr>
              <w:jc w:val="center"/>
              <w:ind w:right="1183"/>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20" w:type="dxa"/>
            <w:vAlign w:val="bottom"/>
            <w:gridSpan w:val="3"/>
          </w:tcPr>
          <w:p>
            <w:pPr>
              <w:jc w:val="center"/>
              <w:ind w:left="901"/>
              <w:spacing w:after="0"/>
              <w:rPr>
                <w:sz w:val="20"/>
                <w:szCs w:val="20"/>
                <w:color w:val="auto"/>
              </w:rPr>
            </w:pPr>
            <w:r>
              <w:rPr>
                <w:rFonts w:ascii="Times New Roman" w:cs="Times New Roman" w:eastAsia="Times New Roman" w:hAnsi="Times New Roman"/>
                <w:sz w:val="18"/>
                <w:szCs w:val="18"/>
                <w:b w:val="1"/>
                <w:bCs w:val="1"/>
                <w:color w:val="auto"/>
                <w:w w:val="97"/>
              </w:rPr>
              <w:t>(630) 574-3000</w:t>
            </w: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4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2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3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52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3540" w:type="dxa"/>
            <w:vAlign w:val="bottom"/>
            <w:gridSpan w:val="3"/>
            <w:vMerge w:val="continue"/>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100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12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Name of each exchange on which registered</w:t>
            </w:r>
          </w:p>
        </w:tc>
        <w:tc>
          <w:tcPr>
            <w:tcW w:w="0" w:type="dxa"/>
            <w:vAlign w:val="bottom"/>
          </w:tcPr>
          <w:p>
            <w:pPr>
              <w:spacing w:after="0"/>
              <w:rPr>
                <w:sz w:val="1"/>
                <w:szCs w:val="1"/>
                <w:color w:val="auto"/>
              </w:rPr>
            </w:pPr>
          </w:p>
        </w:tc>
      </w:tr>
      <w:tr>
        <w:trPr>
          <w:trHeight w:val="270"/>
        </w:trPr>
        <w:tc>
          <w:tcPr>
            <w:tcW w:w="35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7"/>
              </w:rPr>
              <w:t>Common Stock (Par Value $0.0001)</w:t>
            </w:r>
          </w:p>
        </w:tc>
        <w:tc>
          <w:tcPr>
            <w:tcW w:w="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6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color w:val="auto"/>
                <w:w w:val="99"/>
              </w:rPr>
              <w:t>GLDD</w:t>
            </w:r>
          </w:p>
        </w:tc>
        <w:tc>
          <w:tcPr>
            <w:tcW w:w="200" w:type="dxa"/>
            <w:vAlign w:val="bottom"/>
          </w:tcPr>
          <w:p>
            <w:pPr>
              <w:spacing w:after="0"/>
              <w:rPr>
                <w:sz w:val="23"/>
                <w:szCs w:val="23"/>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Nasdaq Stock Market, LLC</w:t>
            </w:r>
          </w:p>
        </w:tc>
        <w:tc>
          <w:tcPr>
            <w:tcW w:w="0" w:type="dxa"/>
            <w:vAlign w:val="bottom"/>
          </w:tcPr>
          <w:p>
            <w:pPr>
              <w:spacing w:after="0"/>
              <w:rPr>
                <w:sz w:val="1"/>
                <w:szCs w:val="1"/>
                <w:color w:val="auto"/>
              </w:rPr>
            </w:pPr>
          </w:p>
        </w:tc>
      </w:tr>
    </w:tbl>
    <w:p>
      <w:pPr>
        <w:spacing w:after="0" w:line="88" w:lineRule="exact"/>
        <w:rPr>
          <w:sz w:val="24"/>
          <w:szCs w:val="24"/>
          <w:color w:val="auto"/>
        </w:rPr>
      </w:pPr>
    </w:p>
    <w:p>
      <w:pPr>
        <w:ind w:right="140" w:firstLine="518"/>
        <w:spacing w:after="0" w:line="22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 w:lineRule="exact"/>
        <w:rPr>
          <w:sz w:val="24"/>
          <w:szCs w:val="24"/>
          <w:color w:val="auto"/>
        </w:rPr>
      </w:pPr>
    </w:p>
    <w:p>
      <w:pPr>
        <w:ind w:right="200" w:firstLine="518"/>
        <w:spacing w:after="0" w:line="267"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60" w:val="left"/>
          <w:tab w:leader="none" w:pos="1240" w:val="left"/>
        </w:tabs>
        <w:rPr>
          <w:sz w:val="20"/>
          <w:szCs w:val="20"/>
          <w:color w:val="auto"/>
        </w:rPr>
      </w:pPr>
      <w:r>
        <w:rPr>
          <w:rFonts w:ascii="Times New Roman" w:cs="Times New Roman" w:eastAsia="Times New Roman" w:hAnsi="Times New Roman"/>
          <w:sz w:val="18"/>
          <w:szCs w:val="18"/>
          <w:color w:val="auto"/>
        </w:rPr>
        <w:t>files).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44" w:lineRule="exact"/>
        <w:rPr>
          <w:sz w:val="24"/>
          <w:szCs w:val="24"/>
          <w:color w:val="auto"/>
        </w:rPr>
      </w:pPr>
    </w:p>
    <w:p>
      <w:pPr>
        <w:ind w:right="60" w:firstLine="518"/>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1"/>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7"/>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4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9" w:lineRule="exact"/>
        <w:rPr>
          <w:sz w:val="24"/>
          <w:szCs w:val="24"/>
          <w:color w:val="auto"/>
        </w:rPr>
      </w:pPr>
    </w:p>
    <w:p>
      <w:pPr>
        <w:jc w:val="both"/>
        <w:ind w:firstLine="518"/>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520" w:right="1520"/>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31, 2019, 63,919,970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249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67945</wp:posOffset>
            </wp:positionV>
            <wp:extent cx="7249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197485</wp:posOffset>
            </wp:positionV>
            <wp:extent cx="729170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60"/>
          </w:cols>
          <w:pgMar w:left="240" w:top="528" w:right="2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Pursuant to Section 13 or 15(d) of the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84"/>
        </w:trPr>
        <w:tc>
          <w:tcPr>
            <w:tcW w:w="1040" w:type="dxa"/>
            <w:vAlign w:val="bottom"/>
          </w:tcPr>
          <w:p>
            <w:pPr>
              <w:spacing w:after="0"/>
              <w:rPr>
                <w:sz w:val="24"/>
                <w:szCs w:val="24"/>
                <w:color w:val="auto"/>
              </w:rPr>
            </w:pPr>
          </w:p>
        </w:tc>
        <w:tc>
          <w:tcPr>
            <w:tcW w:w="9480" w:type="dxa"/>
            <w:vAlign w:val="bottom"/>
            <w:gridSpan w:val="21"/>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 Financial Information (Unaudited)</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12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636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0"/>
        </w:trPr>
        <w:tc>
          <w:tcPr>
            <w:tcW w:w="1040" w:type="dxa"/>
            <w:vAlign w:val="bottom"/>
          </w:tcPr>
          <w:p>
            <w:pPr>
              <w:spacing w:after="0"/>
              <w:rPr>
                <w:sz w:val="24"/>
                <w:szCs w:val="24"/>
                <w:color w:val="auto"/>
              </w:rPr>
            </w:pPr>
          </w:p>
        </w:tc>
        <w:tc>
          <w:tcPr>
            <w:tcW w:w="62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Condensed Consolidated Balance Sheets at September 30, 2019 and December 31, 2018</w:t>
              </w:r>
            </w:hyperlink>
          </w:p>
        </w:tc>
        <w:tc>
          <w:tcPr>
            <w:tcW w:w="324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0"/>
        </w:trPr>
        <w:tc>
          <w:tcPr>
            <w:tcW w:w="1040" w:type="dxa"/>
            <w:vAlign w:val="bottom"/>
          </w:tcPr>
          <w:p>
            <w:pPr>
              <w:spacing w:after="0"/>
              <w:rPr>
                <w:sz w:val="24"/>
                <w:szCs w:val="24"/>
                <w:color w:val="auto"/>
              </w:rPr>
            </w:pPr>
          </w:p>
        </w:tc>
        <w:tc>
          <w:tcPr>
            <w:tcW w:w="84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Condensed Consolidated Statements of Operations for the Three and Nine Months ended September 30, 2019 and 2018</w:t>
              </w:r>
            </w:hyperlink>
          </w:p>
        </w:tc>
        <w:tc>
          <w:tcPr>
            <w:tcW w:w="104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10"/>
        </w:trPr>
        <w:tc>
          <w:tcPr>
            <w:tcW w:w="1040" w:type="dxa"/>
            <w:vAlign w:val="bottom"/>
          </w:tcPr>
          <w:p>
            <w:pPr>
              <w:spacing w:after="0"/>
              <w:rPr>
                <w:sz w:val="24"/>
                <w:szCs w:val="24"/>
                <w:color w:val="auto"/>
              </w:rPr>
            </w:pPr>
          </w:p>
        </w:tc>
        <w:tc>
          <w:tcPr>
            <w:tcW w:w="9480" w:type="dxa"/>
            <w:vAlign w:val="bottom"/>
            <w:gridSpan w:val="21"/>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Comprehensive Income for the Three and Nine Months ended September 30, 2019 and 2018</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0"/>
        </w:trPr>
        <w:tc>
          <w:tcPr>
            <w:tcW w:w="1040" w:type="dxa"/>
            <w:vAlign w:val="bottom"/>
          </w:tcPr>
          <w:p>
            <w:pPr>
              <w:spacing w:after="0"/>
              <w:rPr>
                <w:sz w:val="24"/>
                <w:szCs w:val="24"/>
                <w:color w:val="auto"/>
              </w:rPr>
            </w:pPr>
          </w:p>
        </w:tc>
        <w:tc>
          <w:tcPr>
            <w:tcW w:w="9340" w:type="dxa"/>
            <w:vAlign w:val="bottom"/>
            <w:tcBorders>
              <w:top w:val="single" w:sz="8" w:color="0000EE"/>
            </w:tcBorders>
            <w:gridSpan w:val="20"/>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Equity for the Three and Nine Months Ended September 30, 2019 and 2018</w:t>
              </w:r>
            </w:hyperlink>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0"/>
        </w:trPr>
        <w:tc>
          <w:tcPr>
            <w:tcW w:w="1040" w:type="dxa"/>
            <w:vAlign w:val="bottom"/>
          </w:tcPr>
          <w:p>
            <w:pPr>
              <w:spacing w:after="0"/>
              <w:rPr>
                <w:sz w:val="24"/>
                <w:szCs w:val="24"/>
                <w:color w:val="auto"/>
              </w:rPr>
            </w:pPr>
          </w:p>
        </w:tc>
        <w:tc>
          <w:tcPr>
            <w:tcW w:w="816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for the Nine Months Ended September 30, 2019 and 2018</w:t>
              </w:r>
            </w:hyperlink>
          </w:p>
        </w:tc>
        <w:tc>
          <w:tcPr>
            <w:tcW w:w="132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0"/>
        </w:trPr>
        <w:tc>
          <w:tcPr>
            <w:tcW w:w="1040" w:type="dxa"/>
            <w:vAlign w:val="bottom"/>
          </w:tcPr>
          <w:p>
            <w:pPr>
              <w:spacing w:after="0"/>
              <w:rPr>
                <w:sz w:val="24"/>
                <w:szCs w:val="24"/>
                <w:color w:val="auto"/>
              </w:rPr>
            </w:pPr>
          </w:p>
        </w:tc>
        <w:tc>
          <w:tcPr>
            <w:tcW w:w="392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9">
              <w:r>
                <w:rPr>
                  <w:rFonts w:ascii="Times New Roman" w:cs="Times New Roman" w:eastAsia="Times New Roman" w:hAnsi="Times New Roman"/>
                  <w:sz w:val="18"/>
                  <w:szCs w:val="18"/>
                  <w:color w:val="0000EE"/>
                  <w:w w:val="97"/>
                </w:rPr>
                <w:t>Notes to Condensed Consolidated Financial Statements</w:t>
              </w:r>
            </w:hyperlink>
          </w:p>
        </w:tc>
        <w:tc>
          <w:tcPr>
            <w:tcW w:w="3840" w:type="dxa"/>
            <w:vAlign w:val="bottom"/>
            <w:tcBorders>
              <w:top w:val="single" w:sz="8" w:color="0000EE"/>
            </w:tcBorders>
            <w:gridSpan w:val="5"/>
          </w:tcPr>
          <w:p>
            <w:pPr>
              <w:spacing w:after="0"/>
              <w:rPr>
                <w:sz w:val="24"/>
                <w:szCs w:val="24"/>
                <w:color w:val="auto"/>
              </w:rPr>
            </w:pPr>
          </w:p>
        </w:tc>
        <w:tc>
          <w:tcPr>
            <w:tcW w:w="172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80" w:type="dxa"/>
            <w:vAlign w:val="bottom"/>
            <w:gridSpan w:val="21"/>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28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16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28">
              <w:r>
                <w:rPr>
                  <w:rFonts w:ascii="Times New Roman" w:cs="Times New Roman" w:eastAsia="Times New Roman" w:hAnsi="Times New Roman"/>
                  <w:sz w:val="18"/>
                  <w:szCs w:val="18"/>
                  <w:color w:val="0000EE"/>
                  <w:w w:val="98"/>
                </w:rPr>
                <w:t>Controls and Procedures</w:t>
              </w:r>
            </w:hyperlink>
          </w:p>
        </w:tc>
        <w:tc>
          <w:tcPr>
            <w:tcW w:w="772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0"/>
        </w:trPr>
        <w:tc>
          <w:tcPr>
            <w:tcW w:w="1040" w:type="dxa"/>
            <w:vAlign w:val="bottom"/>
          </w:tcPr>
          <w:p>
            <w:pPr>
              <w:spacing w:after="0"/>
              <w:rPr>
                <w:sz w:val="24"/>
                <w:szCs w:val="24"/>
                <w:color w:val="auto"/>
              </w:rPr>
            </w:pPr>
          </w:p>
        </w:tc>
        <w:tc>
          <w:tcPr>
            <w:tcW w:w="9480" w:type="dxa"/>
            <w:vAlign w:val="bottom"/>
            <w:gridSpan w:val="21"/>
          </w:tcPr>
          <w:p>
            <w:pPr>
              <w:spacing w:after="0"/>
              <w:rPr>
                <w:rFonts w:ascii="Times New Roman" w:cs="Times New Roman" w:eastAsia="Times New Roman" w:hAnsi="Times New Roman"/>
                <w:sz w:val="18"/>
                <w:szCs w:val="18"/>
                <w:b w:val="1"/>
                <w:bCs w:val="1"/>
                <w:color w:val="0000EE"/>
              </w:rPr>
            </w:pPr>
            <w:hyperlink w:anchor="page29">
              <w:r>
                <w:rPr>
                  <w:rFonts w:ascii="Times New Roman" w:cs="Times New Roman" w:eastAsia="Times New Roman" w:hAnsi="Times New Roman"/>
                  <w:sz w:val="18"/>
                  <w:szCs w:val="18"/>
                  <w:b w:val="1"/>
                  <w:bCs w:val="1"/>
                  <w:color w:val="0000EE"/>
                </w:rPr>
                <w:t>Part II Other Information</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Legal Proceedings</w:t>
              </w:r>
            </w:hyperlink>
          </w:p>
        </w:tc>
        <w:tc>
          <w:tcPr>
            <w:tcW w:w="660" w:type="dxa"/>
            <w:vAlign w:val="bottom"/>
            <w:tcBorders>
              <w:top w:val="single" w:sz="8" w:color="0000EE"/>
            </w:tcBorders>
            <w:gridSpan w:val="4"/>
          </w:tcPr>
          <w:p>
            <w:pPr>
              <w:spacing w:after="0"/>
              <w:rPr>
                <w:sz w:val="24"/>
                <w:szCs w:val="24"/>
                <w:color w:val="auto"/>
              </w:rPr>
            </w:pPr>
          </w:p>
        </w:tc>
        <w:tc>
          <w:tcPr>
            <w:tcW w:w="750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Risk Factors</w:t>
              </w:r>
            </w:hyperlink>
          </w:p>
        </w:tc>
        <w:tc>
          <w:tcPr>
            <w:tcW w:w="8580" w:type="dxa"/>
            <w:vAlign w:val="bottom"/>
            <w:gridSpan w:val="18"/>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80" w:type="dxa"/>
            <w:vAlign w:val="bottom"/>
            <w:gridSpan w:val="21"/>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26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Defaults Upon Senior Securities</w:t>
              </w:r>
            </w:hyperlink>
          </w:p>
        </w:tc>
        <w:tc>
          <w:tcPr>
            <w:tcW w:w="522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28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Mine Safety Disclosures</w:t>
              </w:r>
            </w:hyperlink>
          </w:p>
        </w:tc>
        <w:tc>
          <w:tcPr>
            <w:tcW w:w="720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0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774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30">
              <w:r>
                <w:rPr>
                  <w:rFonts w:ascii="Times New Roman" w:cs="Times New Roman" w:eastAsia="Times New Roman" w:hAnsi="Times New Roman"/>
                  <w:sz w:val="18"/>
                  <w:szCs w:val="18"/>
                  <w:color w:val="0000EE"/>
                  <w:w w:val="96"/>
                </w:rPr>
                <w:t>Exhibits</w:t>
              </w:r>
            </w:hyperlink>
          </w:p>
        </w:tc>
        <w:tc>
          <w:tcPr>
            <w:tcW w:w="8880" w:type="dxa"/>
            <w:vAlign w:val="bottom"/>
            <w:gridSpan w:val="20"/>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0"/>
        </w:trPr>
        <w:tc>
          <w:tcPr>
            <w:tcW w:w="1040" w:type="dxa"/>
            <w:vAlign w:val="bottom"/>
          </w:tcPr>
          <w:p>
            <w:pPr>
              <w:spacing w:after="0"/>
              <w:rPr>
                <w:sz w:val="24"/>
                <w:szCs w:val="24"/>
                <w:color w:val="auto"/>
              </w:rPr>
            </w:pPr>
          </w:p>
        </w:tc>
        <w:tc>
          <w:tcPr>
            <w:tcW w:w="9480" w:type="dxa"/>
            <w:vAlign w:val="bottom"/>
            <w:gridSpan w:val="21"/>
          </w:tcPr>
          <w:p>
            <w:pPr>
              <w:spacing w:after="0"/>
              <w:rPr>
                <w:rFonts w:ascii="Times New Roman" w:cs="Times New Roman" w:eastAsia="Times New Roman" w:hAnsi="Times New Roman"/>
                <w:sz w:val="18"/>
                <w:szCs w:val="18"/>
                <w:b w:val="1"/>
                <w:bCs w:val="1"/>
                <w:color w:val="0000EE"/>
              </w:rPr>
            </w:pPr>
            <w:hyperlink w:anchor="page31">
              <w:r>
                <w:rPr>
                  <w:rFonts w:ascii="Times New Roman" w:cs="Times New Roman" w:eastAsia="Times New Roman" w:hAnsi="Times New Roman"/>
                  <w:sz w:val="18"/>
                  <w:szCs w:val="18"/>
                  <w:b w:val="1"/>
                  <w:bCs w:val="1"/>
                  <w:color w:val="0000EE"/>
                </w:rPr>
                <w:t>Signature</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9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180,855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34,458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receivable—net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Assets held for sale</w:t>
            </w:r>
          </w:p>
        </w:tc>
        <w:tc>
          <w:tcPr>
            <w:tcW w:w="20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96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296,454</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206,698</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374,798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369,863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AND OTHER INTANGIBLE ASSETS—Net</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76,576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INVENTORIES—Noncurrent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9,894</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892,768</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730,271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77,074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71,537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0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960" w:type="dxa"/>
            <w:vAlign w:val="bottom"/>
            <w:tcBorders>
              <w:top w:val="single" w:sz="8" w:color="CFF0FC"/>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217,199</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163,121</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322,619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321,950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LIABILITIES—Noncurrent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36,526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9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630,944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515,343</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9"/>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stock—$.0001 par value; 90,000 authorized, 63,916 and 62,830 shares issued; 63,916 and</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62,552 shares outstanding at September 30, 2019 and December 31, 2018, respectively.</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Treasury stock, at cost</w:t>
            </w: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301,874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(39,064)</w:t>
            </w: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(74,971)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960" w:type="dxa"/>
            <w:vAlign w:val="bottom"/>
            <w:tcBorders>
              <w:top w:val="single" w:sz="8" w:color="CFF0FC"/>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261,824</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214,928</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892,768</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730,271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ind w:left="290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3"/>
        </w:trPr>
        <w:tc>
          <w:tcPr>
            <w:tcW w:w="7960" w:type="dxa"/>
            <w:vAlign w:val="bottom"/>
          </w:tcPr>
          <w:p>
            <w:pPr>
              <w:ind w:left="568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79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3" w:name="page4"/>
    <w:bookmarkEnd w:id="3"/>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8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300" w:type="dxa"/>
            <w:vAlign w:val="bottom"/>
            <w:gridSpan w:val="5"/>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0"/>
        </w:trPr>
        <w:tc>
          <w:tcPr>
            <w:tcW w:w="5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r>
      <w:tr>
        <w:trPr>
          <w:trHeight w:val="165"/>
        </w:trPr>
        <w:tc>
          <w:tcPr>
            <w:tcW w:w="5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25"/>
        </w:trPr>
        <w:tc>
          <w:tcPr>
            <w:tcW w:w="5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225"/>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760" w:type="dxa"/>
            <w:vAlign w:val="bottom"/>
            <w:gridSpan w:val="2"/>
            <w:shd w:val="clear" w:color="auto" w:fill="CFF0FC"/>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169,775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178,671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547,223</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447,56</w:t>
            </w:r>
          </w:p>
        </w:tc>
      </w:tr>
      <w:tr>
        <w:trPr>
          <w:trHeight w:val="225"/>
        </w:trPr>
        <w:tc>
          <w:tcPr>
            <w:tcW w:w="5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4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137,942</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139,087</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428,027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371,71</w:t>
            </w:r>
          </w:p>
        </w:tc>
      </w:tr>
      <w:tr>
        <w:trPr>
          <w:trHeight w:val="218"/>
        </w:trPr>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31,833</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39,584</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119,196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75,84</w:t>
            </w:r>
          </w:p>
        </w:tc>
      </w:tr>
      <w:tr>
        <w:trPr>
          <w:trHeight w:val="225"/>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13,488</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w:t>
            </w:r>
          </w:p>
        </w:tc>
      </w:tr>
      <w:tr>
        <w:trPr>
          <w:trHeight w:val="225"/>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loss on sale of assets—net</w:t>
            </w: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8"/>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4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18,372</w:t>
            </w:r>
          </w:p>
        </w:tc>
        <w:tc>
          <w:tcPr>
            <w:tcW w:w="2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23,720</w:t>
            </w: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w:t>
            </w:r>
          </w:p>
        </w:tc>
      </w:tr>
      <w:tr>
        <w:trPr>
          <w:trHeight w:val="225"/>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(6,335)</w:t>
            </w:r>
          </w:p>
        </w:tc>
        <w:tc>
          <w:tcPr>
            <w:tcW w:w="3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(8,058)</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(21,074)</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w:t>
            </w:r>
          </w:p>
        </w:tc>
      </w:tr>
      <w:tr>
        <w:trPr>
          <w:trHeight w:val="225"/>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8"/>
        </w:trPr>
        <w:tc>
          <w:tcPr>
            <w:tcW w:w="550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4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2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15,733</w:t>
            </w: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55,136</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25"/>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(3,204)</w:t>
            </w:r>
          </w:p>
        </w:tc>
        <w:tc>
          <w:tcPr>
            <w:tcW w:w="3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(3,853)</w:t>
            </w: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18"/>
        </w:trPr>
        <w:tc>
          <w:tcPr>
            <w:tcW w:w="550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4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8,811</w:t>
            </w:r>
          </w:p>
        </w:tc>
        <w:tc>
          <w:tcPr>
            <w:tcW w:w="2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40,856</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25"/>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(859)</w:t>
            </w:r>
          </w:p>
        </w:tc>
        <w:tc>
          <w:tcPr>
            <w:tcW w:w="3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18"/>
        </w:trPr>
        <w:tc>
          <w:tcPr>
            <w:tcW w:w="55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11,702</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33,366</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5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4"/>
        </w:trPr>
        <w:tc>
          <w:tcPr>
            <w:tcW w:w="5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5"/>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 per share attributable to continuing operations</w:t>
            </w:r>
          </w:p>
        </w:tc>
        <w:tc>
          <w:tcPr>
            <w:tcW w:w="760" w:type="dxa"/>
            <w:vAlign w:val="bottom"/>
            <w:gridSpan w:val="2"/>
            <w:shd w:val="clear" w:color="auto" w:fill="CFF0FC"/>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Basic loss per share attributable to discontinued operations, net of tax</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(0.02)</w:t>
            </w:r>
          </w:p>
        </w:tc>
        <w:tc>
          <w:tcPr>
            <w:tcW w:w="3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8"/>
        </w:trPr>
        <w:tc>
          <w:tcPr>
            <w:tcW w:w="5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4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25"/>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63,861</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62,358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w:t>
            </w:r>
          </w:p>
        </w:tc>
      </w:tr>
      <w:tr>
        <w:trPr>
          <w:trHeight w:val="225"/>
        </w:trPr>
        <w:tc>
          <w:tcPr>
            <w:tcW w:w="55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r>
      <w:tr>
        <w:trPr>
          <w:trHeight w:val="225"/>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 attributable to continuing operations</w:t>
            </w:r>
          </w:p>
        </w:tc>
        <w:tc>
          <w:tcPr>
            <w:tcW w:w="76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60" w:type="dxa"/>
            <w:vAlign w:val="bottom"/>
          </w:tcPr>
          <w:p>
            <w:pPr>
              <w:spacing w:after="0"/>
              <w:rPr>
                <w:sz w:val="19"/>
                <w:szCs w:val="19"/>
                <w:color w:val="auto"/>
              </w:rPr>
            </w:pPr>
          </w:p>
        </w:tc>
        <w:tc>
          <w:tcPr>
            <w:tcW w:w="38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60" w:type="dxa"/>
            <w:vAlign w:val="bottom"/>
          </w:tcPr>
          <w:p>
            <w:pPr>
              <w:spacing w:after="0"/>
              <w:rPr>
                <w:sz w:val="19"/>
                <w:szCs w:val="19"/>
                <w:color w:val="auto"/>
              </w:rPr>
            </w:pP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60" w:type="dxa"/>
            <w:vAlign w:val="bottom"/>
          </w:tcPr>
          <w:p>
            <w:pPr>
              <w:spacing w:after="0"/>
              <w:rPr>
                <w:sz w:val="19"/>
                <w:szCs w:val="19"/>
                <w:color w:val="auto"/>
              </w:rPr>
            </w:pPr>
          </w:p>
        </w:tc>
        <w:tc>
          <w:tcPr>
            <w:tcW w:w="480" w:type="dxa"/>
            <w:vAlign w:val="bottom"/>
            <w:gridSpan w:val="2"/>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loss per share attributable to discontinued operations, net of tax</w:t>
            </w: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(0.02)</w:t>
            </w:r>
          </w:p>
        </w:tc>
        <w:tc>
          <w:tcPr>
            <w:tcW w:w="3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8"/>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80" w:type="dxa"/>
            <w:vAlign w:val="bottom"/>
          </w:tcPr>
          <w:p>
            <w:pPr>
              <w:spacing w:after="0"/>
              <w:rPr>
                <w:sz w:val="18"/>
                <w:szCs w:val="18"/>
                <w:color w:val="auto"/>
              </w:rPr>
            </w:pPr>
          </w:p>
        </w:tc>
        <w:tc>
          <w:tcPr>
            <w:tcW w:w="28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tcPr>
          <w:p>
            <w:pPr>
              <w:spacing w:after="0"/>
              <w:rPr>
                <w:sz w:val="18"/>
                <w:szCs w:val="18"/>
                <w:color w:val="auto"/>
              </w:rPr>
            </w:pPr>
          </w:p>
        </w:tc>
        <w:tc>
          <w:tcPr>
            <w:tcW w:w="380" w:type="dxa"/>
            <w:vAlign w:val="bottom"/>
            <w:tcBorders>
              <w:top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60" w:type="dxa"/>
            <w:vAlign w:val="bottom"/>
          </w:tcPr>
          <w:p>
            <w:pPr>
              <w:spacing w:after="0"/>
              <w:rPr>
                <w:sz w:val="18"/>
                <w:szCs w:val="18"/>
                <w:color w:val="auto"/>
              </w:rPr>
            </w:pPr>
          </w:p>
        </w:tc>
        <w:tc>
          <w:tcPr>
            <w:tcW w:w="28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25"/>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65,071</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63,260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63,34</w:t>
            </w:r>
          </w:p>
        </w:tc>
      </w:tr>
    </w:tbl>
    <w:p>
      <w:pPr>
        <w:spacing w:after="0" w:line="2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520"/>
          </w:cols>
          <w:pgMar w:left="240" w:top="331" w:right="1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780" w:type="dxa"/>
            <w:vAlign w:val="bottom"/>
            <w:gridSpan w:val="7"/>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4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0"/>
        </w:trPr>
        <w:tc>
          <w:tcPr>
            <w:tcW w:w="5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2"/>
        </w:trPr>
        <w:tc>
          <w:tcPr>
            <w:tcW w:w="5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5"/>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9"/>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5"/>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3"/>
                <w:szCs w:val="13"/>
                <w:color w:val="auto"/>
              </w:rPr>
            </w:pPr>
          </w:p>
        </w:tc>
      </w:tr>
      <w:tr>
        <w:trPr>
          <w:trHeight w:val="125"/>
        </w:trPr>
        <w:tc>
          <w:tcPr>
            <w:tcW w:w="5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25"/>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60" w:type="dxa"/>
            <w:vAlign w:val="bottom"/>
            <w:gridSpan w:val="2"/>
            <w:shd w:val="clear" w:color="auto" w:fill="CFF0FC"/>
          </w:tcPr>
          <w:p>
            <w:pPr>
              <w:jc w:val="right"/>
              <w:ind w:right="56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7,952</w:t>
            </w: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33,366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shd w:val="clear" w:color="auto" w:fill="CFF0FC"/>
          </w:tcPr>
          <w:p>
            <w:pPr>
              <w:spacing w:after="0"/>
              <w:rPr>
                <w:sz w:val="19"/>
                <w:szCs w:val="19"/>
                <w:color w:val="auto"/>
              </w:rPr>
            </w:pPr>
          </w:p>
        </w:tc>
      </w:tr>
      <w:tr>
        <w:trPr>
          <w:trHeight w:val="225"/>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adjustment—net of tax (1)</w:t>
            </w: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Pr>
          <w:p>
            <w:pPr>
              <w:spacing w:after="0"/>
              <w:rPr>
                <w:sz w:val="19"/>
                <w:szCs w:val="19"/>
                <w:color w:val="auto"/>
              </w:rPr>
            </w:pPr>
          </w:p>
        </w:tc>
      </w:tr>
      <w:tr>
        <w:trPr>
          <w:trHeight w:val="225"/>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flow derivative hedges—net of tax (2)</w:t>
            </w: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(201)</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(1,062)</w:t>
            </w:r>
          </w:p>
        </w:tc>
      </w:tr>
      <w:tr>
        <w:trPr>
          <w:trHeight w:val="218"/>
        </w:trPr>
        <w:tc>
          <w:tcPr>
            <w:tcW w:w="5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(loss)—net of tax</w:t>
            </w:r>
          </w:p>
        </w:tc>
        <w:tc>
          <w:tcPr>
            <w:tcW w:w="940" w:type="dxa"/>
            <w:vAlign w:val="bottom"/>
            <w:tcBorders>
              <w:bottom w:val="single" w:sz="8" w:color="CFF0FC"/>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240" w:type="dxa"/>
            <w:vAlign w:val="bottom"/>
            <w:tcBorders>
              <w:bottom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FF0FC"/>
            </w:tcBorders>
          </w:tcPr>
          <w:p>
            <w:pPr>
              <w:spacing w:after="0"/>
              <w:rPr>
                <w:sz w:val="18"/>
                <w:szCs w:val="18"/>
                <w:color w:val="auto"/>
              </w:rPr>
            </w:pPr>
          </w:p>
        </w:tc>
      </w:tr>
      <w:tr>
        <w:trPr>
          <w:trHeight w:val="218"/>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9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6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7,792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11,487</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36,183</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3" w:lineRule="exact"/>
        <w:rPr>
          <w:sz w:val="20"/>
          <w:szCs w:val="20"/>
          <w:color w:val="auto"/>
        </w:rPr>
      </w:pPr>
    </w:p>
    <w:p>
      <w:pPr>
        <w:ind w:left="520" w:hanging="514"/>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(provision) of $21 and $(551) for the three and nine months ended September 30, 2018, respectively.</w:t>
      </w:r>
    </w:p>
    <w:p>
      <w:pPr>
        <w:spacing w:after="0" w:line="215" w:lineRule="exact"/>
        <w:rPr>
          <w:rFonts w:ascii="Times New Roman" w:cs="Times New Roman" w:eastAsia="Times New Roman" w:hAnsi="Times New Roman"/>
          <w:sz w:val="18"/>
          <w:szCs w:val="18"/>
          <w:color w:val="auto"/>
        </w:rPr>
      </w:pPr>
    </w:p>
    <w:p>
      <w:pPr>
        <w:ind w:left="520" w:hanging="514"/>
        <w:spacing w:after="0" w:line="270"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provision of $57 and $242 for the three months ended September 30, 2019 and 2018, respectively. Net of income tax benefit (provision) of $998 and $(1,191) for the nine months ended September 30, 2019 and 2018 respectively.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400" w:type="dxa"/>
            <w:vAlign w:val="bottom"/>
          </w:tcPr>
          <w:p>
            <w:pPr>
              <w:spacing w:after="0"/>
              <w:rPr>
                <w:sz w:val="15"/>
                <w:szCs w:val="15"/>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Shares of</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Shares of</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400" w:type="dxa"/>
            <w:vAlign w:val="bottom"/>
          </w:tcPr>
          <w:p>
            <w:pPr>
              <w:spacing w:after="0"/>
              <w:rPr>
                <w:sz w:val="13"/>
                <w:szCs w:val="13"/>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60" w:type="dxa"/>
            <w:vAlign w:val="bottom"/>
          </w:tcPr>
          <w:p>
            <w:pPr>
              <w:spacing w:after="0"/>
              <w:rPr>
                <w:sz w:val="13"/>
                <w:szCs w:val="13"/>
                <w:color w:val="auto"/>
              </w:rPr>
            </w:pP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80" w:type="dxa"/>
            <w:vAlign w:val="bottom"/>
          </w:tcPr>
          <w:p>
            <w:pPr>
              <w:spacing w:after="0"/>
              <w:rPr>
                <w:sz w:val="13"/>
                <w:szCs w:val="13"/>
                <w:color w:val="auto"/>
              </w:rPr>
            </w:pPr>
          </w:p>
        </w:tc>
        <w:tc>
          <w:tcPr>
            <w:tcW w:w="700" w:type="dxa"/>
            <w:vAlign w:val="bottom"/>
            <w:gridSpan w:val="3"/>
          </w:tcPr>
          <w:p>
            <w:pPr>
              <w:jc w:val="center"/>
              <w:ind w:right="7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8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40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17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8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7"/>
        </w:trPr>
        <w:tc>
          <w:tcPr>
            <w:tcW w:w="44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40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BALANCE—January 1, 2019</w:t>
            </w:r>
          </w:p>
        </w:tc>
        <w:tc>
          <w:tcPr>
            <w:tcW w:w="6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62,830</w:t>
            </w:r>
          </w:p>
        </w:tc>
        <w:tc>
          <w:tcPr>
            <w:tcW w:w="10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(278)</w:t>
            </w:r>
          </w:p>
        </w:tc>
        <w:tc>
          <w:tcPr>
            <w:tcW w:w="18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(1,433)</w:t>
            </w:r>
          </w:p>
        </w:tc>
        <w:tc>
          <w:tcPr>
            <w:tcW w:w="12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295,135</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(74,971)</w:t>
            </w:r>
          </w:p>
        </w:tc>
        <w:tc>
          <w:tcPr>
            <w:tcW w:w="14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(3,809)</w:t>
            </w:r>
          </w:p>
        </w:tc>
        <w:tc>
          <w:tcPr>
            <w:tcW w:w="140" w:type="dxa"/>
            <w:vAlign w:val="bottom"/>
            <w:gridSpan w:val="2"/>
            <w:shd w:val="clear" w:color="auto" w:fill="CFF0FC"/>
          </w:tcPr>
          <w:p>
            <w:pPr>
              <w:jc w:val="right"/>
              <w:ind w:right="5"/>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214,928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40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Cumulative effect of recent accounting pronouncements</w:t>
            </w:r>
          </w:p>
        </w:tc>
        <w:tc>
          <w:tcPr>
            <w:tcW w:w="70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5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2,802</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2,802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40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Share-based compensation</w:t>
            </w:r>
          </w:p>
        </w:tc>
        <w:tc>
          <w:tcPr>
            <w:tcW w:w="6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5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6,720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6,720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4400" w:type="dxa"/>
            <w:vAlign w:val="bottom"/>
            <w:shd w:val="clear" w:color="auto" w:fill="CFF0FC"/>
          </w:tcPr>
          <w:p>
            <w:pPr>
              <w:ind w:left="240"/>
              <w:spacing w:after="0" w:line="136" w:lineRule="exact"/>
              <w:rPr>
                <w:sz w:val="20"/>
                <w:szCs w:val="20"/>
                <w:color w:val="auto"/>
              </w:rPr>
            </w:pPr>
            <w:r>
              <w:rPr>
                <w:rFonts w:ascii="Times New Roman" w:cs="Times New Roman" w:eastAsia="Times New Roman" w:hAnsi="Times New Roman"/>
                <w:sz w:val="14"/>
                <w:szCs w:val="14"/>
                <w:color w:val="auto"/>
              </w:rPr>
              <w:t>Vesting of restricted stock units, including impact of shares withheld</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gridSpan w:val="2"/>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(3,164)</w:t>
            </w:r>
          </w:p>
        </w:tc>
        <w:tc>
          <w:tcPr>
            <w:tcW w:w="80" w:type="dxa"/>
            <w:vAlign w:val="bottom"/>
            <w:shd w:val="clear" w:color="auto" w:fill="CFF0FC"/>
          </w:tcPr>
          <w:p>
            <w:pPr>
              <w:spacing w:after="0"/>
              <w:rPr>
                <w:sz w:val="11"/>
                <w:szCs w:val="11"/>
                <w:color w:val="auto"/>
              </w:rPr>
            </w:pPr>
          </w:p>
        </w:tc>
        <w:tc>
          <w:tcPr>
            <w:tcW w:w="9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(3,164)</w:t>
            </w:r>
          </w:p>
        </w:tc>
        <w:tc>
          <w:tcPr>
            <w:tcW w:w="0" w:type="dxa"/>
            <w:vAlign w:val="bottom"/>
          </w:tcPr>
          <w:p>
            <w:pPr>
              <w:spacing w:after="0"/>
              <w:rPr>
                <w:sz w:val="1"/>
                <w:szCs w:val="1"/>
                <w:color w:val="auto"/>
              </w:rPr>
            </w:pPr>
          </w:p>
        </w:tc>
      </w:tr>
      <w:tr>
        <w:trPr>
          <w:trHeight w:val="104"/>
        </w:trPr>
        <w:tc>
          <w:tcPr>
            <w:tcW w:w="440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for taxes</w:t>
            </w:r>
          </w:p>
        </w:tc>
        <w:tc>
          <w:tcPr>
            <w:tcW w:w="60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gridSpan w:val="2"/>
            <w:vMerge w:val="continue"/>
            <w:shd w:val="clear" w:color="auto" w:fill="CFF0FC"/>
          </w:tcPr>
          <w:p>
            <w:pPr>
              <w:spacing w:after="0"/>
              <w:rPr>
                <w:sz w:val="9"/>
                <w:szCs w:val="9"/>
                <w:color w:val="auto"/>
              </w:rPr>
            </w:pPr>
          </w:p>
        </w:tc>
        <w:tc>
          <w:tcPr>
            <w:tcW w:w="78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gridSpan w:val="2"/>
            <w:vMerge w:val="continue"/>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2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100" w:type="dxa"/>
            <w:vAlign w:val="bottom"/>
            <w:gridSpan w:val="2"/>
            <w:vMerge w:val="continue"/>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400" w:type="dxa"/>
            <w:vAlign w:val="bottom"/>
            <w:vMerge w:val="continue"/>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48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4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8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440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Exercise of options and purchases from employee stock plans</w:t>
            </w:r>
          </w:p>
        </w:tc>
        <w:tc>
          <w:tcPr>
            <w:tcW w:w="6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699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5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4,355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4,355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40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Cancellation of treasury stock</w:t>
            </w:r>
          </w:p>
        </w:tc>
        <w:tc>
          <w:tcPr>
            <w:tcW w:w="70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(278)</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278</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1,433</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(1,172)</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(261)</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9"/>
        </w:trPr>
        <w:tc>
          <w:tcPr>
            <w:tcW w:w="440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Net income</w:t>
            </w:r>
          </w:p>
        </w:tc>
        <w:tc>
          <w:tcPr>
            <w:tcW w:w="70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5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33,366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33,366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40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Other comprehensive income—net of tax</w:t>
            </w:r>
          </w:p>
        </w:tc>
        <w:tc>
          <w:tcPr>
            <w:tcW w:w="70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5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2,817</w:t>
            </w: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2,817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40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BALANCE—September 30, 2019</w:t>
            </w:r>
          </w:p>
        </w:tc>
        <w:tc>
          <w:tcPr>
            <w:tcW w:w="60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63,916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301,874</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(39,064)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(992)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261,824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40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BALANCE—January 1, 2018</w:t>
            </w:r>
          </w:p>
        </w:tc>
        <w:tc>
          <w:tcPr>
            <w:tcW w:w="6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61,897</w:t>
            </w:r>
          </w:p>
        </w:tc>
        <w:tc>
          <w:tcPr>
            <w:tcW w:w="10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(278)</w:t>
            </w:r>
          </w:p>
        </w:tc>
        <w:tc>
          <w:tcPr>
            <w:tcW w:w="18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(1,433)</w:t>
            </w:r>
          </w:p>
        </w:tc>
        <w:tc>
          <w:tcPr>
            <w:tcW w:w="12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289,821</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(67,101)</w:t>
            </w:r>
          </w:p>
        </w:tc>
        <w:tc>
          <w:tcPr>
            <w:tcW w:w="14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ind w:right="5"/>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221,296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40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Cumulative effect of recent accounting pronouncements</w:t>
            </w:r>
          </w:p>
        </w:tc>
        <w:tc>
          <w:tcPr>
            <w:tcW w:w="70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5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(1,577)</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(1,577)</w:t>
            </w:r>
          </w:p>
        </w:tc>
        <w:tc>
          <w:tcPr>
            <w:tcW w:w="0" w:type="dxa"/>
            <w:vAlign w:val="bottom"/>
          </w:tcPr>
          <w:p>
            <w:pPr>
              <w:spacing w:after="0"/>
              <w:rPr>
                <w:sz w:val="1"/>
                <w:szCs w:val="1"/>
                <w:color w:val="auto"/>
              </w:rPr>
            </w:pPr>
          </w:p>
        </w:tc>
      </w:tr>
      <w:tr>
        <w:trPr>
          <w:trHeight w:val="159"/>
        </w:trPr>
        <w:tc>
          <w:tcPr>
            <w:tcW w:w="440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Share-based compensation</w:t>
            </w:r>
          </w:p>
        </w:tc>
        <w:tc>
          <w:tcPr>
            <w:tcW w:w="6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5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3,294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3,294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4400" w:type="dxa"/>
            <w:vAlign w:val="bottom"/>
            <w:shd w:val="clear" w:color="auto" w:fill="CFF0FC"/>
          </w:tcPr>
          <w:p>
            <w:pPr>
              <w:ind w:left="240"/>
              <w:spacing w:after="0" w:line="136" w:lineRule="exact"/>
              <w:rPr>
                <w:sz w:val="20"/>
                <w:szCs w:val="20"/>
                <w:color w:val="auto"/>
              </w:rPr>
            </w:pPr>
            <w:r>
              <w:rPr>
                <w:rFonts w:ascii="Times New Roman" w:cs="Times New Roman" w:eastAsia="Times New Roman" w:hAnsi="Times New Roman"/>
                <w:sz w:val="14"/>
                <w:szCs w:val="14"/>
                <w:color w:val="auto"/>
              </w:rPr>
              <w:t>Vesting of restricted stock units, including impact of shares withheld</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gridSpan w:val="2"/>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(1,075)</w:t>
            </w:r>
          </w:p>
        </w:tc>
        <w:tc>
          <w:tcPr>
            <w:tcW w:w="80" w:type="dxa"/>
            <w:vAlign w:val="bottom"/>
            <w:shd w:val="clear" w:color="auto" w:fill="CFF0FC"/>
          </w:tcPr>
          <w:p>
            <w:pPr>
              <w:spacing w:after="0"/>
              <w:rPr>
                <w:sz w:val="11"/>
                <w:szCs w:val="11"/>
                <w:color w:val="auto"/>
              </w:rPr>
            </w:pPr>
          </w:p>
        </w:tc>
        <w:tc>
          <w:tcPr>
            <w:tcW w:w="9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(1,075)</w:t>
            </w:r>
          </w:p>
        </w:tc>
        <w:tc>
          <w:tcPr>
            <w:tcW w:w="0" w:type="dxa"/>
            <w:vAlign w:val="bottom"/>
          </w:tcPr>
          <w:p>
            <w:pPr>
              <w:spacing w:after="0"/>
              <w:rPr>
                <w:sz w:val="1"/>
                <w:szCs w:val="1"/>
                <w:color w:val="auto"/>
              </w:rPr>
            </w:pPr>
          </w:p>
        </w:tc>
      </w:tr>
      <w:tr>
        <w:trPr>
          <w:trHeight w:val="104"/>
        </w:trPr>
        <w:tc>
          <w:tcPr>
            <w:tcW w:w="440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for taxes</w:t>
            </w:r>
          </w:p>
        </w:tc>
        <w:tc>
          <w:tcPr>
            <w:tcW w:w="60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gridSpan w:val="2"/>
            <w:vMerge w:val="continue"/>
            <w:shd w:val="clear" w:color="auto" w:fill="CFF0FC"/>
          </w:tcPr>
          <w:p>
            <w:pPr>
              <w:spacing w:after="0"/>
              <w:rPr>
                <w:sz w:val="9"/>
                <w:szCs w:val="9"/>
                <w:color w:val="auto"/>
              </w:rPr>
            </w:pPr>
          </w:p>
        </w:tc>
        <w:tc>
          <w:tcPr>
            <w:tcW w:w="78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gridSpan w:val="2"/>
            <w:vMerge w:val="continue"/>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2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100" w:type="dxa"/>
            <w:vAlign w:val="bottom"/>
            <w:gridSpan w:val="2"/>
            <w:vMerge w:val="continue"/>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400" w:type="dxa"/>
            <w:vAlign w:val="bottom"/>
            <w:vMerge w:val="continue"/>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48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4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8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440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Exercise of options and purchases from employee stock plans</w:t>
            </w:r>
          </w:p>
        </w:tc>
        <w:tc>
          <w:tcPr>
            <w:tcW w:w="6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236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5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862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862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40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Net income</w:t>
            </w:r>
          </w:p>
        </w:tc>
        <w:tc>
          <w:tcPr>
            <w:tcW w:w="70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5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1,407</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1,407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40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Other comprehensive income—net of tax</w:t>
            </w:r>
          </w:p>
        </w:tc>
        <w:tc>
          <w:tcPr>
            <w:tcW w:w="70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5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228</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228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400" w:type="dxa"/>
            <w:vAlign w:val="bottom"/>
            <w:tcBorders>
              <w:top w:val="single" w:sz="8" w:color="CFF0FC"/>
              <w:bottom w:val="single" w:sz="8" w:color="CFF0FC"/>
            </w:tcBorders>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auto"/>
              </w:rPr>
              <w:t>BALANCE—September 30, 2018</w:t>
            </w:r>
          </w:p>
        </w:tc>
        <w:tc>
          <w:tcPr>
            <w:tcW w:w="60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62,730</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(278)</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(1,433</w:t>
            </w:r>
          </w:p>
        </w:tc>
        <w:tc>
          <w:tcPr>
            <w:tcW w:w="120" w:type="dxa"/>
            <w:vAlign w:val="bottom"/>
            <w:tcBorders>
              <w:top w:val="single" w:sz="8" w:color="CFF0FC"/>
              <w:bottom w:val="single" w:sz="8" w:color="CFF0FC"/>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w w:val="84"/>
              </w:rPr>
              <w:t>)</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292,902</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(67,271)</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231</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224,435</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4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400" w:type="dxa"/>
            <w:vAlign w:val="bottom"/>
          </w:tcPr>
          <w:p>
            <w:pPr>
              <w:spacing w:after="0"/>
              <w:rPr>
                <w:sz w:val="13"/>
                <w:szCs w:val="13"/>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Shares of</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Shares of</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400" w:type="dxa"/>
            <w:vAlign w:val="bottom"/>
          </w:tcPr>
          <w:p>
            <w:pPr>
              <w:spacing w:after="0"/>
              <w:rPr>
                <w:sz w:val="13"/>
                <w:szCs w:val="13"/>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60" w:type="dxa"/>
            <w:vAlign w:val="bottom"/>
          </w:tcPr>
          <w:p>
            <w:pPr>
              <w:spacing w:after="0"/>
              <w:rPr>
                <w:sz w:val="13"/>
                <w:szCs w:val="13"/>
                <w:color w:val="auto"/>
              </w:rPr>
            </w:pP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80" w:type="dxa"/>
            <w:vAlign w:val="bottom"/>
          </w:tcPr>
          <w:p>
            <w:pPr>
              <w:spacing w:after="0"/>
              <w:rPr>
                <w:sz w:val="13"/>
                <w:szCs w:val="13"/>
                <w:color w:val="auto"/>
              </w:rPr>
            </w:pPr>
          </w:p>
        </w:tc>
        <w:tc>
          <w:tcPr>
            <w:tcW w:w="700" w:type="dxa"/>
            <w:vAlign w:val="bottom"/>
            <w:gridSpan w:val="3"/>
          </w:tcPr>
          <w:p>
            <w:pPr>
              <w:jc w:val="center"/>
              <w:ind w:right="7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8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40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17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8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7"/>
        </w:trPr>
        <w:tc>
          <w:tcPr>
            <w:tcW w:w="44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40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BALANCE—July 1, 2019</w:t>
            </w:r>
          </w:p>
        </w:tc>
        <w:tc>
          <w:tcPr>
            <w:tcW w:w="6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63,769</w:t>
            </w:r>
          </w:p>
        </w:tc>
        <w:tc>
          <w:tcPr>
            <w:tcW w:w="10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FF0FC"/>
          </w:tcPr>
          <w:p>
            <w:pPr>
              <w:jc w:val="right"/>
              <w:ind w:right="5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299,320</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(47,016)</w:t>
            </w:r>
          </w:p>
        </w:tc>
        <w:tc>
          <w:tcPr>
            <w:tcW w:w="14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(832)</w:t>
            </w:r>
          </w:p>
        </w:tc>
        <w:tc>
          <w:tcPr>
            <w:tcW w:w="140" w:type="dxa"/>
            <w:vAlign w:val="bottom"/>
            <w:gridSpan w:val="2"/>
            <w:shd w:val="clear" w:color="auto" w:fill="CFF0FC"/>
          </w:tcPr>
          <w:p>
            <w:pPr>
              <w:jc w:val="right"/>
              <w:ind w:right="5"/>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251,478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40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Share-based compensation</w:t>
            </w:r>
          </w:p>
        </w:tc>
        <w:tc>
          <w:tcPr>
            <w:tcW w:w="6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5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2,190</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2,190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4400" w:type="dxa"/>
            <w:vAlign w:val="bottom"/>
          </w:tcPr>
          <w:p>
            <w:pPr>
              <w:ind w:left="240"/>
              <w:spacing w:after="0" w:line="136" w:lineRule="exact"/>
              <w:rPr>
                <w:sz w:val="20"/>
                <w:szCs w:val="20"/>
                <w:color w:val="auto"/>
              </w:rPr>
            </w:pPr>
            <w:r>
              <w:rPr>
                <w:rFonts w:ascii="Times New Roman" w:cs="Times New Roman" w:eastAsia="Times New Roman" w:hAnsi="Times New Roman"/>
                <w:sz w:val="14"/>
                <w:szCs w:val="14"/>
                <w:color w:val="auto"/>
              </w:rPr>
              <w:t>Vesting of restricted stock units, including impact of shares withheld</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Pr>
          <w:p>
            <w:pPr>
              <w:spacing w:after="0"/>
              <w:rPr>
                <w:sz w:val="11"/>
                <w:szCs w:val="11"/>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04"/>
        </w:trPr>
        <w:tc>
          <w:tcPr>
            <w:tcW w:w="44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for taxes</w:t>
            </w: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4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440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Exercise of options and purchases from employee stock plans</w:t>
            </w:r>
          </w:p>
        </w:tc>
        <w:tc>
          <w:tcPr>
            <w:tcW w:w="6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5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599</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599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40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Net income</w:t>
            </w:r>
          </w:p>
        </w:tc>
        <w:tc>
          <w:tcPr>
            <w:tcW w:w="70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5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7,952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7,952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40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Other comprehensive income—net of tax</w:t>
            </w:r>
          </w:p>
        </w:tc>
        <w:tc>
          <w:tcPr>
            <w:tcW w:w="70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5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(160)</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52"/>
        </w:trPr>
        <w:tc>
          <w:tcPr>
            <w:tcW w:w="440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BALANCE—September 30, 2019</w:t>
            </w:r>
          </w:p>
        </w:tc>
        <w:tc>
          <w:tcPr>
            <w:tcW w:w="60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63,916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301,874</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(39,064)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(992)</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261,824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BALANCE—July 1, 2018</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62,583</w:t>
            </w:r>
          </w:p>
        </w:tc>
        <w:tc>
          <w:tcPr>
            <w:tcW w:w="1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291,468</w:t>
            </w:r>
          </w:p>
        </w:tc>
        <w:tc>
          <w:tcPr>
            <w:tcW w:w="1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(78,973)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60" w:type="dxa"/>
            <w:vAlign w:val="bottom"/>
          </w:tcPr>
          <w:p>
            <w:pPr>
              <w:spacing w:after="0"/>
              <w:rPr>
                <w:sz w:val="24"/>
                <w:szCs w:val="24"/>
                <w:color w:val="auto"/>
              </w:rPr>
            </w:pPr>
          </w:p>
        </w:tc>
        <w:tc>
          <w:tcPr>
            <w:tcW w:w="14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211,514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4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40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Share-based compensation</w:t>
            </w:r>
          </w:p>
        </w:tc>
        <w:tc>
          <w:tcPr>
            <w:tcW w:w="6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5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1,030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1,030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4400" w:type="dxa"/>
            <w:vAlign w:val="bottom"/>
            <w:shd w:val="clear" w:color="auto" w:fill="CFF0FC"/>
          </w:tcPr>
          <w:p>
            <w:pPr>
              <w:ind w:left="240"/>
              <w:spacing w:after="0" w:line="136" w:lineRule="exact"/>
              <w:rPr>
                <w:sz w:val="20"/>
                <w:szCs w:val="20"/>
                <w:color w:val="auto"/>
              </w:rPr>
            </w:pPr>
            <w:r>
              <w:rPr>
                <w:rFonts w:ascii="Times New Roman" w:cs="Times New Roman" w:eastAsia="Times New Roman" w:hAnsi="Times New Roman"/>
                <w:sz w:val="14"/>
                <w:szCs w:val="14"/>
                <w:color w:val="auto"/>
              </w:rPr>
              <w:t>Vesting of restricted stock units, including impact of shares withheld</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gridSpan w:val="2"/>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FF0FC"/>
          </w:tcPr>
          <w:p>
            <w:pPr>
              <w:spacing w:after="0"/>
              <w:rPr>
                <w:sz w:val="11"/>
                <w:szCs w:val="11"/>
                <w:color w:val="auto"/>
              </w:rPr>
            </w:pPr>
          </w:p>
        </w:tc>
        <w:tc>
          <w:tcPr>
            <w:tcW w:w="9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04"/>
        </w:trPr>
        <w:tc>
          <w:tcPr>
            <w:tcW w:w="440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for taxes</w:t>
            </w:r>
          </w:p>
        </w:tc>
        <w:tc>
          <w:tcPr>
            <w:tcW w:w="60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gridSpan w:val="2"/>
            <w:vMerge w:val="continue"/>
            <w:shd w:val="clear" w:color="auto" w:fill="CFF0FC"/>
          </w:tcPr>
          <w:p>
            <w:pPr>
              <w:spacing w:after="0"/>
              <w:rPr>
                <w:sz w:val="9"/>
                <w:szCs w:val="9"/>
                <w:color w:val="auto"/>
              </w:rPr>
            </w:pPr>
          </w:p>
        </w:tc>
        <w:tc>
          <w:tcPr>
            <w:tcW w:w="78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gridSpan w:val="2"/>
            <w:vMerge w:val="continue"/>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2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100" w:type="dxa"/>
            <w:vAlign w:val="bottom"/>
            <w:gridSpan w:val="2"/>
            <w:vMerge w:val="continue"/>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400" w:type="dxa"/>
            <w:vAlign w:val="bottom"/>
            <w:vMerge w:val="continue"/>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48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4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8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440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Exercise of options and purchases from employee stock plans</w:t>
            </w:r>
          </w:p>
        </w:tc>
        <w:tc>
          <w:tcPr>
            <w:tcW w:w="6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5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419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40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Net income</w:t>
            </w:r>
          </w:p>
        </w:tc>
        <w:tc>
          <w:tcPr>
            <w:tcW w:w="70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5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11,702</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11,702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40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Other comprehensive income—net of tax</w:t>
            </w:r>
          </w:p>
        </w:tc>
        <w:tc>
          <w:tcPr>
            <w:tcW w:w="70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5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(215)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52"/>
        </w:trPr>
        <w:tc>
          <w:tcPr>
            <w:tcW w:w="4400" w:type="dxa"/>
            <w:vAlign w:val="bottom"/>
            <w:tcBorders>
              <w:top w:val="single" w:sz="8" w:color="CFF0FC"/>
              <w:bottom w:val="single" w:sz="8" w:color="CFF0FC"/>
            </w:tcBorders>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auto"/>
              </w:rPr>
              <w:t>BALANCE—September 30, 2018</w:t>
            </w:r>
          </w:p>
        </w:tc>
        <w:tc>
          <w:tcPr>
            <w:tcW w:w="60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62,730</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(278)</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(1,433</w:t>
            </w:r>
          </w:p>
        </w:tc>
        <w:tc>
          <w:tcPr>
            <w:tcW w:w="120" w:type="dxa"/>
            <w:vAlign w:val="bottom"/>
            <w:tcBorders>
              <w:top w:val="single" w:sz="8" w:color="CFF0FC"/>
              <w:bottom w:val="single" w:sz="8" w:color="CFF0FC"/>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w w:val="84"/>
              </w:rPr>
              <w:t>)</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292,902</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(67,271)</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231</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224,435</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69215</wp:posOffset>
            </wp:positionV>
            <wp:extent cx="729170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60" w:top="331" w:right="25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60" w:type="dxa"/>
            <w:vAlign w:val="bottom"/>
            <w:gridSpan w:val="3"/>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0"/>
        </w:trPr>
        <w:tc>
          <w:tcPr>
            <w:tcW w:w="7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2"/>
        </w:trPr>
        <w:tc>
          <w:tcPr>
            <w:tcW w:w="700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3"/>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20" w:type="dxa"/>
            <w:vAlign w:val="bottom"/>
            <w:gridSpan w:val="2"/>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33,366</w:t>
            </w:r>
          </w:p>
        </w:tc>
        <w:tc>
          <w:tcPr>
            <w:tcW w:w="280" w:type="dxa"/>
            <w:vAlign w:val="bottom"/>
          </w:tcPr>
          <w:p>
            <w:pPr>
              <w:spacing w:after="0"/>
              <w:rPr>
                <w:sz w:val="19"/>
                <w:szCs w:val="19"/>
                <w:color w:val="auto"/>
              </w:rPr>
            </w:pPr>
          </w:p>
        </w:tc>
        <w:tc>
          <w:tcPr>
            <w:tcW w:w="560" w:type="dxa"/>
            <w:vAlign w:val="bottom"/>
          </w:tcPr>
          <w:p>
            <w:pPr>
              <w:jc w:val="right"/>
              <w:ind w:right="39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(7,490)</w:t>
            </w: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(4,647)</w:t>
            </w:r>
          </w:p>
        </w:tc>
        <w:tc>
          <w:tcPr>
            <w:tcW w:w="20" w:type="dxa"/>
            <w:vAlign w:val="bottom"/>
          </w:tcPr>
          <w:p>
            <w:pPr>
              <w:spacing w:after="0"/>
              <w:rPr>
                <w:sz w:val="19"/>
                <w:szCs w:val="19"/>
                <w:color w:val="auto"/>
              </w:rPr>
            </w:pPr>
          </w:p>
        </w:tc>
      </w:tr>
      <w:tr>
        <w:trPr>
          <w:trHeight w:val="218"/>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860" w:type="dxa"/>
            <w:vAlign w:val="bottom"/>
          </w:tcPr>
          <w:p>
            <w:pPr>
              <w:spacing w:after="0"/>
              <w:rPr>
                <w:sz w:val="18"/>
                <w:szCs w:val="18"/>
                <w:color w:val="auto"/>
              </w:rPr>
            </w:pPr>
          </w:p>
        </w:tc>
        <w:tc>
          <w:tcPr>
            <w:tcW w:w="960" w:type="dxa"/>
            <w:vAlign w:val="bottom"/>
            <w:tcBorders>
              <w:top w:val="single" w:sz="8" w:color="auto"/>
            </w:tcBorders>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40,856</w:t>
            </w:r>
          </w:p>
        </w:tc>
        <w:tc>
          <w:tcPr>
            <w:tcW w:w="280" w:type="dxa"/>
            <w:vAlign w:val="bottom"/>
          </w:tcPr>
          <w:p>
            <w:pPr>
              <w:spacing w:after="0"/>
              <w:rPr>
                <w:sz w:val="18"/>
                <w:szCs w:val="18"/>
                <w:color w:val="auto"/>
              </w:rPr>
            </w:pPr>
          </w:p>
        </w:tc>
        <w:tc>
          <w:tcPr>
            <w:tcW w:w="560" w:type="dxa"/>
            <w:vAlign w:val="bottom"/>
            <w:tcBorders>
              <w:top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flows provided by operating activities:</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26,772</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7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14,382</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(716)</w:t>
            </w:r>
          </w:p>
        </w:tc>
        <w:tc>
          <w:tcPr>
            <w:tcW w:w="20" w:type="dxa"/>
            <w:vAlign w:val="bottom"/>
          </w:tcPr>
          <w:p>
            <w:pPr>
              <w:spacing w:after="0"/>
              <w:rPr>
                <w:sz w:val="19"/>
                <w:szCs w:val="19"/>
                <w:color w:val="auto"/>
              </w:rPr>
            </w:pPr>
          </w:p>
        </w:tc>
      </w:tr>
      <w:tr>
        <w:trPr>
          <w:trHeight w:val="225"/>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sale of assets</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7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non-cash restructuring items</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7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Unrealized foreign currency gain</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tcPr>
          <w:p>
            <w:pPr>
              <w:spacing w:after="0"/>
              <w:rPr>
                <w:sz w:val="19"/>
                <w:szCs w:val="19"/>
                <w:color w:val="auto"/>
              </w:rPr>
            </w:pPr>
          </w:p>
        </w:tc>
      </w:tr>
      <w:tr>
        <w:trPr>
          <w:trHeight w:val="225"/>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7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7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33,736</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(16,495)</w:t>
            </w:r>
          </w:p>
        </w:tc>
        <w:tc>
          <w:tcPr>
            <w:tcW w:w="20" w:type="dxa"/>
            <w:vAlign w:val="bottom"/>
          </w:tcPr>
          <w:p>
            <w:pPr>
              <w:spacing w:after="0"/>
              <w:rPr>
                <w:sz w:val="19"/>
                <w:szCs w:val="19"/>
                <w:color w:val="auto"/>
              </w:rPr>
            </w:pPr>
          </w:p>
        </w:tc>
      </w:tr>
      <w:tr>
        <w:trPr>
          <w:trHeight w:val="225"/>
        </w:trPr>
        <w:tc>
          <w:tcPr>
            <w:tcW w:w="70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(7,430)</w:t>
            </w: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45,875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7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(1,178)</w:t>
            </w: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Pr>
          <w:p>
            <w:pPr>
              <w:spacing w:after="0"/>
              <w:rPr>
                <w:sz w:val="19"/>
                <w:szCs w:val="19"/>
                <w:color w:val="auto"/>
              </w:rPr>
            </w:pPr>
          </w:p>
        </w:tc>
      </w:tr>
      <w:tr>
        <w:trPr>
          <w:trHeight w:val="225"/>
        </w:trPr>
        <w:tc>
          <w:tcPr>
            <w:tcW w:w="70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7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13,384</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70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51,594</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(607)</w:t>
            </w:r>
          </w:p>
        </w:tc>
        <w:tc>
          <w:tcPr>
            <w:tcW w:w="20" w:type="dxa"/>
            <w:vAlign w:val="bottom"/>
          </w:tcPr>
          <w:p>
            <w:pPr>
              <w:spacing w:after="0"/>
              <w:rPr>
                <w:sz w:val="19"/>
                <w:szCs w:val="19"/>
                <w:color w:val="auto"/>
              </w:rPr>
            </w:pPr>
          </w:p>
        </w:tc>
      </w:tr>
      <w:tr>
        <w:trPr>
          <w:trHeight w:val="225"/>
        </w:trPr>
        <w:tc>
          <w:tcPr>
            <w:tcW w:w="7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(4,148)</w:t>
            </w:r>
          </w:p>
        </w:tc>
        <w:tc>
          <w:tcPr>
            <w:tcW w:w="20" w:type="dxa"/>
            <w:vAlign w:val="bottom"/>
          </w:tcPr>
          <w:p>
            <w:pPr>
              <w:spacing w:after="0"/>
              <w:rPr>
                <w:sz w:val="19"/>
                <w:szCs w:val="19"/>
                <w:color w:val="auto"/>
              </w:rPr>
            </w:pPr>
          </w:p>
        </w:tc>
      </w:tr>
      <w:tr>
        <w:trPr>
          <w:trHeight w:val="218"/>
        </w:trPr>
        <w:tc>
          <w:tcPr>
            <w:tcW w:w="700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cash flows provided by operating activities from continuing operations</w:t>
            </w:r>
          </w:p>
        </w:tc>
        <w:tc>
          <w:tcPr>
            <w:tcW w:w="86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182,037</w:t>
            </w:r>
          </w:p>
        </w:tc>
        <w:tc>
          <w:tcPr>
            <w:tcW w:w="28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92,413</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flows used in operating activities of discontinued operations</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(8,757)</w:t>
            </w: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(3,479)</w:t>
            </w:r>
          </w:p>
        </w:tc>
        <w:tc>
          <w:tcPr>
            <w:tcW w:w="20" w:type="dxa"/>
            <w:vAlign w:val="bottom"/>
          </w:tcPr>
          <w:p>
            <w:pPr>
              <w:spacing w:after="0"/>
              <w:rPr>
                <w:sz w:val="19"/>
                <w:szCs w:val="19"/>
                <w:color w:val="auto"/>
              </w:rPr>
            </w:pPr>
          </w:p>
        </w:tc>
      </w:tr>
      <w:tr>
        <w:trPr>
          <w:trHeight w:val="218"/>
        </w:trPr>
        <w:tc>
          <w:tcPr>
            <w:tcW w:w="700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86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173,280</w:t>
            </w:r>
          </w:p>
        </w:tc>
        <w:tc>
          <w:tcPr>
            <w:tcW w:w="28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88,934</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449"/>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5"/>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(37,608)</w:t>
            </w: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(29,636)</w:t>
            </w:r>
          </w:p>
        </w:tc>
        <w:tc>
          <w:tcPr>
            <w:tcW w:w="20" w:type="dxa"/>
            <w:vAlign w:val="bottom"/>
          </w:tcPr>
          <w:p>
            <w:pPr>
              <w:spacing w:after="0"/>
              <w:rPr>
                <w:sz w:val="19"/>
                <w:szCs w:val="19"/>
                <w:color w:val="auto"/>
              </w:rPr>
            </w:pPr>
          </w:p>
        </w:tc>
      </w:tr>
      <w:tr>
        <w:trPr>
          <w:trHeight w:val="225"/>
        </w:trPr>
        <w:tc>
          <w:tcPr>
            <w:tcW w:w="7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Proceeds from dispositions of property and equipment</w:t>
            </w:r>
          </w:p>
        </w:tc>
        <w:tc>
          <w:tcPr>
            <w:tcW w:w="8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7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cash flows used in investing activities of continuing operations</w:t>
            </w:r>
          </w:p>
        </w:tc>
        <w:tc>
          <w:tcPr>
            <w:tcW w:w="8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(32,051)</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(17,577)</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70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Net cash flows provided by investing activities of discontinued operations</w:t>
            </w:r>
          </w:p>
        </w:tc>
        <w:tc>
          <w:tcPr>
            <w:tcW w:w="8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18,056</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7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8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(13,995)</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(17,426)</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422"/>
        </w:trPr>
        <w:tc>
          <w:tcPr>
            <w:tcW w:w="7000" w:type="dxa"/>
            <w:vAlign w:val="bottom"/>
          </w:tcPr>
          <w:p>
            <w:pPr>
              <w:ind w:left="5680"/>
              <w:spacing w:after="0"/>
              <w:rPr>
                <w:sz w:val="20"/>
                <w:szCs w:val="20"/>
                <w:color w:val="auto"/>
              </w:rPr>
            </w:pPr>
            <w:r>
              <w:rPr>
                <w:rFonts w:ascii="Times New Roman" w:cs="Times New Roman" w:eastAsia="Times New Roman" w:hAnsi="Times New Roman"/>
                <w:sz w:val="18"/>
                <w:szCs w:val="18"/>
                <w:color w:val="auto"/>
              </w:rPr>
              <w:t>7</w:t>
            </w: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3"/>
        </w:trPr>
        <w:tc>
          <w:tcPr>
            <w:tcW w:w="70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60" w:type="dxa"/>
            <w:vAlign w:val="bottom"/>
            <w:gridSpan w:val="3"/>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36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3"/>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650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financing fees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(2,388)</w:t>
            </w: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debt</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5"/>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 paid on settlement of vested share awards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(3,164)</w:t>
            </w: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25"/>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options and purchases from employee stock plans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Borrowings under revolving loans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revolving loans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(11,500)</w:t>
            </w: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(82,118)</w:t>
            </w:r>
          </w:p>
        </w:tc>
        <w:tc>
          <w:tcPr>
            <w:tcW w:w="0" w:type="dxa"/>
            <w:vAlign w:val="bottom"/>
          </w:tcPr>
          <w:p>
            <w:pPr>
              <w:spacing w:after="0"/>
              <w:rPr>
                <w:sz w:val="1"/>
                <w:szCs w:val="1"/>
                <w:color w:val="auto"/>
              </w:rPr>
            </w:pPr>
          </w:p>
        </w:tc>
      </w:tr>
      <w:tr>
        <w:trPr>
          <w:trHeight w:val="218"/>
        </w:trPr>
        <w:tc>
          <w:tcPr>
            <w:tcW w:w="650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cash flows used in financing activities of continuing operations</w:t>
            </w:r>
          </w:p>
        </w:tc>
        <w:tc>
          <w:tcPr>
            <w:tcW w:w="136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(12,697)</w:t>
            </w:r>
          </w:p>
        </w:tc>
        <w:tc>
          <w:tcPr>
            <w:tcW w:w="28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(64,628)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flows used in financing activities of discontinued operations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w:t>
            </w: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(1,131)</w:t>
            </w:r>
          </w:p>
        </w:tc>
        <w:tc>
          <w:tcPr>
            <w:tcW w:w="0" w:type="dxa"/>
            <w:vAlign w:val="bottom"/>
          </w:tcPr>
          <w:p>
            <w:pPr>
              <w:spacing w:after="0"/>
              <w:rPr>
                <w:sz w:val="1"/>
                <w:szCs w:val="1"/>
                <w:color w:val="auto"/>
              </w:rPr>
            </w:pPr>
          </w:p>
        </w:tc>
      </w:tr>
      <w:tr>
        <w:trPr>
          <w:trHeight w:val="218"/>
        </w:trPr>
        <w:tc>
          <w:tcPr>
            <w:tcW w:w="650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36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(12,888)</w:t>
            </w:r>
          </w:p>
        </w:tc>
        <w:tc>
          <w:tcPr>
            <w:tcW w:w="28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(65,759)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rates on cash and cash equivalents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36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146,397</w:t>
            </w:r>
          </w:p>
        </w:tc>
        <w:tc>
          <w:tcPr>
            <w:tcW w:w="28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3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34,458</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3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180,855</w:t>
            </w:r>
          </w:p>
        </w:tc>
        <w:tc>
          <w:tcPr>
            <w:tcW w:w="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9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6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360" w:type="dxa"/>
            <w:vAlign w:val="bottom"/>
            <w:tcBorders>
              <w:bottom w:val="single" w:sz="8" w:color="CFF0FC"/>
            </w:tcBorders>
          </w:tcPr>
          <w:p>
            <w:pPr>
              <w:spacing w:after="0"/>
              <w:rPr>
                <w:sz w:val="23"/>
                <w:szCs w:val="23"/>
                <w:color w:val="auto"/>
              </w:rPr>
            </w:pPr>
          </w:p>
        </w:tc>
        <w:tc>
          <w:tcPr>
            <w:tcW w:w="9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12,396</w:t>
            </w:r>
          </w:p>
        </w:tc>
        <w:tc>
          <w:tcPr>
            <w:tcW w:w="280" w:type="dxa"/>
            <w:vAlign w:val="bottom"/>
            <w:tcBorders>
              <w:bottom w:val="single" w:sz="8" w:color="CFF0FC"/>
            </w:tcBorders>
          </w:tcPr>
          <w:p>
            <w:pPr>
              <w:spacing w:after="0"/>
              <w:rPr>
                <w:sz w:val="23"/>
                <w:szCs w:val="23"/>
                <w:color w:val="auto"/>
              </w:rPr>
            </w:pPr>
          </w:p>
        </w:tc>
        <w:tc>
          <w:tcPr>
            <w:tcW w:w="5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17,402</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6500" w:type="dxa"/>
            <w:vAlign w:val="bottom"/>
            <w:tcBorders>
              <w:bottom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Cash paid for income taxes</w:t>
            </w:r>
          </w:p>
        </w:tc>
        <w:tc>
          <w:tcPr>
            <w:tcW w:w="136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775"/>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344</w:t>
            </w:r>
          </w:p>
        </w:tc>
        <w:tc>
          <w:tcPr>
            <w:tcW w:w="2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39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6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and equipment purchased but not yet paid</w:t>
            </w:r>
          </w:p>
        </w:tc>
        <w:tc>
          <w:tcPr>
            <w:tcW w:w="1360" w:type="dxa"/>
            <w:vAlign w:val="bottom"/>
            <w:tcBorders>
              <w:bottom w:val="single" w:sz="8" w:color="CFF0FC"/>
            </w:tcBorders>
          </w:tcPr>
          <w:p>
            <w:pPr>
              <w:spacing w:after="0"/>
              <w:rPr>
                <w:sz w:val="23"/>
                <w:szCs w:val="23"/>
                <w:color w:val="auto"/>
              </w:rPr>
            </w:pPr>
          </w:p>
        </w:tc>
        <w:tc>
          <w:tcPr>
            <w:tcW w:w="9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280" w:type="dxa"/>
            <w:vAlign w:val="bottom"/>
            <w:tcBorders>
              <w:bottom w:val="single" w:sz="8" w:color="CFF0FC"/>
            </w:tcBorders>
          </w:tcPr>
          <w:p>
            <w:pPr>
              <w:spacing w:after="0"/>
              <w:rPr>
                <w:sz w:val="23"/>
                <w:szCs w:val="23"/>
                <w:color w:val="auto"/>
              </w:rPr>
            </w:pPr>
          </w:p>
        </w:tc>
        <w:tc>
          <w:tcPr>
            <w:tcW w:w="5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6500" w:type="dxa"/>
            <w:vAlign w:val="bottom"/>
            <w:tcBorders>
              <w:bottom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Repayments of debt with proceeds from sale-leaseback transactions</w:t>
            </w:r>
          </w:p>
        </w:tc>
        <w:tc>
          <w:tcPr>
            <w:tcW w:w="136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775"/>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39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13,034</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15" w:right="2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 or as otherwise noted)</w:t>
      </w:r>
    </w:p>
    <w:p>
      <w:pPr>
        <w:spacing w:after="0" w:line="223" w:lineRule="exact"/>
        <w:rPr>
          <w:sz w:val="20"/>
          <w:szCs w:val="20"/>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1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2018.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September 30, 2019, and its results of operations for the three and nine months ended September 30, 2019 and 2018 and cash flows for the nine months ended September 30, 2019 and 2018 have been included.</w:t>
      </w:r>
    </w:p>
    <w:p>
      <w:pPr>
        <w:spacing w:after="0" w:line="177"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8"/>
          <w:szCs w:val="18"/>
          <w:color w:val="auto"/>
        </w:rPr>
        <w:t xml:space="preserve">The Company adopted Accounting Standard Update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and subsequently issued other Accounting Standard Updates related to the Accounting Standards Codification Topic 842 (collectively, “ASC 842”) on January 1, 2019. The Financial Accounting Standards Board (“FASB”) issued ASC 842 to increase the transparency and comparability among organizations by recognizing lease assets and lease liabilities on the balance sheet and disclosing key information about leasing arrangements. The Company adopted ASC 842 using the package of practical expedients that allowed entities to retain the classification of lease contracts existing as of the date of adoption. Additionally, the Company has elected to combine lease and non-lease components, such as common area maintenance costs, in calculating the operating lease assets and operating lease liabilities for all asset groups except for the Company’s dredges. Further, the Company adopted ASC 842 using the transition method under which entities initially applied ASC 842 at the adoption date and recognized a cumulative-effect adjustment to the opening balance of retained earnings in the period of adoption. Under this method, the comparative periods presented in the financial statements prior to the adoption date were not adjusted to apply ASC 842. Upon the adoption of ASC 842, the Company recorded a cumulative net adjustment of $2,802 to the beginning retained earnings balance.</w:t>
      </w:r>
    </w:p>
    <w:p>
      <w:pPr>
        <w:spacing w:after="0" w:line="18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components of costs of contract revenues include labor, equipment (including depreciation, maintenance, insurance and long-term rentals), subcontracts, fuel, supplies, short-term rentals and project overhead. Hourly labor is generally hired on a project-by-project basis. Costs of contract revenues vary significantly depending on the type and location of work performed and assets utilized.</w:t>
      </w:r>
    </w:p>
    <w:p>
      <w:pPr>
        <w:spacing w:after="0" w:line="181"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The Company has one operating segment which is also the Company’s reportable segment and reporting unit of which the Company tests goodwill for impairment. During the second quarter of 2019, the Company entered into an agreement and completed the sale of the historical environmental &amp; infrastructure business. The historical environmental &amp; infrastructure segment has been retrospectively presented as discontinued operations and is no longer reflected in continuing operations. The Company performed its most recent annual test of impairment as of July 1, 2019 with no indication of impairment as of the test date. The Company will perform its next scheduled annual test of goodwill in the third quarter of 2020.</w:t>
      </w:r>
    </w:p>
    <w:p>
      <w:pPr>
        <w:spacing w:after="0" w:line="186"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January 2017, the FASB issued Accounting Standard Update No. 2017-04 (“ASU 2017-04”), </w:t>
      </w:r>
      <w:r>
        <w:rPr>
          <w:rFonts w:ascii="Times New Roman" w:cs="Times New Roman" w:eastAsia="Times New Roman" w:hAnsi="Times New Roman"/>
          <w:sz w:val="18"/>
          <w:szCs w:val="18"/>
          <w:i w:val="1"/>
          <w:iCs w:val="1"/>
          <w:color w:val="auto"/>
        </w:rPr>
        <w:t>Intangibles—Goodwill and Other (Topic 350): Simplifying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Test for Goodwill Impairment</w:t>
      </w:r>
      <w:r>
        <w:rPr>
          <w:rFonts w:ascii="Times New Roman" w:cs="Times New Roman" w:eastAsia="Times New Roman" w:hAnsi="Times New Roman"/>
          <w:sz w:val="18"/>
          <w:szCs w:val="18"/>
          <w:color w:val="auto"/>
        </w:rPr>
        <w:t>. The amendment removes the requirement to compare the implied fair value of goodwill with its carrying amount as part of step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goodwill impairment test. The guidance is effective for fiscal years beginning after December 15, 2019. The Company does not anticipate that the adoption of ASU 2017-04 will have a material effect on the Company’s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331" w:right="259" w:bottom="1440" w:gutter="0" w:footer="0" w:header="0"/>
        </w:sectPr>
      </w:pPr>
    </w:p>
    <w:bookmarkStart w:id="9" w:name="page10"/>
    <w:bookmarkEnd w:id="9"/>
    <w:p>
      <w:pPr>
        <w:ind w:left="1040" w:hanging="519"/>
        <w:spacing w:after="0"/>
        <w:tabs>
          <w:tab w:leader="none" w:pos="10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1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computations for basic and diluted earnings (loss) per share are as follows:</w:t>
      </w:r>
    </w:p>
    <w:p>
      <w:pPr>
        <w:spacing w:after="0" w:line="28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0"/>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57"/>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4"/>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7"/>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34"/>
              <w:spacing w:after="0" w:line="152"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4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8,811</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40,856</w:t>
            </w:r>
          </w:p>
        </w:tc>
        <w:tc>
          <w:tcPr>
            <w:tcW w:w="1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(7,490)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11,702</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33,366</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48"/>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62,358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stock options and restricted stock units</w:t>
            </w:r>
          </w:p>
        </w:tc>
        <w:tc>
          <w:tcPr>
            <w:tcW w:w="9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2"/>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65,071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63,260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64,860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63,340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from continuing operations — basic</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from continuing operations — diluted</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40" w:type="dxa"/>
            <w:vAlign w:val="bottom"/>
          </w:tcPr>
          <w:p>
            <w:pPr>
              <w:spacing w:after="0"/>
              <w:rPr>
                <w:sz w:val="19"/>
                <w:szCs w:val="19"/>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For the three and nine months ended September 30, 2018 the following amounts of stock options (“NQSOs”) and restricted stock units (“RSUs”) were excluded from the calculation of diluted earnings per share based on the application of the treasury stock method, as such NQSOs and RSUs were determined to be anti-dilutive:</w:t>
      </w:r>
    </w:p>
    <w:p>
      <w:pPr>
        <w:spacing w:after="0" w:line="251"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0"/>
        </w:trPr>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4"/>
                <w:szCs w:val="14"/>
                <w:color w:val="auto"/>
              </w:rPr>
            </w:pPr>
          </w:p>
        </w:tc>
      </w:tr>
      <w:tr>
        <w:trPr>
          <w:trHeight w:val="191"/>
        </w:trPr>
        <w:tc>
          <w:tcPr>
            <w:tcW w:w="434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40" w:type="dxa"/>
            <w:vAlign w:val="bottom"/>
            <w:gridSpan w:val="2"/>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6"/>
                <w:szCs w:val="16"/>
                <w:color w:val="auto"/>
              </w:rPr>
            </w:pPr>
          </w:p>
        </w:tc>
      </w:tr>
      <w:tr>
        <w:trPr>
          <w:trHeight w:val="218"/>
        </w:trPr>
        <w:tc>
          <w:tcPr>
            <w:tcW w:w="4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stock options and restricted stock units</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20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60" w:type="dxa"/>
            <w:vAlign w:val="bottom"/>
            <w:tcBorders>
              <w:top w:val="single" w:sz="8" w:color="CFF0FC"/>
            </w:tcBorders>
            <w:shd w:val="clear" w:color="auto" w:fill="CFF0FC"/>
          </w:tcPr>
          <w:p>
            <w:pPr>
              <w:spacing w:after="0"/>
              <w:rPr>
                <w:sz w:val="18"/>
                <w:szCs w:val="18"/>
                <w:color w:val="auto"/>
              </w:rPr>
            </w:pPr>
          </w:p>
        </w:tc>
      </w:tr>
    </w:tbl>
    <w:p>
      <w:pPr>
        <w:spacing w:after="0" w:line="231" w:lineRule="exact"/>
        <w:rPr>
          <w:sz w:val="20"/>
          <w:szCs w:val="20"/>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2"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The Company leases certain operating equipment and office facilities. Leases with an initial term greater than twelve months are recorded on the Company’s balance sheet as an operating lease asset and operating lease liability and are measured at the present value of lease payments over the lease term. Substantially all of the Company’s leases are classified as operating leases. Leases with an initial term of twelve months or less with purchase options or extension options that are not reasonably certain to be exercised are not recorded on the balance sheet. The Company recognizes lease expense for these leases on a straight-line basis over the lease term.</w:t>
      </w:r>
    </w:p>
    <w:p>
      <w:pPr>
        <w:spacing w:after="0" w:line="18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exercise of lease renewal options is at the Company’s sole discretion and is considered in the measurement of operating lease assets and operating lease liabilities when it is reasonably certain the Company will exercise the option. Certain leases also include options to purchase the leased property. The depreciable life of assets and leasehold improvements are limited by the expected lease term, unless there is a transfer of title or purchase option reasonably certain of exercise.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cost</w:t>
      </w:r>
    </w:p>
    <w:p>
      <w:pPr>
        <w:spacing w:after="0" w:line="114"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8"/>
          <w:szCs w:val="18"/>
          <w:color w:val="auto"/>
        </w:rPr>
        <w:t>The Company’s lease costs are recorded in cost of contract revenues and general and administrative expenses. For the three and nine months ended September 30, 2019, lease costs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400" w:type="dxa"/>
            <w:vAlign w:val="bottom"/>
            <w:gridSpan w:val="2"/>
            <w:vMerge w:val="restart"/>
          </w:tcPr>
          <w:p>
            <w:pPr>
              <w:ind w:left="2680"/>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00" w:type="dxa"/>
            <w:vAlign w:val="bottom"/>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4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5,669</w:t>
            </w:r>
          </w:p>
        </w:tc>
        <w:tc>
          <w:tcPr>
            <w:tcW w:w="300" w:type="dxa"/>
            <w:vAlign w:val="bottom"/>
          </w:tcPr>
          <w:p>
            <w:pPr>
              <w:spacing w:after="0"/>
              <w:rPr>
                <w:sz w:val="18"/>
                <w:szCs w:val="18"/>
                <w:color w:val="auto"/>
              </w:rPr>
            </w:pPr>
          </w:p>
        </w:tc>
        <w:tc>
          <w:tcPr>
            <w:tcW w:w="2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18,244</w:t>
            </w:r>
          </w:p>
        </w:tc>
        <w:tc>
          <w:tcPr>
            <w:tcW w:w="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680" w:type="dxa"/>
            <w:vAlign w:val="bottom"/>
          </w:tcPr>
          <w:p>
            <w:pPr>
              <w:spacing w:after="0"/>
              <w:rPr>
                <w:sz w:val="19"/>
                <w:szCs w:val="19"/>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19,822</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52,108</w:t>
            </w:r>
          </w:p>
        </w:tc>
        <w:tc>
          <w:tcPr>
            <w:tcW w:w="80" w:type="dxa"/>
            <w:vAlign w:val="bottom"/>
            <w:shd w:val="clear" w:color="auto" w:fill="CFF0FC"/>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400" w:type="dxa"/>
            <w:vAlign w:val="bottom"/>
            <w:gridSpan w:val="2"/>
          </w:tcPr>
          <w:p>
            <w:pPr>
              <w:ind w:left="2680"/>
              <w:spacing w:after="0"/>
              <w:rPr>
                <w:sz w:val="20"/>
                <w:szCs w:val="20"/>
                <w:color w:val="auto"/>
              </w:rPr>
            </w:pPr>
            <w:r>
              <w:rPr>
                <w:rFonts w:ascii="Times New Roman" w:cs="Times New Roman" w:eastAsia="Times New Roman" w:hAnsi="Times New Roman"/>
                <w:sz w:val="18"/>
                <w:szCs w:val="18"/>
                <w:color w:val="auto"/>
              </w:rPr>
              <w:t>Total lease cost</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25,491</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70,352</w:t>
            </w:r>
          </w:p>
        </w:tc>
        <w:tc>
          <w:tcPr>
            <w:tcW w:w="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2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jc w:val="right"/>
              <w:ind w:right="658"/>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6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42" w:right="2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Lease terms and commitments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maturity analysis of its operating lease liabilities, recorded on the balance sheet, as of September 30, 2019 is as follows: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00" w:type="dxa"/>
            <w:vAlign w:val="bottom"/>
            <w:gridSpan w:val="3"/>
          </w:tcPr>
          <w:p>
            <w:pPr>
              <w:jc w:val="right"/>
              <w:ind w:right="2772"/>
              <w:spacing w:after="0"/>
              <w:rPr>
                <w:sz w:val="20"/>
                <w:szCs w:val="20"/>
                <w:color w:val="auto"/>
              </w:rPr>
            </w:pPr>
            <w:r>
              <w:rPr>
                <w:rFonts w:ascii="Times New Roman" w:cs="Times New Roman" w:eastAsia="Times New Roman" w:hAnsi="Times New Roman"/>
                <w:sz w:val="18"/>
                <w:szCs w:val="18"/>
                <w:color w:val="auto"/>
              </w:rPr>
              <w:t>2019</w:t>
            </w:r>
          </w:p>
        </w:tc>
        <w:tc>
          <w:tcPr>
            <w:tcW w:w="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20" w:type="dxa"/>
            <w:vAlign w:val="bottom"/>
          </w:tcPr>
          <w:p>
            <w:pPr>
              <w:spacing w:after="0"/>
              <w:rPr>
                <w:sz w:val="19"/>
                <w:szCs w:val="19"/>
                <w:color w:val="auto"/>
              </w:rPr>
            </w:pPr>
          </w:p>
        </w:tc>
        <w:tc>
          <w:tcPr>
            <w:tcW w:w="3280" w:type="dxa"/>
            <w:vAlign w:val="bottom"/>
            <w:gridSpan w:val="2"/>
            <w:shd w:val="clear" w:color="auto" w:fill="CFF0FC"/>
          </w:tcPr>
          <w:p>
            <w:pPr>
              <w:jc w:val="right"/>
              <w:ind w:right="2772"/>
              <w:spacing w:after="0"/>
              <w:rPr>
                <w:sz w:val="20"/>
                <w:szCs w:val="20"/>
                <w:color w:val="auto"/>
              </w:rPr>
            </w:pPr>
            <w:r>
              <w:rPr>
                <w:rFonts w:ascii="Times New Roman" w:cs="Times New Roman" w:eastAsia="Times New Roman" w:hAnsi="Times New Roman"/>
                <w:sz w:val="18"/>
                <w:szCs w:val="18"/>
                <w:color w:val="auto"/>
              </w:rPr>
              <w:t>2020</w:t>
            </w: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23,586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20" w:type="dxa"/>
            <w:vAlign w:val="bottom"/>
          </w:tcPr>
          <w:p>
            <w:pPr>
              <w:spacing w:after="0"/>
              <w:rPr>
                <w:sz w:val="19"/>
                <w:szCs w:val="19"/>
                <w:color w:val="auto"/>
              </w:rPr>
            </w:pPr>
          </w:p>
        </w:tc>
        <w:tc>
          <w:tcPr>
            <w:tcW w:w="3280" w:type="dxa"/>
            <w:vAlign w:val="bottom"/>
            <w:gridSpan w:val="2"/>
          </w:tcPr>
          <w:p>
            <w:pPr>
              <w:jc w:val="right"/>
              <w:ind w:right="2772"/>
              <w:spacing w:after="0"/>
              <w:rPr>
                <w:sz w:val="20"/>
                <w:szCs w:val="20"/>
                <w:color w:val="auto"/>
              </w:rPr>
            </w:pPr>
            <w:r>
              <w:rPr>
                <w:rFonts w:ascii="Times New Roman" w:cs="Times New Roman" w:eastAsia="Times New Roman" w:hAnsi="Times New Roman"/>
                <w:sz w:val="18"/>
                <w:szCs w:val="18"/>
                <w:color w:val="auto"/>
              </w:rPr>
              <w:t>2021</w:t>
            </w: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19,447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20" w:type="dxa"/>
            <w:vAlign w:val="bottom"/>
          </w:tcPr>
          <w:p>
            <w:pPr>
              <w:spacing w:after="0"/>
              <w:rPr>
                <w:sz w:val="19"/>
                <w:szCs w:val="19"/>
                <w:color w:val="auto"/>
              </w:rPr>
            </w:pPr>
          </w:p>
        </w:tc>
        <w:tc>
          <w:tcPr>
            <w:tcW w:w="3280" w:type="dxa"/>
            <w:vAlign w:val="bottom"/>
            <w:gridSpan w:val="2"/>
            <w:shd w:val="clear" w:color="auto" w:fill="CFF0FC"/>
          </w:tcPr>
          <w:p>
            <w:pPr>
              <w:jc w:val="right"/>
              <w:ind w:right="2772"/>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13,827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20" w:type="dxa"/>
            <w:vAlign w:val="bottom"/>
          </w:tcPr>
          <w:p>
            <w:pPr>
              <w:spacing w:after="0"/>
              <w:rPr>
                <w:sz w:val="19"/>
                <w:szCs w:val="19"/>
                <w:color w:val="auto"/>
              </w:rPr>
            </w:pPr>
          </w:p>
        </w:tc>
        <w:tc>
          <w:tcPr>
            <w:tcW w:w="3280" w:type="dxa"/>
            <w:vAlign w:val="bottom"/>
            <w:gridSpan w:val="2"/>
          </w:tcPr>
          <w:p>
            <w:pPr>
              <w:jc w:val="right"/>
              <w:ind w:right="2772"/>
              <w:spacing w:after="0"/>
              <w:rPr>
                <w:sz w:val="20"/>
                <w:szCs w:val="20"/>
                <w:color w:val="auto"/>
              </w:rPr>
            </w:pPr>
            <w:r>
              <w:rPr>
                <w:rFonts w:ascii="Times New Roman" w:cs="Times New Roman" w:eastAsia="Times New Roman" w:hAnsi="Times New Roman"/>
                <w:sz w:val="18"/>
                <w:szCs w:val="18"/>
                <w:color w:val="auto"/>
              </w:rPr>
              <w:t>2023</w:t>
            </w: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9,125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20" w:type="dxa"/>
            <w:vAlign w:val="bottom"/>
          </w:tcPr>
          <w:p>
            <w:pPr>
              <w:spacing w:after="0"/>
              <w:rPr>
                <w:sz w:val="19"/>
                <w:szCs w:val="19"/>
                <w:color w:val="auto"/>
              </w:rPr>
            </w:pPr>
          </w:p>
        </w:tc>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9,370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920" w:type="dxa"/>
            <w:vAlign w:val="bottom"/>
          </w:tcPr>
          <w:p>
            <w:pPr>
              <w:spacing w:after="0"/>
              <w:rPr>
                <w:sz w:val="18"/>
                <w:szCs w:val="18"/>
                <w:color w:val="auto"/>
              </w:rPr>
            </w:pPr>
          </w:p>
        </w:tc>
        <w:tc>
          <w:tcPr>
            <w:tcW w:w="3280" w:type="dxa"/>
            <w:vAlign w:val="bottom"/>
            <w:gridSpan w:val="2"/>
          </w:tcPr>
          <w:p>
            <w:pPr>
              <w:jc w:val="right"/>
              <w:ind w:right="1252"/>
              <w:spacing w:after="0"/>
              <w:rPr>
                <w:sz w:val="20"/>
                <w:szCs w:val="20"/>
                <w:color w:val="auto"/>
              </w:rPr>
            </w:pPr>
            <w:r>
              <w:rPr>
                <w:rFonts w:ascii="Times New Roman" w:cs="Times New Roman" w:eastAsia="Times New Roman" w:hAnsi="Times New Roman"/>
                <w:sz w:val="18"/>
                <w:szCs w:val="18"/>
                <w:color w:val="auto"/>
              </w:rPr>
              <w:t>Minimum lease payments</w:t>
            </w: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81,725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20" w:type="dxa"/>
            <w:vAlign w:val="bottom"/>
          </w:tcPr>
          <w:p>
            <w:pPr>
              <w:spacing w:after="0"/>
              <w:rPr>
                <w:sz w:val="19"/>
                <w:szCs w:val="19"/>
                <w:color w:val="auto"/>
              </w:rPr>
            </w:pPr>
          </w:p>
        </w:tc>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5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9,909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920" w:type="dxa"/>
            <w:vAlign w:val="bottom"/>
          </w:tcPr>
          <w:p>
            <w:pPr>
              <w:spacing w:after="0"/>
              <w:rPr>
                <w:sz w:val="17"/>
                <w:szCs w:val="17"/>
                <w:color w:val="auto"/>
              </w:rPr>
            </w:pPr>
          </w:p>
        </w:tc>
        <w:tc>
          <w:tcPr>
            <w:tcW w:w="328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Present value of minimum operating lease</w:t>
            </w: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2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w:t>
            </w:r>
          </w:p>
        </w:tc>
        <w:tc>
          <w:tcPr>
            <w:tcW w:w="5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71,816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jc w:val="right"/>
              <w:ind w:right="252"/>
              <w:spacing w:after="0"/>
              <w:rPr>
                <w:sz w:val="20"/>
                <w:szCs w:val="20"/>
                <w:color w:val="auto"/>
              </w:rPr>
            </w:pPr>
            <w:r>
              <w:rPr>
                <w:rFonts w:ascii="Times New Roman" w:cs="Times New Roman" w:eastAsia="Times New Roman" w:hAnsi="Times New Roman"/>
                <w:sz w:val="18"/>
                <w:szCs w:val="18"/>
                <w:color w:val="auto"/>
                <w:w w:val="97"/>
              </w:rPr>
              <w:t>Future minimum operating lease payments at December 31, 2018, were as follows:</w:t>
            </w: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620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220" w:type="dxa"/>
            <w:vAlign w:val="bottom"/>
            <w:gridSpan w:val="2"/>
            <w:vMerge w:val="restart"/>
          </w:tcPr>
          <w:p>
            <w:pPr>
              <w:spacing w:after="0"/>
              <w:rPr>
                <w:sz w:val="18"/>
                <w:szCs w:val="18"/>
                <w:color w:val="auto"/>
              </w:rPr>
            </w:pPr>
          </w:p>
        </w:tc>
        <w:tc>
          <w:tcPr>
            <w:tcW w:w="2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20" w:type="dxa"/>
            <w:vAlign w:val="bottom"/>
            <w:gridSpan w:val="2"/>
            <w:vMerge w:val="continue"/>
          </w:tcPr>
          <w:p>
            <w:pPr>
              <w:spacing w:after="0"/>
              <w:rPr>
                <w:sz w:val="19"/>
                <w:szCs w:val="19"/>
                <w:color w:val="auto"/>
              </w:rPr>
            </w:pPr>
          </w:p>
        </w:tc>
        <w:tc>
          <w:tcPr>
            <w:tcW w:w="2980" w:type="dxa"/>
            <w:vAlign w:val="bottom"/>
            <w:shd w:val="clear" w:color="auto" w:fill="CFF0FC"/>
          </w:tcPr>
          <w:p>
            <w:pPr>
              <w:jc w:val="right"/>
              <w:ind w:right="2452"/>
              <w:spacing w:after="0"/>
              <w:rPr>
                <w:sz w:val="20"/>
                <w:szCs w:val="20"/>
                <w:color w:val="auto"/>
              </w:rPr>
            </w:pPr>
            <w:r>
              <w:rPr>
                <w:rFonts w:ascii="Times New Roman" w:cs="Times New Roman" w:eastAsia="Times New Roman" w:hAnsi="Times New Roman"/>
                <w:sz w:val="18"/>
                <w:szCs w:val="18"/>
                <w:color w:val="auto"/>
              </w:rPr>
              <w:t>2019</w:t>
            </w:r>
          </w:p>
        </w:tc>
        <w:tc>
          <w:tcPr>
            <w:tcW w:w="5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26,554</w:t>
            </w:r>
          </w:p>
        </w:tc>
        <w:tc>
          <w:tcPr>
            <w:tcW w:w="80" w:type="dxa"/>
            <w:vAlign w:val="bottom"/>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20" w:type="dxa"/>
            <w:vAlign w:val="bottom"/>
            <w:gridSpan w:val="2"/>
          </w:tcPr>
          <w:p>
            <w:pPr>
              <w:spacing w:after="0"/>
              <w:rPr>
                <w:sz w:val="19"/>
                <w:szCs w:val="19"/>
                <w:color w:val="auto"/>
              </w:rPr>
            </w:pPr>
          </w:p>
        </w:tc>
        <w:tc>
          <w:tcPr>
            <w:tcW w:w="2980" w:type="dxa"/>
            <w:vAlign w:val="bottom"/>
          </w:tcPr>
          <w:p>
            <w:pPr>
              <w:jc w:val="right"/>
              <w:ind w:right="2452"/>
              <w:spacing w:after="0"/>
              <w:rPr>
                <w:sz w:val="20"/>
                <w:szCs w:val="20"/>
                <w:color w:val="auto"/>
              </w:rPr>
            </w:pPr>
            <w:r>
              <w:rPr>
                <w:rFonts w:ascii="Times New Roman" w:cs="Times New Roman" w:eastAsia="Times New Roman" w:hAnsi="Times New Roman"/>
                <w:sz w:val="18"/>
                <w:szCs w:val="18"/>
                <w:color w:val="auto"/>
              </w:rPr>
              <w:t>2020</w:t>
            </w: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20" w:type="dxa"/>
            <w:vAlign w:val="bottom"/>
            <w:gridSpan w:val="2"/>
          </w:tcPr>
          <w:p>
            <w:pPr>
              <w:spacing w:after="0"/>
              <w:rPr>
                <w:sz w:val="19"/>
                <w:szCs w:val="19"/>
                <w:color w:val="auto"/>
              </w:rPr>
            </w:pPr>
          </w:p>
        </w:tc>
        <w:tc>
          <w:tcPr>
            <w:tcW w:w="2980" w:type="dxa"/>
            <w:vAlign w:val="bottom"/>
            <w:shd w:val="clear" w:color="auto" w:fill="CFF0FC"/>
          </w:tcPr>
          <w:p>
            <w:pPr>
              <w:jc w:val="right"/>
              <w:ind w:right="2452"/>
              <w:spacing w:after="0"/>
              <w:rPr>
                <w:sz w:val="20"/>
                <w:szCs w:val="20"/>
                <w:color w:val="auto"/>
              </w:rPr>
            </w:pPr>
            <w:r>
              <w:rPr>
                <w:rFonts w:ascii="Times New Roman" w:cs="Times New Roman" w:eastAsia="Times New Roman" w:hAnsi="Times New Roman"/>
                <w:sz w:val="18"/>
                <w:szCs w:val="18"/>
                <w:color w:val="auto"/>
              </w:rPr>
              <w:t>2021</w:t>
            </w: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18,430</w:t>
            </w:r>
          </w:p>
        </w:tc>
        <w:tc>
          <w:tcPr>
            <w:tcW w:w="80" w:type="dxa"/>
            <w:vAlign w:val="bottom"/>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20" w:type="dxa"/>
            <w:vAlign w:val="bottom"/>
            <w:gridSpan w:val="2"/>
          </w:tcPr>
          <w:p>
            <w:pPr>
              <w:spacing w:after="0"/>
              <w:rPr>
                <w:sz w:val="19"/>
                <w:szCs w:val="19"/>
                <w:color w:val="auto"/>
              </w:rPr>
            </w:pPr>
          </w:p>
        </w:tc>
        <w:tc>
          <w:tcPr>
            <w:tcW w:w="2980" w:type="dxa"/>
            <w:vAlign w:val="bottom"/>
          </w:tcPr>
          <w:p>
            <w:pPr>
              <w:jc w:val="right"/>
              <w:ind w:right="2452"/>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20" w:type="dxa"/>
            <w:vAlign w:val="bottom"/>
            <w:gridSpan w:val="2"/>
          </w:tcPr>
          <w:p>
            <w:pPr>
              <w:spacing w:after="0"/>
              <w:rPr>
                <w:sz w:val="19"/>
                <w:szCs w:val="19"/>
                <w:color w:val="auto"/>
              </w:rPr>
            </w:pPr>
          </w:p>
        </w:tc>
        <w:tc>
          <w:tcPr>
            <w:tcW w:w="2980" w:type="dxa"/>
            <w:vAlign w:val="bottom"/>
            <w:shd w:val="clear" w:color="auto" w:fill="CFF0FC"/>
          </w:tcPr>
          <w:p>
            <w:pPr>
              <w:jc w:val="right"/>
              <w:ind w:right="2452"/>
              <w:spacing w:after="0"/>
              <w:rPr>
                <w:sz w:val="20"/>
                <w:szCs w:val="20"/>
                <w:color w:val="auto"/>
              </w:rPr>
            </w:pPr>
            <w:r>
              <w:rPr>
                <w:rFonts w:ascii="Times New Roman" w:cs="Times New Roman" w:eastAsia="Times New Roman" w:hAnsi="Times New Roman"/>
                <w:sz w:val="18"/>
                <w:szCs w:val="18"/>
                <w:color w:val="auto"/>
              </w:rPr>
              <w:t>2023</w:t>
            </w: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9,041</w:t>
            </w:r>
          </w:p>
        </w:tc>
        <w:tc>
          <w:tcPr>
            <w:tcW w:w="80" w:type="dxa"/>
            <w:vAlign w:val="bottom"/>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80" w:type="dxa"/>
            <w:vAlign w:val="bottom"/>
            <w:tcBorders>
              <w:bottom w:val="single" w:sz="8" w:color="CFF0FC"/>
            </w:tcBorders>
          </w:tcPr>
          <w:p>
            <w:pPr>
              <w:jc w:val="right"/>
              <w:ind w:right="2152"/>
              <w:spacing w:after="0"/>
              <w:rPr>
                <w:sz w:val="20"/>
                <w:szCs w:val="20"/>
                <w:color w:val="auto"/>
              </w:rPr>
            </w:pPr>
            <w:r>
              <w:rPr>
                <w:rFonts w:ascii="Times New Roman" w:cs="Times New Roman" w:eastAsia="Times New Roman" w:hAnsi="Times New Roman"/>
                <w:sz w:val="18"/>
                <w:szCs w:val="18"/>
                <w:color w:val="auto"/>
                <w:w w:val="95"/>
              </w:rPr>
              <w:t>Thereafter</w:t>
            </w:r>
          </w:p>
        </w:tc>
        <w:tc>
          <w:tcPr>
            <w:tcW w:w="58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80" w:type="dxa"/>
            <w:vAlign w:val="bottom"/>
            <w:tcBorders>
              <w:bottom w:val="single" w:sz="8" w:color="CFF0FC"/>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60" w:type="dxa"/>
            <w:vAlign w:val="bottom"/>
            <w:tcBorders>
              <w:bottom w:val="single" w:sz="8" w:color="CFF0FC"/>
            </w:tcBorders>
            <w:gridSpan w:val="2"/>
            <w:shd w:val="clear" w:color="auto" w:fill="CFF0FC"/>
          </w:tcPr>
          <w:p>
            <w:pPr>
              <w:jc w:val="right"/>
              <w:ind w:right="432"/>
              <w:spacing w:after="0"/>
              <w:rPr>
                <w:sz w:val="20"/>
                <w:szCs w:val="20"/>
                <w:color w:val="auto"/>
              </w:rPr>
            </w:pPr>
            <w:r>
              <w:rPr>
                <w:rFonts w:ascii="Times New Roman" w:cs="Times New Roman" w:eastAsia="Times New Roman" w:hAnsi="Times New Roman"/>
                <w:sz w:val="18"/>
                <w:szCs w:val="18"/>
                <w:color w:val="auto"/>
              </w:rPr>
              <w:t>Total minimum operating lease payments</w:t>
            </w:r>
          </w:p>
        </w:tc>
        <w:tc>
          <w:tcPr>
            <w:tcW w:w="4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98,623</w:t>
            </w: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right="620"/>
        <w:spacing w:after="0" w:line="251" w:lineRule="auto"/>
        <w:rPr>
          <w:sz w:val="20"/>
          <w:szCs w:val="20"/>
          <w:color w:val="auto"/>
        </w:rPr>
      </w:pPr>
      <w:r>
        <w:rPr>
          <w:rFonts w:ascii="Times New Roman" w:cs="Times New Roman" w:eastAsia="Times New Roman" w:hAnsi="Times New Roman"/>
          <w:sz w:val="18"/>
          <w:szCs w:val="18"/>
          <w:color w:val="auto"/>
        </w:rPr>
        <w:t>As most of the Company’s leases do not provide an implicit rate, the Company used our incremental borrowing rate based on the information available at commencement date in determining the present value of lease payments. At the date of adoption, the Company used the incremental borrowing rate as of December 31, 2018, for operating leases that commenced prior to that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related to the Company’s leases as of September 30, 2019 is as follows:</w:t>
      </w:r>
    </w:p>
    <w:p>
      <w:pPr>
        <w:spacing w:after="0" w:line="271" w:lineRule="exact"/>
        <w:rPr>
          <w:sz w:val="20"/>
          <w:szCs w:val="20"/>
          <w:color w:val="auto"/>
        </w:rPr>
      </w:pPr>
    </w:p>
    <w:tbl>
      <w:tblPr>
        <w:tblLayout w:type="fixed"/>
        <w:tblInd w:w="306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22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18"/>
        </w:trPr>
        <w:tc>
          <w:tcPr>
            <w:tcW w:w="3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 years</w:t>
            </w:r>
          </w:p>
        </w:tc>
        <w:tc>
          <w:tcPr>
            <w:tcW w:w="160" w:type="dxa"/>
            <w:vAlign w:val="bottom"/>
            <w:tcBorders>
              <w:top w:val="single" w:sz="8" w:color="CFF0FC"/>
            </w:tcBorders>
            <w:shd w:val="clear" w:color="auto" w:fill="CFF0FC"/>
          </w:tcPr>
          <w:p>
            <w:pPr>
              <w:spacing w:after="0"/>
              <w:rPr>
                <w:sz w:val="18"/>
                <w:szCs w:val="18"/>
                <w:color w:val="auto"/>
              </w:rPr>
            </w:pPr>
          </w:p>
        </w:tc>
      </w:tr>
      <w:tr>
        <w:trPr>
          <w:trHeight w:val="22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related to leases during the three and nine months ended September 30, 2019 is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180" w:type="dxa"/>
            <w:vAlign w:val="bottom"/>
          </w:tcPr>
          <w:p>
            <w:pPr>
              <w:spacing w:after="0"/>
              <w:rPr>
                <w:sz w:val="13"/>
                <w:szCs w:val="13"/>
                <w:color w:val="auto"/>
              </w:rPr>
            </w:pPr>
          </w:p>
        </w:tc>
      </w:tr>
      <w:tr>
        <w:trPr>
          <w:trHeight w:val="170"/>
        </w:trPr>
        <w:tc>
          <w:tcPr>
            <w:tcW w:w="21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180" w:type="dxa"/>
            <w:vAlign w:val="bottom"/>
          </w:tcPr>
          <w:p>
            <w:pPr>
              <w:spacing w:after="0"/>
              <w:rPr>
                <w:sz w:val="14"/>
                <w:szCs w:val="14"/>
                <w:color w:val="auto"/>
              </w:rPr>
            </w:pPr>
          </w:p>
        </w:tc>
      </w:tr>
      <w:tr>
        <w:trPr>
          <w:trHeight w:val="218"/>
        </w:trPr>
        <w:tc>
          <w:tcPr>
            <w:tcW w:w="2180" w:type="dxa"/>
            <w:vAlign w:val="bottom"/>
          </w:tcPr>
          <w:p>
            <w:pPr>
              <w:spacing w:after="0"/>
              <w:rPr>
                <w:sz w:val="18"/>
                <w:szCs w:val="18"/>
                <w:color w:val="auto"/>
              </w:rPr>
            </w:pPr>
          </w:p>
        </w:tc>
        <w:tc>
          <w:tcPr>
            <w:tcW w:w="3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760" w:type="dxa"/>
            <w:vAlign w:val="bottom"/>
            <w:tcBorders>
              <w:top w:val="single" w:sz="8" w:color="auto"/>
            </w:tcBorders>
            <w:shd w:val="clear" w:color="auto" w:fill="CFF0FC"/>
          </w:tcPr>
          <w:p>
            <w:pPr>
              <w:jc w:val="right"/>
              <w:ind w:right="15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7"/>
              </w:rPr>
              <w:t>(6,762)</w:t>
            </w:r>
          </w:p>
        </w:tc>
        <w:tc>
          <w:tcPr>
            <w:tcW w:w="24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(20,300)</w:t>
            </w:r>
          </w:p>
        </w:tc>
        <w:tc>
          <w:tcPr>
            <w:tcW w:w="80" w:type="dxa"/>
            <w:vAlign w:val="bottom"/>
            <w:tcBorders>
              <w:top w:val="single" w:sz="8" w:color="CFF0FC"/>
            </w:tcBorders>
            <w:shd w:val="clear" w:color="auto" w:fill="CFF0FC"/>
          </w:tcPr>
          <w:p>
            <w:pPr>
              <w:spacing w:after="0"/>
              <w:rPr>
                <w:sz w:val="18"/>
                <w:szCs w:val="18"/>
                <w:color w:val="auto"/>
              </w:rPr>
            </w:pPr>
          </w:p>
        </w:tc>
        <w:tc>
          <w:tcPr>
            <w:tcW w:w="2180" w:type="dxa"/>
            <w:vAlign w:val="bottom"/>
          </w:tcPr>
          <w:p>
            <w:pPr>
              <w:spacing w:after="0"/>
              <w:rPr>
                <w:sz w:val="18"/>
                <w:szCs w:val="18"/>
                <w:color w:val="auto"/>
              </w:rPr>
            </w:pPr>
          </w:p>
        </w:tc>
      </w:tr>
      <w:tr>
        <w:trPr>
          <w:trHeight w:val="206"/>
        </w:trPr>
        <w:tc>
          <w:tcPr>
            <w:tcW w:w="218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arising from</w:t>
            </w:r>
          </w:p>
        </w:tc>
        <w:tc>
          <w:tcPr>
            <w:tcW w:w="1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29"/>
        </w:trPr>
        <w:tc>
          <w:tcPr>
            <w:tcW w:w="218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obtaining new operating lease assets</w:t>
            </w:r>
          </w:p>
        </w:tc>
        <w:tc>
          <w:tcPr>
            <w:tcW w:w="1760" w:type="dxa"/>
            <w:vAlign w:val="bottom"/>
          </w:tcPr>
          <w:p>
            <w:pPr>
              <w:jc w:val="right"/>
              <w:ind w:right="15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8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634"/>
        </w:trPr>
        <w:tc>
          <w:tcPr>
            <w:tcW w:w="21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760" w:type="dxa"/>
            <w:vAlign w:val="bottom"/>
          </w:tcPr>
          <w:p>
            <w:pPr>
              <w:jc w:val="right"/>
              <w:ind w:right="1319"/>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13"/>
        </w:trPr>
        <w:tc>
          <w:tcPr>
            <w:tcW w:w="2180" w:type="dxa"/>
            <w:vAlign w:val="bottom"/>
            <w:tcBorders>
              <w:bottom w:val="single" w:sz="8" w:color="9A9A9A"/>
            </w:tcBorders>
          </w:tcPr>
          <w:p>
            <w:pPr>
              <w:spacing w:after="0"/>
              <w:rPr>
                <w:sz w:val="9"/>
                <w:szCs w:val="9"/>
                <w:color w:val="auto"/>
              </w:rPr>
            </w:pPr>
          </w:p>
        </w:tc>
        <w:tc>
          <w:tcPr>
            <w:tcW w:w="326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11" w:name="page12"/>
    <w:bookmarkEnd w:id="11"/>
    <w:p>
      <w:pPr>
        <w:ind w:left="1040" w:hanging="519"/>
        <w:spacing w:after="0"/>
        <w:tabs>
          <w:tab w:leader="none" w:pos="10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at September 30, 2019 and December 31, 2018 were as follows: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36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Payroll and employee benefits</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w:t>
            </w: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Contract reserves</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and other taxes</w:t>
            </w: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Fuel hedge contracts</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15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49,891</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2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On May 3, 2019, the Company, Great Lakes Dredge &amp; Dock Company, LLC, NASDI Holdings, LLC, Great Lakes Dredge &amp; Dock Environmental, Inc., Great Lakes Environmental &amp; Infrastructure Solutions, LLC, Great Lakes U.S. Fleet Management, LLC, and Drews Services LLC (collectively, the “Credit Parties”) entered into an amended and restated revolving credit and security agreement (as amended, supplemented or otherwise modified from time to time, the “Amended Credit Agreement”) with certain financial institutions from time to time party thereto as lenders, PNC Bank, National Association, as Agent (the “Agent”), PNC Capital Markets, CIBC Bank USA, Suntrust Robinson Humphrey, Inc. and Bank of America, N.A., as Joint Lead Arrangers and Joint Bookrunners, and HSBC USA, N.A., as Documentation Agent. The Amended Credit Agreement amends and restates the prior Revolving Credit and Security Agreement dated as of December 30, 2016 (as amended, the “Prior Credit Agreement”) by and among the financial institutions from time to time party thereto as lenders, the Agent and the Credit Parties party thereto, such that the terms and conditions of the Prior Credit Agreement have been subsumed and replaced in their entirety by the terms and conditions of the Amended Credit Agreement, including the amount available under the revolving credit facility. The terms of the Amended Credit Agreement are summarized below.</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Credit Agreement provides for a senior secured revolving credit facility in an aggregate principal amount of up to $200,000 of which the full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is available for the issuance of standby letters of credit. The maximum borrowing capacity under the Amended Credit Agreement is determined by 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formula and may fluctuate depending on the value of the collateral included in such formula at the time of determination. The Amended Credit Agreement also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an increase option that will allow the Company to increase the senior secured revolving credit facility by an aggregate principal amount of up 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$100,000. This increase is subject to lenders providing incremental commitments for such increase, the Credit Parties having adequate borrowing capacity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no default or event of default exists both before and after giving effect to such incremental commitment increase.</w:t>
      </w:r>
    </w:p>
    <w:p>
      <w:pPr>
        <w:spacing w:after="0" w:line="19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Amended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less than 1.10 to 1.00. The Amended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Amended Credit Agreement will be unconditionally guaranteed, on a joint and several basis, by each existing and subsequently acquired or formed material direct and indirect domestic subsidiary of the Company. Borrowings under the Amended Credit Agreement will be used to pay fees and expenses related to the Amended Credit Agreement, finance acquisitions permitted under the Amended Credit Agreement, finance ongoing working capital and for other general corporate purposes. The Amended Credit Agreement matures on May 3, 2024; provided that the maturity date shall be accelerated to the date that is ninety-one days prior to the scheduled maturity date of the Company’s unsecured senior notes if the Company fails to refinance its unsecured senior notes prior to their scheduled maturity date. The refinanced notes must have a maturity on or after the date that is 180 days after the maturity date of the Amended Credit Agreement.</w:t>
      </w:r>
    </w:p>
    <w:p>
      <w:pPr>
        <w:spacing w:after="0" w:line="19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8"/>
          <w:szCs w:val="18"/>
          <w:color w:val="auto"/>
        </w:rPr>
        <w:t>The obligations under the Amended Credit Agreement are secured by substantially all of the assets of the Credit Parties. The outstanding obligations thereunder shall be secured by a valid first priority perfected lien on substantially all of the U.S. flagged and</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370" w:right="259" w:bottom="1440" w:gutter="0" w:footer="0" w:header="0"/>
        </w:sectPr>
      </w:pPr>
    </w:p>
    <w:bookmarkStart w:id="12" w:name="page13"/>
    <w:bookmarkEnd w:id="12"/>
    <w:p>
      <w:pPr>
        <w:ind w:right="200"/>
        <w:spacing w:after="0" w:line="270" w:lineRule="auto"/>
        <w:rPr>
          <w:sz w:val="20"/>
          <w:szCs w:val="20"/>
          <w:color w:val="auto"/>
        </w:rPr>
      </w:pPr>
      <w:r>
        <w:rPr>
          <w:rFonts w:ascii="Times New Roman" w:cs="Times New Roman" w:eastAsia="Times New Roman" w:hAnsi="Times New Roman"/>
          <w:sz w:val="18"/>
          <w:szCs w:val="18"/>
          <w:color w:val="auto"/>
        </w:rPr>
        <w:t>located vessels of the Credit Parties and a valid perfected lien on all domestic accounts receivable and substantially all other assets of the Credit Parties, subject to the permitted liens and interests of other parties (including the Company’s surety bonding providers).</w:t>
      </w:r>
    </w:p>
    <w:p>
      <w:pPr>
        <w:spacing w:after="0" w:line="169"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18"/>
          <w:szCs w:val="18"/>
          <w:color w:val="auto"/>
        </w:rPr>
        <w:t>Interest on the senior secured revolving credit facility of the Amended Credit Agreement is equal to either a Domestic Rate option or LIBOR option, at the Company’s election. As of the Closing Date, (a) the Domestic Rate option is the highest of (1) the base commercial lending rate of PNC Bank, National Association, as publicly announced, (2) the sum of the federal funds open rate plus 0.5% and (3) the sum of the daily LIBOR rate plus 1.0%, so long as a daily LIBOR rate is offered, ascertainable and not unlawful plus an interest margin of 0.5%; and (b) the LIBOR Rate option is the rate that applies for the applicable interest period on the Bloomberg page BBAMI (or such other substitute page or alternate source as agreed) plus an interest margin of 1.5%. After the date on which a borrowing base certificate is required to be delivered under Section 9.2 of the Amended Credit Agreement (commencing with the fiscal quarter ending September 30, 2019, the “Adjustment Date”), the Domestic Rate option will be the Domestic Rate plus an interest margin ranging between 0.5% and 1.0% and the LIBOR Rate option will be the LIBOR Rate plus an interest margin ranging between 1.5% and 2.0%, in each case, depending on the quarterly average undrawn availability on the Amended Credit Agreement.</w:t>
      </w:r>
    </w:p>
    <w:p>
      <w:pPr>
        <w:spacing w:after="0" w:line="216" w:lineRule="exact"/>
        <w:rPr>
          <w:sz w:val="20"/>
          <w:szCs w:val="20"/>
          <w:color w:val="auto"/>
        </w:rPr>
      </w:pPr>
    </w:p>
    <w:p>
      <w:pPr>
        <w:jc w:val="both"/>
        <w:ind w:right="520"/>
        <w:spacing w:after="0" w:line="257" w:lineRule="auto"/>
        <w:rPr>
          <w:sz w:val="20"/>
          <w:szCs w:val="20"/>
          <w:color w:val="auto"/>
        </w:rPr>
      </w:pPr>
      <w:r>
        <w:rPr>
          <w:rFonts w:ascii="Times New Roman" w:cs="Times New Roman" w:eastAsia="Times New Roman" w:hAnsi="Times New Roman"/>
          <w:sz w:val="18"/>
          <w:szCs w:val="18"/>
          <w:color w:val="auto"/>
        </w:rPr>
        <w:t>As of September 30, 2019, the Company had no borrowings on the revolver, $36,730 of letters of credit outstanding and $162,778 of availability under the Amended Credit Agreement. The availability under the Amended Credit Agreement is suppressed by $492 as of September 30, 2019 as a result of certain limitations set forth in the Amended Credit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and subsidiary guarantors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2017, the Company issued $325,000 of 8.000% senior notes (“8% Senior Notes”) due May 15, 2022. The interest is paid semi-annually.</w:t>
      </w:r>
    </w:p>
    <w:p>
      <w:pPr>
        <w:spacing w:after="0" w:line="216"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8"/>
          <w:szCs w:val="18"/>
          <w:color w:val="auto"/>
        </w:rPr>
        <w:t>The Company’s obligations under these Senior Notes are guaranteed by certain of the Company’s 100% owned domestic subsidiaries. Such guarantees are full, unconditional and joint and several. The parent company issuer has no independent assets or operations and all non-guarantor subsidiaries have been determined to be minor.</w:t>
      </w:r>
    </w:p>
    <w:p>
      <w:pPr>
        <w:spacing w:after="0" w:line="218" w:lineRule="exact"/>
        <w:rPr>
          <w:sz w:val="20"/>
          <w:szCs w:val="20"/>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2"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16"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8"/>
          <w:szCs w:val="18"/>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21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foreign currency risk or commodity price risk. The Company does not hold or issue derivatives for speculative or trading purposes. The fair values of these financial instruments are summarized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26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5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66"/>
              <w:spacing w:after="0" w:line="127"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vMerge w:val="restart"/>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1"/>
                <w:szCs w:val="11"/>
                <w:color w:val="auto"/>
              </w:rPr>
            </w:pPr>
          </w:p>
        </w:tc>
        <w:tc>
          <w:tcPr>
            <w:tcW w:w="1020" w:type="dxa"/>
            <w:vAlign w:val="bottom"/>
            <w:vMerge w:val="restart"/>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0" w:type="dxa"/>
            <w:vAlign w:val="bottom"/>
            <w:vMerge w:val="restart"/>
          </w:tcPr>
          <w:p>
            <w:pPr>
              <w:spacing w:after="0"/>
              <w:rPr>
                <w:sz w:val="12"/>
                <w:szCs w:val="12"/>
                <w:color w:val="auto"/>
              </w:rPr>
            </w:pPr>
          </w:p>
        </w:tc>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vMerge w:val="restart"/>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w w:val="98"/>
              </w:rPr>
              <w:t>At September 30, 2019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46"/>
              <w:spacing w:after="0" w:line="145"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20" w:type="dxa"/>
            <w:vAlign w:val="bottom"/>
          </w:tcPr>
          <w:p>
            <w:pPr>
              <w:spacing w:after="0"/>
              <w:rPr>
                <w:sz w:val="12"/>
                <w:szCs w:val="12"/>
                <w:color w:val="auto"/>
              </w:rPr>
            </w:pPr>
          </w:p>
        </w:tc>
        <w:tc>
          <w:tcPr>
            <w:tcW w:w="124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500" w:type="dxa"/>
            <w:vAlign w:val="bottom"/>
            <w:gridSpan w:val="3"/>
          </w:tcPr>
          <w:p>
            <w:pPr>
              <w:jc w:val="center"/>
              <w:ind w:left="121"/>
              <w:spacing w:after="0" w:line="145"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80" w:type="dxa"/>
            <w:vAlign w:val="bottom"/>
            <w:vMerge w:val="continue"/>
          </w:tcPr>
          <w:p>
            <w:pPr>
              <w:spacing w:after="0"/>
              <w:rPr>
                <w:sz w:val="14"/>
                <w:szCs w:val="14"/>
                <w:color w:val="auto"/>
              </w:rPr>
            </w:pPr>
          </w:p>
        </w:tc>
        <w:tc>
          <w:tcPr>
            <w:tcW w:w="40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102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26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46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Fuel hedge contracts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24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jc w:val="right"/>
              <w:ind w:right="438"/>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8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13" w:name="page14"/>
    <w:bookmarkEnd w:id="13"/>
    <w:tbl>
      <w:tblPr>
        <w:tblLayout w:type="fixed"/>
        <w:tblInd w:w="580" w:type="dxa"/>
        <w:tblCellMar>
          <w:top w:w="0" w:type="dxa"/>
          <w:left w:w="0" w:type="dxa"/>
          <w:bottom w:w="0" w:type="dxa"/>
          <w:right w:w="0" w:type="dxa"/>
        </w:tblCellMar>
      </w:tblPr>
      <w:tr>
        <w:trPr>
          <w:trHeight w:val="170"/>
        </w:trPr>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6"/>
          </w:tcPr>
          <w:p>
            <w:pPr>
              <w:jc w:val="right"/>
              <w:ind w:right="247"/>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66"/>
              <w:spacing w:after="0" w:line="127"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20" w:type="dxa"/>
            <w:vAlign w:val="bottom"/>
            <w:vMerge w:val="restart"/>
          </w:tcPr>
          <w:p>
            <w:pPr>
              <w:jc w:val="center"/>
              <w:ind w:left="16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At December 31, 2018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46"/>
              <w:spacing w:after="0" w:line="145"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20" w:type="dxa"/>
            <w:vAlign w:val="bottom"/>
          </w:tcPr>
          <w:p>
            <w:pPr>
              <w:spacing w:after="0"/>
              <w:rPr>
                <w:sz w:val="12"/>
                <w:szCs w:val="12"/>
                <w:color w:val="auto"/>
              </w:rPr>
            </w:pPr>
          </w:p>
        </w:tc>
        <w:tc>
          <w:tcPr>
            <w:tcW w:w="1460" w:type="dxa"/>
            <w:vAlign w:val="bottom"/>
            <w:gridSpan w:val="3"/>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2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0"/>
        </w:trPr>
        <w:tc>
          <w:tcPr>
            <w:tcW w:w="40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1020" w:type="dxa"/>
            <w:vAlign w:val="bottom"/>
            <w:tcBorders>
              <w:bottom w:val="single" w:sz="8" w:color="auto"/>
            </w:tcBorders>
          </w:tcPr>
          <w:p>
            <w:pPr>
              <w:jc w:val="center"/>
              <w:ind w:left="187"/>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Fuel hedge contracts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220" w:type="dxa"/>
            <w:vAlign w:val="bottom"/>
          </w:tcPr>
          <w:p>
            <w:pPr>
              <w:spacing w:after="0"/>
              <w:rPr>
                <w:sz w:val="24"/>
                <w:szCs w:val="24"/>
                <w:color w:val="auto"/>
              </w:rPr>
            </w:pPr>
          </w:p>
        </w:tc>
        <w:tc>
          <w:tcPr>
            <w:tcW w:w="1020" w:type="dxa"/>
            <w:vAlign w:val="bottom"/>
          </w:tcPr>
          <w:p>
            <w:pPr>
              <w:jc w:val="right"/>
              <w:ind w:right="867"/>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Fuel hedge contracts</w:t>
      </w:r>
    </w:p>
    <w:p>
      <w:pPr>
        <w:spacing w:after="0" w:line="11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Company is exposed to certain market risks, primarily commodity price risk as it relates to diesel fuel purchase requirements, which occur in the normal course of business. The Company enters into heating oil commodity swap contracts to hedge the risk that fluctuations in diesel fuel prices could have an adverse impact on cash flows associated with its domestic dredging contracts. The Company’s goal is to hedge approximately 80% of the fuel requirements for work in domestic backlog.</w:t>
      </w:r>
    </w:p>
    <w:p>
      <w:pPr>
        <w:spacing w:after="0" w:line="18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As of September 30, 2019, the Company was party to various swap arrangements to hedge the price of a portion of its diesel fuel purchase requirements for work in its backlog to be performed through September 2020. As of September 30, 2019, there were 9.1 million gallons remaining on these contracts which represent approximately 80% of the Company’s forecasted domestic fuel purchases through September 2020. Under these swap agreements, the Company will pay fixed prices ranging from $1.79 to $2.34 per gallon.</w:t>
      </w:r>
    </w:p>
    <w:p>
      <w:pPr>
        <w:spacing w:after="0" w:line="184"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8"/>
          <w:szCs w:val="18"/>
          <w:color w:val="auto"/>
        </w:rPr>
        <w:t>At September 30, 2019 and December 31, 2018, the fair value liabilities of the fuel hedge contracts were estimated to be $894 and $4,710, respectively, and are recorded in accrued expenses. For fuel hedge contracts considered to be highly effective, the losses reclassified to earnings from changes in fair value of derivatives, net of cash settlements and taxes, for the nine months ended September 30, 2019 were $1,513. The remaining gains and losses included in accumulated other comprehensive loss at September 30, 2019 will be reclassified into earnings over the next twelve months, corresponding to the period during which the hedged fuel is expected to be utilized. Changes in the fair value of fuel hedge contracts not considered highly effective are recorded as cost of contract revenues in the Statement of Operations. The fair values of fuel hedges are corroborated using inputs that are readily observable in public markets; therefore, the Company determines fair value of these fuel hedges using Level 2 inputs.</w:t>
      </w:r>
    </w:p>
    <w:p>
      <w:pPr>
        <w:spacing w:after="0" w:line="18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fuel hedge contracts outstanding as of September 30, 2019 and December 31, 2018 is as follows:</w:t>
      </w:r>
    </w:p>
    <w:p>
      <w:pPr>
        <w:spacing w:after="0" w:line="289"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5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left="186"/>
              <w:spacing w:after="0" w:line="14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244"/>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2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160" w:type="dxa"/>
            <w:vAlign w:val="bottom"/>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500" w:type="dxa"/>
            <w:vAlign w:val="bottom"/>
            <w:vMerge w:val="continue"/>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Fuel hedge contracts</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160" w:type="dxa"/>
            <w:vAlign w:val="bottom"/>
            <w:tcBorders>
              <w:bottom w:val="single" w:sz="8" w:color="auto"/>
            </w:tcBorders>
          </w:tcPr>
          <w:p>
            <w:pPr>
              <w:jc w:val="right"/>
              <w:ind w:right="1006"/>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6"/>
              </w:rPr>
              <w:t>894</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components of the accumulated balances of other comprehensive income (loss) are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60" w:type="dxa"/>
            <w:vAlign w:val="bottom"/>
            <w:gridSpan w:val="3"/>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2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60" w:type="dxa"/>
            <w:vAlign w:val="bottom"/>
          </w:tcPr>
          <w:p>
            <w:pPr>
              <w:spacing w:after="0"/>
              <w:rPr>
                <w:sz w:val="13"/>
                <w:szCs w:val="13"/>
                <w:color w:val="auto"/>
              </w:rPr>
            </w:pPr>
          </w:p>
        </w:tc>
      </w:tr>
      <w:tr>
        <w:trPr>
          <w:trHeight w:val="170"/>
        </w:trPr>
        <w:tc>
          <w:tcPr>
            <w:tcW w:w="4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52"/>
        </w:trPr>
        <w:tc>
          <w:tcPr>
            <w:tcW w:w="460" w:type="dxa"/>
            <w:vAlign w:val="bottom"/>
          </w:tcPr>
          <w:p>
            <w:pPr>
              <w:spacing w:after="0"/>
              <w:rPr>
                <w:sz w:val="13"/>
                <w:szCs w:val="13"/>
                <w:color w:val="auto"/>
              </w:rPr>
            </w:pPr>
          </w:p>
        </w:tc>
        <w:tc>
          <w:tcPr>
            <w:tcW w:w="46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ind w:right="18"/>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5"/>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460" w:type="dxa"/>
            <w:vAlign w:val="bottom"/>
          </w:tcPr>
          <w:p>
            <w:pPr>
              <w:spacing w:after="0"/>
              <w:rPr>
                <w:sz w:val="13"/>
                <w:szCs w:val="13"/>
                <w:color w:val="auto"/>
              </w:rPr>
            </w:pPr>
          </w:p>
        </w:tc>
      </w:tr>
      <w:tr>
        <w:trPr>
          <w:trHeight w:val="218"/>
        </w:trPr>
        <w:tc>
          <w:tcPr>
            <w:tcW w:w="46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Cumulative translation adjustments—net of tax</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3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60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r>
      <w:tr>
        <w:trPr>
          <w:trHeight w:val="225"/>
        </w:trPr>
        <w:tc>
          <w:tcPr>
            <w:tcW w:w="46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06"/>
        </w:trPr>
        <w:tc>
          <w:tcPr>
            <w:tcW w:w="460" w:type="dxa"/>
            <w:vAlign w:val="bottom"/>
          </w:tcPr>
          <w:p>
            <w:pPr>
              <w:spacing w:after="0"/>
              <w:rPr>
                <w:sz w:val="17"/>
                <w:szCs w:val="17"/>
                <w:color w:val="auto"/>
              </w:rPr>
            </w:pPr>
          </w:p>
        </w:tc>
        <w:tc>
          <w:tcPr>
            <w:tcW w:w="4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Reclassification of derivative (gains) losses to earnings—net</w:t>
            </w: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r>
      <w:tr>
        <w:trPr>
          <w:trHeight w:val="230"/>
        </w:trPr>
        <w:tc>
          <w:tcPr>
            <w:tcW w:w="460" w:type="dxa"/>
            <w:vAlign w:val="bottom"/>
          </w:tcPr>
          <w:p>
            <w:pPr>
              <w:spacing w:after="0"/>
              <w:rPr>
                <w:sz w:val="19"/>
                <w:szCs w:val="19"/>
                <w:color w:val="auto"/>
              </w:rPr>
            </w:pPr>
          </w:p>
        </w:tc>
        <w:tc>
          <w:tcPr>
            <w:tcW w:w="4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of tax</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(442)</w:t>
            </w:r>
          </w:p>
        </w:tc>
        <w:tc>
          <w:tcPr>
            <w:tcW w:w="7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1,513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(2,211)</w:t>
            </w:r>
          </w:p>
        </w:tc>
        <w:tc>
          <w:tcPr>
            <w:tcW w:w="460" w:type="dxa"/>
            <w:vAlign w:val="bottom"/>
          </w:tcPr>
          <w:p>
            <w:pPr>
              <w:spacing w:after="0"/>
              <w:rPr>
                <w:sz w:val="19"/>
                <w:szCs w:val="19"/>
                <w:color w:val="auto"/>
              </w:rPr>
            </w:pPr>
          </w:p>
        </w:tc>
      </w:tr>
      <w:tr>
        <w:trPr>
          <w:trHeight w:val="225"/>
        </w:trPr>
        <w:tc>
          <w:tcPr>
            <w:tcW w:w="460" w:type="dxa"/>
            <w:vAlign w:val="bottom"/>
          </w:tcPr>
          <w:p>
            <w:pPr>
              <w:spacing w:after="0"/>
              <w:rPr>
                <w:sz w:val="19"/>
                <w:szCs w:val="19"/>
                <w:color w:val="auto"/>
              </w:rPr>
            </w:pPr>
          </w:p>
        </w:tc>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derivatives—net of tax</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(487)</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1,304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18"/>
        </w:trPr>
        <w:tc>
          <w:tcPr>
            <w:tcW w:w="460" w:type="dxa"/>
            <w:vAlign w:val="bottom"/>
          </w:tcPr>
          <w:p>
            <w:pPr>
              <w:spacing w:after="0"/>
              <w:rPr>
                <w:sz w:val="18"/>
                <w:szCs w:val="18"/>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flow derivative hedges—net of tax</w:t>
            </w:r>
          </w:p>
        </w:tc>
        <w:tc>
          <w:tcPr>
            <w:tcW w:w="1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2,817</w:t>
            </w:r>
          </w:p>
        </w:tc>
        <w:tc>
          <w:tcPr>
            <w:tcW w:w="2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80" w:type="dxa"/>
            <w:vAlign w:val="bottom"/>
            <w:tcBorders>
              <w:top w:val="single" w:sz="8" w:color="CFF0FC"/>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r>
      <w:tr>
        <w:trPr>
          <w:trHeight w:val="218"/>
        </w:trPr>
        <w:tc>
          <w:tcPr>
            <w:tcW w:w="46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tcPr>
          <w:p>
            <w:pPr>
              <w:spacing w:after="0"/>
              <w:rPr>
                <w:sz w:val="18"/>
                <w:szCs w:val="18"/>
                <w:color w:val="auto"/>
              </w:rPr>
            </w:pPr>
          </w:p>
        </w:tc>
        <w:tc>
          <w:tcPr>
            <w:tcW w:w="76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2,817</w:t>
            </w:r>
          </w:p>
        </w:tc>
        <w:tc>
          <w:tcPr>
            <w:tcW w:w="220" w:type="dxa"/>
            <w:vAlign w:val="bottom"/>
          </w:tcPr>
          <w:p>
            <w:pPr>
              <w:spacing w:after="0"/>
              <w:rPr>
                <w:sz w:val="18"/>
                <w:szCs w:val="18"/>
                <w:color w:val="auto"/>
              </w:rPr>
            </w:pPr>
          </w:p>
        </w:tc>
        <w:tc>
          <w:tcPr>
            <w:tcW w:w="3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639"/>
        </w:trPr>
        <w:tc>
          <w:tcPr>
            <w:tcW w:w="4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9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14</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13"/>
        </w:trPr>
        <w:tc>
          <w:tcPr>
            <w:tcW w:w="460" w:type="dxa"/>
            <w:vAlign w:val="bottom"/>
            <w:tcBorders>
              <w:bottom w:val="single" w:sz="8" w:color="9A9A9A"/>
            </w:tcBorders>
          </w:tcPr>
          <w:p>
            <w:pPr>
              <w:spacing w:after="0"/>
              <w:rPr>
                <w:sz w:val="9"/>
                <w:szCs w:val="9"/>
                <w:color w:val="auto"/>
              </w:rPr>
            </w:pPr>
          </w:p>
        </w:tc>
        <w:tc>
          <w:tcPr>
            <w:tcW w:w="4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617" w:right="2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Adjustments reclassified from accumulated balances of other comprehensive income (loss) to earnings are as follows:</w:t>
      </w:r>
    </w:p>
    <w:p>
      <w:pPr>
        <w:spacing w:after="0" w:line="289" w:lineRule="exact"/>
        <w:rPr>
          <w:sz w:val="20"/>
          <w:szCs w:val="20"/>
          <w:color w:val="auto"/>
        </w:rPr>
      </w:pPr>
    </w:p>
    <w:tbl>
      <w:tblPr>
        <w:tblLayout w:type="fixed"/>
        <w:tblInd w:w="11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6"/>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6"/>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05"/>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Statement of Operations Location</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1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40" w:type="dxa"/>
            <w:vAlign w:val="bottom"/>
            <w:tcBorders>
              <w:top w:val="single" w:sz="8" w:color="CFF0FC"/>
            </w:tcBorders>
            <w:shd w:val="clear" w:color="auto" w:fill="CFF0FC"/>
          </w:tcPr>
          <w:p>
            <w:pPr>
              <w:spacing w:after="0"/>
              <w:rPr>
                <w:sz w:val="18"/>
                <w:szCs w:val="18"/>
                <w:color w:val="auto"/>
              </w:rPr>
            </w:pPr>
          </w:p>
        </w:tc>
        <w:tc>
          <w:tcPr>
            <w:tcW w:w="31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1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Fuel hedge contracts</w:t>
            </w:r>
          </w:p>
        </w:tc>
        <w:tc>
          <w:tcPr>
            <w:tcW w:w="3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28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30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(599)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20" w:type="dxa"/>
            <w:vAlign w:val="bottom"/>
          </w:tcPr>
          <w:p>
            <w:pPr>
              <w:spacing w:after="0"/>
              <w:rPr>
                <w:sz w:val="19"/>
                <w:szCs w:val="19"/>
                <w:color w:val="auto"/>
              </w:rPr>
            </w:pPr>
          </w:p>
        </w:tc>
        <w:tc>
          <w:tcPr>
            <w:tcW w:w="140" w:type="dxa"/>
            <w:vAlign w:val="bottom"/>
            <w:gridSpan w:val="2"/>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(2,995)</w:t>
            </w:r>
          </w:p>
        </w:tc>
      </w:tr>
      <w:tr>
        <w:trPr>
          <w:trHeight w:val="225"/>
        </w:trPr>
        <w:tc>
          <w:tcPr>
            <w:tcW w:w="20" w:type="dxa"/>
            <w:vAlign w:val="bottom"/>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3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(157)</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18"/>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1"/>
              </w:rPr>
              <w:t>(442)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ind w:right="380"/>
        <w:spacing w:after="0" w:line="257" w:lineRule="auto"/>
        <w:rPr>
          <w:sz w:val="20"/>
          <w:szCs w:val="20"/>
          <w:color w:val="auto"/>
        </w:rPr>
      </w:pPr>
      <w:r>
        <w:rPr>
          <w:rFonts w:ascii="Times New Roman" w:cs="Times New Roman" w:eastAsia="Times New Roman" w:hAnsi="Times New Roman"/>
          <w:sz w:val="18"/>
          <w:szCs w:val="18"/>
          <w:color w:val="auto"/>
        </w:rPr>
        <w:t>During the first quarter of 2018, the Company substantially completed the closeout of its Brazil operations. This liquidation resulted in the reversal of the Company’s cumulative translation adjustment. Adjustments reclassified from accumulated balances of other comprehensive income (loss) to earnings are as follows:</w:t>
      </w:r>
    </w:p>
    <w:p>
      <w:pPr>
        <w:spacing w:after="0" w:line="254" w:lineRule="exact"/>
        <w:rPr>
          <w:sz w:val="20"/>
          <w:szCs w:val="20"/>
          <w:color w:val="auto"/>
        </w:rPr>
      </w:pPr>
    </w:p>
    <w:tbl>
      <w:tblPr>
        <w:tblLayout w:type="fixed"/>
        <w:tblInd w:w="1740" w:type="dxa"/>
        <w:tblCellMar>
          <w:top w:w="0" w:type="dxa"/>
          <w:left w:w="0" w:type="dxa"/>
          <w:bottom w:w="0" w:type="dxa"/>
          <w:right w:w="0" w:type="dxa"/>
        </w:tblCellMar>
      </w:tblPr>
      <w:tr>
        <w:trPr>
          <w:trHeight w:val="186"/>
        </w:trPr>
        <w:tc>
          <w:tcPr>
            <w:tcW w:w="196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9"/>
        </w:trPr>
        <w:tc>
          <w:tcPr>
            <w:tcW w:w="1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Cumulative translation</w:t>
            </w: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Location</w:t>
            </w:r>
          </w:p>
        </w:tc>
        <w:tc>
          <w:tcPr>
            <w:tcW w:w="20" w:type="dxa"/>
            <w:vAlign w:val="bottom"/>
          </w:tcPr>
          <w:p>
            <w:pPr>
              <w:spacing w:after="0"/>
              <w:rPr>
                <w:sz w:val="18"/>
                <w:szCs w:val="18"/>
                <w:color w:val="auto"/>
              </w:rPr>
            </w:pPr>
          </w:p>
        </w:tc>
        <w:tc>
          <w:tcPr>
            <w:tcW w:w="15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0" w:type="dxa"/>
            <w:vAlign w:val="bottom"/>
          </w:tcPr>
          <w:p>
            <w:pPr>
              <w:spacing w:after="0"/>
              <w:rPr>
                <w:sz w:val="1"/>
                <w:szCs w:val="1"/>
                <w:color w:val="auto"/>
              </w:rPr>
            </w:pPr>
          </w:p>
        </w:tc>
      </w:tr>
      <w:tr>
        <w:trPr>
          <w:trHeight w:val="199"/>
        </w:trPr>
        <w:tc>
          <w:tcPr>
            <w:tcW w:w="1960" w:type="dxa"/>
            <w:vAlign w:val="bottom"/>
            <w:vMerge w:val="continue"/>
          </w:tcPr>
          <w:p>
            <w:pPr>
              <w:spacing w:after="0"/>
              <w:rPr>
                <w:sz w:val="17"/>
                <w:szCs w:val="17"/>
                <w:color w:val="auto"/>
              </w:rPr>
            </w:pPr>
          </w:p>
        </w:tc>
        <w:tc>
          <w:tcPr>
            <w:tcW w:w="4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adjustment:</w:t>
            </w: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480" w:type="dxa"/>
            <w:vAlign w:val="bottom"/>
            <w:gridSpan w:val="2"/>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25"/>
        </w:trPr>
        <w:tc>
          <w:tcPr>
            <w:tcW w:w="1960" w:type="dxa"/>
            <w:vAlign w:val="bottom"/>
            <w:shd w:val="clear" w:color="auto" w:fill="CFF0FC"/>
          </w:tcPr>
          <w:p>
            <w:pPr>
              <w:spacing w:after="0"/>
              <w:rPr>
                <w:sz w:val="19"/>
                <w:szCs w:val="19"/>
                <w:color w:val="auto"/>
              </w:rPr>
            </w:pPr>
          </w:p>
        </w:tc>
        <w:tc>
          <w:tcPr>
            <w:tcW w:w="4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9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1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revolving credit agreement approximates fair value. In May 2017, the Company issued a total of $325,000 of 8% senior notes due May 15, 2022, which were outstanding at September 30, 2019 (see Note 5, Long-term debt). The 8% Senior Notes are senior unsecured obligations of the Company and its subsidiaries that guarantee the 8% Senior Notes. The fair value of the senior notes was $346,385 at September 30, 2019,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186" w:lineRule="exact"/>
        <w:rPr>
          <w:sz w:val="20"/>
          <w:szCs w:val="20"/>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12"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On May 11, 2017, the Company’s stockholders approved the Great Lakes Dredge &amp; Dock Corporation 2017 Long-Term Incentive Plan (the “Incentive Plan”), which previously had been approved by the Company’s board of directors subject to stockholder approval. The Incentive Plan permits the granting of stock options, stock appreciation rights, restricted stock and restricted stock units to the Company’s employees and directors for up to 3.3 million shares of common stock, plus an additional 1.7 million shares underlying equity awards issued under the 2007 Long-Term Incentive Plan.</w:t>
      </w:r>
    </w:p>
    <w:p>
      <w:pPr>
        <w:spacing w:after="0" w:line="1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2019, the Company granted 542 thousand restricted stock units to certain employees. In addition, all non-employee directors on the Company’s board of directors are paid a portion of their board-related compensation in stock grants or restricted stock units. Compensation cost charged to expense related to share-based compensation arrangements was $1,615 and $843 for the three months ended September 30, 2019 and 2018, respectively, and $5,234 and $2,829 for the nine months ended September 30, 2019 and 2018 respectively.</w:t>
      </w:r>
    </w:p>
    <w:p>
      <w:pPr>
        <w:spacing w:after="0" w:line="182" w:lineRule="exact"/>
        <w:rPr>
          <w:sz w:val="20"/>
          <w:szCs w:val="20"/>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1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At September 30, 2019, the Company had $653,733 of remaining performance obligations, which the Company refers to as total backlog. Approximately 29% of the Company’s backlog will be completed in 2019 with the remaining balance expected to be completed by 2021.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series of tables presents our revenue disaggregated by several categories.</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Domestically, our work generally is performed in coastal waterways and deep water ports. The U.S. dredging market consists of four primary types of work: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coastal protection, maintenance and rivers &amp; lakes. Foreign projects typically involve capital work.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revenues by type of work, for the periods indicated, were as follows:</w:t>
      </w:r>
    </w:p>
    <w:p>
      <w:pPr>
        <w:spacing w:after="0" w:line="249"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3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0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25"/>
        </w:trPr>
        <w:tc>
          <w:tcPr>
            <w:tcW w:w="3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6"/>
                <w:szCs w:val="16"/>
                <w:color w:val="auto"/>
              </w:rPr>
            </w:pP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Dredging:</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Capital—U.S.</w:t>
            </w: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62,518</w:t>
            </w:r>
          </w:p>
        </w:tc>
        <w:tc>
          <w:tcPr>
            <w:tcW w:w="580" w:type="dxa"/>
            <w:vAlign w:val="bottom"/>
            <w:gridSpan w:val="2"/>
            <w:shd w:val="clear" w:color="auto" w:fill="CFF0FC"/>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105,934</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214,668</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252,537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Capital—foreign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12,554</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Coastal protection</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41,959</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42,691</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133,897</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Maintenance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30,074</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89,911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Rivers &amp; lakes</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22,670</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13,420</w:t>
            </w:r>
          </w:p>
        </w:tc>
        <w:tc>
          <w:tcPr>
            <w:tcW w:w="4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69,224</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169,775</w:t>
            </w:r>
          </w:p>
        </w:tc>
        <w:tc>
          <w:tcPr>
            <w:tcW w:w="200" w:type="dxa"/>
            <w:vAlign w:val="bottom"/>
          </w:tcPr>
          <w:p>
            <w:pPr>
              <w:spacing w:after="0"/>
              <w:rPr>
                <w:sz w:val="18"/>
                <w:szCs w:val="18"/>
                <w:color w:val="auto"/>
              </w:rPr>
            </w:pPr>
          </w:p>
        </w:tc>
        <w:tc>
          <w:tcPr>
            <w:tcW w:w="3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178,671</w:t>
            </w:r>
          </w:p>
        </w:tc>
        <w:tc>
          <w:tcPr>
            <w:tcW w:w="420" w:type="dxa"/>
            <w:vAlign w:val="bottom"/>
          </w:tcPr>
          <w:p>
            <w:pPr>
              <w:spacing w:after="0"/>
              <w:rPr>
                <w:sz w:val="18"/>
                <w:szCs w:val="18"/>
                <w:color w:val="auto"/>
              </w:rPr>
            </w:pP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547,223</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revenues by type of customer, for the periods indicated, were as follows:</w:t>
      </w:r>
    </w:p>
    <w:p>
      <w:pPr>
        <w:spacing w:after="0" w:line="249" w:lineRule="exact"/>
        <w:rPr>
          <w:sz w:val="20"/>
          <w:szCs w:val="20"/>
          <w:color w:val="auto"/>
        </w:rPr>
      </w:pPr>
    </w:p>
    <w:tbl>
      <w:tblPr>
        <w:tblLayout w:type="fixed"/>
        <w:tblInd w:w="1720" w:type="dxa"/>
        <w:tblCellMar>
          <w:top w:w="0" w:type="dxa"/>
          <w:left w:w="0" w:type="dxa"/>
          <w:bottom w:w="0" w:type="dxa"/>
          <w:right w:w="0" w:type="dxa"/>
        </w:tblCellMar>
      </w:tblPr>
      <w:tr>
        <w:trPr>
          <w:trHeight w:val="225"/>
        </w:trPr>
        <w:tc>
          <w:tcPr>
            <w:tcW w:w="3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9"/>
                <w:szCs w:val="19"/>
                <w:color w:val="auto"/>
              </w:rPr>
            </w:pPr>
          </w:p>
        </w:tc>
        <w:tc>
          <w:tcPr>
            <w:tcW w:w="20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9"/>
        </w:trPr>
        <w:tc>
          <w:tcPr>
            <w:tcW w:w="3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8"/>
        </w:trPr>
        <w:tc>
          <w:tcPr>
            <w:tcW w:w="3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4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80" w:type="dxa"/>
            <w:vAlign w:val="bottom"/>
            <w:tcBorders>
              <w:bottom w:val="single" w:sz="8" w:color="CFF0FC"/>
            </w:tcBorders>
          </w:tcPr>
          <w:p>
            <w:pPr>
              <w:spacing w:after="0"/>
              <w:rPr>
                <w:sz w:val="18"/>
                <w:szCs w:val="18"/>
                <w:color w:val="auto"/>
              </w:rPr>
            </w:pPr>
          </w:p>
        </w:tc>
      </w:tr>
      <w:tr>
        <w:trPr>
          <w:trHeight w:val="218"/>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Dredging:</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5"/>
        </w:trPr>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 government</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134,763</w:t>
            </w:r>
          </w:p>
        </w:tc>
        <w:tc>
          <w:tcPr>
            <w:tcW w:w="580" w:type="dxa"/>
            <w:vAlign w:val="bottom"/>
            <w:gridSpan w:val="2"/>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144,050</w:t>
            </w:r>
          </w:p>
        </w:tc>
        <w:tc>
          <w:tcPr>
            <w:tcW w:w="420" w:type="dxa"/>
            <w:vAlign w:val="bottom"/>
          </w:tcPr>
          <w:p>
            <w:pPr>
              <w:spacing w:after="0"/>
              <w:rPr>
                <w:sz w:val="19"/>
                <w:szCs w:val="19"/>
                <w:color w:val="auto"/>
              </w:rPr>
            </w:pP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431,722</w:t>
            </w:r>
          </w:p>
        </w:tc>
        <w:tc>
          <w:tcPr>
            <w:tcW w:w="200" w:type="dxa"/>
            <w:vAlign w:val="bottom"/>
          </w:tcPr>
          <w:p>
            <w:pPr>
              <w:spacing w:after="0"/>
              <w:rPr>
                <w:sz w:val="19"/>
                <w:szCs w:val="19"/>
                <w:color w:val="auto"/>
              </w:rPr>
            </w:pP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313,657</w:t>
            </w:r>
          </w:p>
        </w:tc>
        <w:tc>
          <w:tcPr>
            <w:tcW w:w="80" w:type="dxa"/>
            <w:vAlign w:val="bottom"/>
          </w:tcPr>
          <w:p>
            <w:pPr>
              <w:spacing w:after="0"/>
              <w:rPr>
                <w:sz w:val="19"/>
                <w:szCs w:val="19"/>
                <w:color w:val="auto"/>
              </w:rPr>
            </w:pPr>
          </w:p>
        </w:tc>
      </w:tr>
      <w:tr>
        <w:trPr>
          <w:trHeight w:val="225"/>
        </w:trPr>
        <w:tc>
          <w:tcPr>
            <w:tcW w:w="3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 and local government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18,505</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7,107</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69,077</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77,078</w:t>
            </w:r>
          </w:p>
        </w:tc>
        <w:tc>
          <w:tcPr>
            <w:tcW w:w="80" w:type="dxa"/>
            <w:vAlign w:val="bottom"/>
            <w:shd w:val="clear" w:color="auto" w:fill="CFF0FC"/>
          </w:tcPr>
          <w:p>
            <w:pPr>
              <w:spacing w:after="0"/>
              <w:rPr>
                <w:sz w:val="19"/>
                <w:szCs w:val="19"/>
                <w:color w:val="auto"/>
              </w:rPr>
            </w:pPr>
          </w:p>
        </w:tc>
      </w:tr>
      <w:tr>
        <w:trPr>
          <w:trHeight w:val="225"/>
        </w:trPr>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Private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22,469</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42,982</w:t>
            </w:r>
          </w:p>
        </w:tc>
        <w:tc>
          <w:tcPr>
            <w:tcW w:w="80" w:type="dxa"/>
            <w:vAlign w:val="bottom"/>
          </w:tcPr>
          <w:p>
            <w:pPr>
              <w:spacing w:after="0"/>
              <w:rPr>
                <w:sz w:val="19"/>
                <w:szCs w:val="19"/>
                <w:color w:val="auto"/>
              </w:rPr>
            </w:pPr>
          </w:p>
        </w:tc>
      </w:tr>
      <w:tr>
        <w:trPr>
          <w:trHeight w:val="225"/>
        </w:trPr>
        <w:tc>
          <w:tcPr>
            <w:tcW w:w="3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12,554</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4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39,523</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13,847</w:t>
            </w:r>
          </w:p>
        </w:tc>
        <w:tc>
          <w:tcPr>
            <w:tcW w:w="80" w:type="dxa"/>
            <w:vAlign w:val="bottom"/>
            <w:shd w:val="clear" w:color="auto" w:fill="CFF0FC"/>
          </w:tcPr>
          <w:p>
            <w:pPr>
              <w:spacing w:after="0"/>
              <w:rPr>
                <w:sz w:val="19"/>
                <w:szCs w:val="19"/>
                <w:color w:val="auto"/>
              </w:rPr>
            </w:pPr>
          </w:p>
        </w:tc>
      </w:tr>
      <w:tr>
        <w:trPr>
          <w:trHeight w:val="21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169,775</w:t>
            </w:r>
          </w:p>
        </w:tc>
        <w:tc>
          <w:tcPr>
            <w:tcW w:w="200" w:type="dxa"/>
            <w:vAlign w:val="bottom"/>
          </w:tcPr>
          <w:p>
            <w:pPr>
              <w:spacing w:after="0"/>
              <w:rPr>
                <w:sz w:val="18"/>
                <w:szCs w:val="18"/>
                <w:color w:val="auto"/>
              </w:rPr>
            </w:pPr>
          </w:p>
        </w:tc>
        <w:tc>
          <w:tcPr>
            <w:tcW w:w="3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178,671</w:t>
            </w:r>
          </w:p>
        </w:tc>
        <w:tc>
          <w:tcPr>
            <w:tcW w:w="420" w:type="dxa"/>
            <w:vAlign w:val="bottom"/>
          </w:tcPr>
          <w:p>
            <w:pPr>
              <w:spacing w:after="0"/>
              <w:rPr>
                <w:sz w:val="18"/>
                <w:szCs w:val="18"/>
                <w:color w:val="auto"/>
              </w:rPr>
            </w:pP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547,223</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447,564</w:t>
            </w:r>
          </w:p>
        </w:tc>
        <w:tc>
          <w:tcPr>
            <w:tcW w:w="80" w:type="dxa"/>
            <w:vAlign w:val="bottom"/>
          </w:tcPr>
          <w:p>
            <w:pPr>
              <w:spacing w:after="0"/>
              <w:rPr>
                <w:sz w:val="18"/>
                <w:szCs w:val="18"/>
                <w:color w:val="auto"/>
              </w:rPr>
            </w:pPr>
          </w:p>
        </w:tc>
      </w:tr>
      <w:tr>
        <w:trPr>
          <w:trHeight w:val="20"/>
        </w:trPr>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at September 30, 2019 and December 31, 2018 are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720" w:type="dxa"/>
            <w:vAlign w:val="bottom"/>
          </w:tcPr>
          <w:p>
            <w:pPr>
              <w:spacing w:after="0"/>
              <w:rPr>
                <w:sz w:val="14"/>
                <w:szCs w:val="14"/>
                <w:color w:val="auto"/>
              </w:rPr>
            </w:pPr>
          </w:p>
        </w:tc>
        <w:tc>
          <w:tcPr>
            <w:tcW w:w="3120" w:type="dxa"/>
            <w:vAlign w:val="bottom"/>
            <w:tcBorders>
              <w:bottom w:val="single" w:sz="8" w:color="CFF0FC"/>
            </w:tcBorders>
          </w:tcPr>
          <w:p>
            <w:pPr>
              <w:spacing w:after="0"/>
              <w:rPr>
                <w:sz w:val="14"/>
                <w:szCs w:val="14"/>
                <w:color w:val="auto"/>
              </w:rPr>
            </w:pPr>
          </w:p>
        </w:tc>
        <w:tc>
          <w:tcPr>
            <w:tcW w:w="23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Completed contracts</w:t>
            </w:r>
          </w:p>
        </w:tc>
        <w:tc>
          <w:tcPr>
            <w:tcW w:w="23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9,736</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8,592</w:t>
            </w: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7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Contracts in progress</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48,418</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72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Retainage</w:t>
            </w:r>
          </w:p>
        </w:tc>
        <w:tc>
          <w:tcPr>
            <w:tcW w:w="23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64,979</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72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484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Total accounts receivable—net</w:t>
            </w:r>
          </w:p>
        </w:tc>
        <w:tc>
          <w:tcPr>
            <w:tcW w:w="234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31,043</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64,779</w:t>
            </w: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340" w:type="dxa"/>
            <w:vAlign w:val="bottom"/>
            <w:vMerge w:val="restart"/>
          </w:tcPr>
          <w:p>
            <w:pPr>
              <w:jc w:val="right"/>
              <w:ind w:right="129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17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720" w:type="dxa"/>
            <w:vAlign w:val="bottom"/>
            <w:tcBorders>
              <w:bottom w:val="single" w:sz="8" w:color="9A9A9A"/>
            </w:tcBorders>
          </w:tcPr>
          <w:p>
            <w:pPr>
              <w:spacing w:after="0"/>
              <w:rPr>
                <w:sz w:val="9"/>
                <w:szCs w:val="9"/>
                <w:color w:val="auto"/>
              </w:rPr>
            </w:pPr>
          </w:p>
        </w:tc>
        <w:tc>
          <w:tcPr>
            <w:tcW w:w="312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components of contracts in progress at September 30, 2019 and December 31, 2018 are as follows:</w:t>
      </w:r>
    </w:p>
    <w:p>
      <w:pPr>
        <w:spacing w:after="0" w:line="28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earnings in excess of billings:</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Costs and earnings for contracts in progress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188,042</w:t>
            </w:r>
          </w:p>
        </w:tc>
        <w:tc>
          <w:tcPr>
            <w:tcW w:w="2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Amounts billed</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(167,718)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(416,956)</w:t>
            </w:r>
          </w:p>
        </w:tc>
        <w:tc>
          <w:tcPr>
            <w:tcW w:w="0" w:type="dxa"/>
            <w:vAlign w:val="bottom"/>
          </w:tcPr>
          <w:p>
            <w:pPr>
              <w:spacing w:after="0"/>
              <w:rPr>
                <w:sz w:val="1"/>
                <w:szCs w:val="1"/>
                <w:color w:val="auto"/>
              </w:rPr>
            </w:pPr>
          </w:p>
        </w:tc>
      </w:tr>
      <w:tr>
        <w:trPr>
          <w:trHeight w:val="218"/>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earnings in excess of billings for contracts in progress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earnings in excess of billings for completed contracts</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contract revenues in excess of billings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5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contract revenues in excess of billings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25,383</w:t>
            </w:r>
          </w:p>
        </w:tc>
        <w:tc>
          <w:tcPr>
            <w:tcW w:w="2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contract revenues in excess of billings</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contract revenues in excess of billings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restart"/>
          </w:tcPr>
          <w:p>
            <w:pPr>
              <w:spacing w:after="0"/>
              <w:rPr>
                <w:sz w:val="12"/>
                <w:szCs w:val="12"/>
                <w:color w:val="auto"/>
              </w:rPr>
            </w:pPr>
          </w:p>
        </w:tc>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Billings in excess of costs and earnings: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Amounts billed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(475,765)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(260,691)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Costs and earnings for contracts in progress</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406,378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billings in excess of contract revenues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(69,387)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8"/>
          <w:szCs w:val="18"/>
          <w:color w:val="auto"/>
        </w:rPr>
        <w:t>For amounts included in billings in excess of contract revenues balance at the beginning of the year, the Company recognized nearly all of the related revenue during the nine months ended September 30, 2019.</w:t>
      </w:r>
    </w:p>
    <w:p>
      <w:pPr>
        <w:spacing w:after="0" w:line="169"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8"/>
          <w:szCs w:val="18"/>
          <w:color w:val="auto"/>
        </w:rPr>
        <w:t>At September 30, 2019 and December 31, 2018, costs to fulfill a contract with a customer recognized as an asset were $9,420 and $13,129, respectively, and are recorded in other current assets and other noncurrent assets. These costs relate to pre-contract and pre-construction activities. During the three and nine months ended September 30, 2019 and 2018, the Company amortized $3,097 and $8,846 and $5,667 and $12,132, respectively, of pre-construction costs.</w:t>
      </w:r>
    </w:p>
    <w:p>
      <w:pPr>
        <w:spacing w:after="0" w:line="179" w:lineRule="exact"/>
        <w:rPr>
          <w:sz w:val="20"/>
          <w:szCs w:val="20"/>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charges</w:t>
      </w:r>
    </w:p>
    <w:p>
      <w:pPr>
        <w:spacing w:after="0" w:line="125"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In 2017, a strategic review was begun to improve the Company's financial results in both domestic and international operations enabling debt reduction, improvements in return on capital and the continued renewal of our extensive fleet with new and efficient dredges to best serve our domestic and international clients. Management executed a plan to reduce general and administrative and overhead expenses, retire certain underperforming and underutilized assets, write-off pre-contract costs on a project that was never formally awarded and that the Company no longer intends to pursue and closeout the Company’s Brazil operations. The cumulative amounts incurred to date for restructuring charges, including amounts presented in discontinued operations, include severance of $3,549, asset retirements of $32,309, pre-contract costs of $6,441 and closeout costs of $4,194. Restructuring activities were substantially completed in 2018.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charges recognized for the above actions for the three and nine months ended September 30, 2018 are summarized as follows:</w:t>
      </w:r>
    </w:p>
    <w:p>
      <w:pPr>
        <w:spacing w:after="0" w:line="289" w:lineRule="exact"/>
        <w:rPr>
          <w:sz w:val="20"/>
          <w:szCs w:val="20"/>
          <w:color w:val="auto"/>
        </w:rPr>
      </w:pPr>
    </w:p>
    <w:tbl>
      <w:tblPr>
        <w:tblLayout w:type="fixed"/>
        <w:tblInd w:w="16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of contract revenues—depreciation</w:t>
            </w:r>
          </w:p>
        </w:tc>
        <w:tc>
          <w:tcPr>
            <w:tcW w:w="64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Costs of contract revenues—other</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Loss on sale of assets—net</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Company had accrued severance expense of $662 at December 31, 2018, which has been settled in 2019. Accrued severance is included in accrued expenses.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7" w:name="page18"/>
    <w:bookmarkEnd w:id="17"/>
    <w:p>
      <w:pPr>
        <w:ind w:left="1040" w:hanging="519"/>
        <w:spacing w:after="0"/>
        <w:tabs>
          <w:tab w:leader="none" w:pos="10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commitments</w:t>
      </w:r>
    </w:p>
    <w:p>
      <w:pPr>
        <w:spacing w:after="0" w:line="11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Performance and bid bonds are customarily required for dredging and marine construction projects, as well as some environmental &amp; infrastructure projects. The Company has bonding agreements with Argonaut Insurance Company, Berkley Insurance Company, Chubb Surety and Liberty Mutual Insurance Company, under which the Company can obtain performance, bid and payment bonds. The Company also has outstanding bonds with Travelers Casualty, Surety Company of America and Zurich American Insurance Company (“Zurich”). Bid bonds are generally obtained for a percentage of bid value and amounts outstanding typically range from $1,000 to $10,000. At September 30, 2019, the Company had outstanding performance bonds with a notional amount of approximately $1,245,557 of which $41,085 relates to projects from the Company’s historical environmental &amp; infrastructure businesses. The revenue value remaining in backlog related to these projects totaled approximately $607,595.</w:t>
      </w:r>
    </w:p>
    <w:p>
      <w:pPr>
        <w:spacing w:after="0" w:line="18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In connection with the sale of our historical demolition business, the Company was obligated to keep in place the surety bonds on pending demolition projects for the period required under the respective contract for a project and issued Zurich a letter of credit related to this exposure. In February 2017, the Company was notified by Zurich of an alleged default triggered on a historical demolition surety performance bond in the aggregate of approximately $20,000 for failure of the contractor to perform in accordance with the terms of a project. In May 2017, Zurich drew upon the letter of credit in the amount of $20,881. In order to fund the draw on the letter of credit in May 2017, the Company had to increase the borrowings on its revolving credit facility. As the outstanding letters of credit previously reduced our availability under the revolving credit facility, this draw down on our letter of credit did not impact our liquidity or capital availability.</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the terms of sale of our historical demolition business, the Company received an indemnification from the buyer for losses resulting from the bonding arrangement. The Company intends to aggressively pursue enforcement of the indemnification provisions if the buyer of the historical demolition business is found to be in default of its obligations. The Company cannot estimate the amount or range of recoveries related to the indemnification or resolution of the Company’s responsibilities under the surety bond. The surety bond claim impact has been included in discontinued operations.</w:t>
      </w:r>
    </w:p>
    <w:p>
      <w:pPr>
        <w:spacing w:after="0" w:line="184"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other contingencies</w:t>
      </w:r>
    </w:p>
    <w:p>
      <w:pPr>
        <w:spacing w:after="0" w:line="1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8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Various legal actions, claims, assessments and other contingencies arising in the ordinary course of business are pending against the Company and certain of its subsidiaries. The Company will defend itself vigorously on all matters.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8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Except as noted below, the Company has not accrued any amounts with respect to the below matters, as the Company does not believe, based on information currently known to it, that a loss relating to these matters is probable, and an estimate of a range of potential losses relating to these matters cannot reasonably be made.</w:t>
      </w:r>
    </w:p>
    <w:p>
      <w:pPr>
        <w:spacing w:after="0" w:line="18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On April 23, 2014, the Company completed the sale of NASDI, LLC (“NASDI”) and Yankee Environmental Services, LLC (“Yankee”), which together comprised the Company’s historical demolition business, to a privately owned demolition company. Legal actions brought by the Company to enforce the buyer’s obligations under the sale agreement are described below.</w:t>
      </w:r>
    </w:p>
    <w:p>
      <w:pPr>
        <w:spacing w:after="0" w:line="18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On January 14, 2015, the Company and our subsidiary, NASDI Holdings, LLC, brought an action in the Delaware Court of Chancery to enforce the terms of the Company’s agreement to sell NASDI and Yankee. Under the terms of the agreement, the Company received cash of $5,309 and retained the right to receive additional proceeds based upon future collections of outstanding accounts receivable and work in process existing at the date of close. The Company seeks specific performance of the buyer’s obligation to</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8" w:name="page19"/>
    <w:bookmarkEnd w:id="18"/>
    <w:p>
      <w:pPr>
        <w:ind w:right="20"/>
        <w:spacing w:after="0" w:line="270" w:lineRule="auto"/>
        <w:rPr>
          <w:sz w:val="20"/>
          <w:szCs w:val="20"/>
          <w:color w:val="auto"/>
        </w:rPr>
      </w:pPr>
      <w:r>
        <w:rPr>
          <w:rFonts w:ascii="Times New Roman" w:cs="Times New Roman" w:eastAsia="Times New Roman" w:hAnsi="Times New Roman"/>
          <w:sz w:val="18"/>
          <w:szCs w:val="18"/>
          <w:color w:val="auto"/>
        </w:rPr>
        <w:t>collect and to remit the additional proceeds, and other related relief. Defendants have filed counterclaims alleging that the Company misrepresented the quality of its contracts and receivables prior to the sale. The Company denies defendants’ allegations.</w:t>
      </w:r>
    </w:p>
    <w:p>
      <w:pPr>
        <w:spacing w:after="0" w:line="169" w:lineRule="exact"/>
        <w:rPr>
          <w:sz w:val="20"/>
          <w:szCs w:val="20"/>
          <w:color w:val="auto"/>
        </w:rPr>
      </w:pPr>
    </w:p>
    <w:p>
      <w:pPr>
        <w:jc w:val="both"/>
        <w:ind w:right="260"/>
        <w:spacing w:after="0" w:line="257" w:lineRule="auto"/>
        <w:rPr>
          <w:sz w:val="20"/>
          <w:szCs w:val="20"/>
          <w:color w:val="auto"/>
        </w:rPr>
      </w:pPr>
      <w:r>
        <w:rPr>
          <w:rFonts w:ascii="Times New Roman" w:cs="Times New Roman" w:eastAsia="Times New Roman" w:hAnsi="Times New Roman"/>
          <w:sz w:val="18"/>
          <w:szCs w:val="18"/>
          <w:color w:val="auto"/>
        </w:rPr>
        <w:t>The Company is in the process of negotiating a Consent Order with the Florida Department of Environmental Protection regarding alleged impacts to a seagrass habitat in connection with a project in Charlotte County, Florida. The Company estimates the range of potential loss related to this matter as between $200 and $250.</w:t>
      </w:r>
    </w:p>
    <w:p>
      <w:pPr>
        <w:spacing w:after="0" w:line="18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June 2019, the U.S. Attorney’s Office for the Eastern District of Louisiana informed the Company that it intends to file criminal charges against the Company in connection with a September 2016 oil spill. The oil spill occurred during the Company’s Cheniere Ronquille project, allegedly resulting in the discharge of around 125 barrels of crude oil in Bay Long, Louisiana. The Company has cooperated with the U.S. Attorney’s Office in its investigation of the oil spill and believes that criminal charges are not warranted.</w:t>
      </w:r>
    </w:p>
    <w:p>
      <w:pPr>
        <w:spacing w:after="0" w:line="18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September 27, 2019, the EPA Region 4 filed an administrative complaint against the Company relating to a project the Company performed at PortMiami from 2013-2015. The EPA is alleging violations of Section 103 of the Marine Protection, Research, and Sanctuaries Act (“MPRSA”) and failure to report violations of the MPRSA. The EPA seeks the statutory maximum penalty of $75 per violation of the MPRSA. The Company disagrees with the EPA on whether violations occurred and, if any violation did occur, the appropriate penalty calculation.</w:t>
      </w:r>
    </w:p>
    <w:p>
      <w:pPr>
        <w:spacing w:after="0" w:line="182" w:lineRule="exact"/>
        <w:rPr>
          <w:sz w:val="20"/>
          <w:szCs w:val="20"/>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dispositions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27"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color w:val="auto"/>
        </w:rPr>
        <w:t>During the second quarter of 2019, the Company entered into an agreement and completed the sale of the historical environmental &amp; infrastructure business. Under the terms of the agreement, the Company received cash of $17,500 in the second quarter of 2019 and received an additional $857 in the third quarter of 2019.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the historical environmental &amp; infrastructure businesses have been reported in discontinued operations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49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5"/>
        </w:trPr>
        <w:tc>
          <w:tcPr>
            <w:tcW w:w="49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7"/>
                <w:szCs w:val="17"/>
                <w:color w:val="auto"/>
              </w:rPr>
            </w:pPr>
          </w:p>
        </w:tc>
      </w:tr>
      <w:tr>
        <w:trPr>
          <w:trHeight w:val="125"/>
        </w:trPr>
        <w:tc>
          <w:tcPr>
            <w:tcW w:w="4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25"/>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25,651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25,040</w:t>
            </w:r>
          </w:p>
        </w:tc>
        <w:tc>
          <w:tcPr>
            <w:tcW w:w="2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57"/>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53,941</w:t>
            </w:r>
          </w:p>
        </w:tc>
        <w:tc>
          <w:tcPr>
            <w:tcW w:w="120" w:type="dxa"/>
            <w:vAlign w:val="bottom"/>
            <w:shd w:val="clear" w:color="auto" w:fill="CFF0FC"/>
          </w:tcPr>
          <w:p>
            <w:pPr>
              <w:spacing w:after="0"/>
              <w:rPr>
                <w:sz w:val="19"/>
                <w:szCs w:val="19"/>
                <w:color w:val="auto"/>
              </w:rPr>
            </w:pPr>
          </w:p>
        </w:tc>
      </w:tr>
      <w:tr>
        <w:trPr>
          <w:trHeight w:val="225"/>
        </w:trPr>
        <w:tc>
          <w:tcPr>
            <w:tcW w:w="4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5"/>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 from discontinued operations</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(241)</w:t>
            </w: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(7,421)</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(6,294)</w:t>
            </w:r>
          </w:p>
        </w:tc>
      </w:tr>
      <w:tr>
        <w:trPr>
          <w:trHeight w:val="225"/>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assets held for sale</w:t>
            </w:r>
          </w:p>
        </w:tc>
        <w:tc>
          <w:tcPr>
            <w:tcW w:w="3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20" w:type="dxa"/>
            <w:vAlign w:val="bottom"/>
            <w:shd w:val="clear" w:color="auto" w:fill="CFF0FC"/>
          </w:tcPr>
          <w:p>
            <w:pPr>
              <w:spacing w:after="0"/>
              <w:rPr>
                <w:sz w:val="19"/>
                <w:szCs w:val="19"/>
                <w:color w:val="auto"/>
              </w:rPr>
            </w:pPr>
          </w:p>
        </w:tc>
      </w:tr>
      <w:tr>
        <w:trPr>
          <w:trHeight w:val="218"/>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3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2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The major classes of assets and liabilities of businesses reported as discontinued operations are shown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gridSpan w:val="2"/>
            <w:vMerge w:val="restart"/>
          </w:tcPr>
          <w:p>
            <w:pPr>
              <w:ind w:left="2180"/>
              <w:spacing w:after="0"/>
              <w:rPr>
                <w:sz w:val="20"/>
                <w:szCs w:val="20"/>
                <w:color w:val="auto"/>
              </w:rPr>
            </w:pPr>
            <w:r>
              <w:rPr>
                <w:rFonts w:ascii="Times New Roman" w:cs="Times New Roman" w:eastAsia="Times New Roman" w:hAnsi="Times New Roman"/>
                <w:sz w:val="18"/>
                <w:szCs w:val="18"/>
                <w:color w:val="auto"/>
              </w:rPr>
              <w:t>Assets:</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30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18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receivable—net</w:t>
            </w:r>
          </w:p>
        </w:tc>
        <w:tc>
          <w:tcPr>
            <w:tcW w:w="1600" w:type="dxa"/>
            <w:vAlign w:val="bottom"/>
            <w:gridSpan w:val="2"/>
            <w:shd w:val="clear" w:color="auto" w:fill="CFF0FC"/>
          </w:tcPr>
          <w:p>
            <w:pPr>
              <w:jc w:val="right"/>
              <w:ind w:right="237"/>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13,943</w:t>
            </w:r>
          </w:p>
        </w:tc>
        <w:tc>
          <w:tcPr>
            <w:tcW w:w="120" w:type="dxa"/>
            <w:vAlign w:val="bottom"/>
            <w:shd w:val="clear" w:color="auto" w:fill="CFF0FC"/>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8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w:t>
            </w: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8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shd w:val="clear" w:color="auto" w:fill="CFF0FC"/>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180" w:type="dxa"/>
            <w:vAlign w:val="bottom"/>
          </w:tcPr>
          <w:p>
            <w:pPr>
              <w:spacing w:after="0"/>
              <w:rPr>
                <w:sz w:val="22"/>
                <w:szCs w:val="22"/>
                <w:color w:val="auto"/>
              </w:rPr>
            </w:pPr>
          </w:p>
        </w:tc>
        <w:tc>
          <w:tcPr>
            <w:tcW w:w="31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Assets held for sale</w:t>
            </w:r>
          </w:p>
        </w:tc>
        <w:tc>
          <w:tcPr>
            <w:tcW w:w="120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24,779</w:t>
            </w:r>
          </w:p>
        </w:tc>
        <w:tc>
          <w:tcPr>
            <w:tcW w:w="120" w:type="dxa"/>
            <w:vAlign w:val="bottom"/>
            <w:tcBorders>
              <w:bottom w:val="single" w:sz="8" w:color="CFF0FC"/>
            </w:tcBorders>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180" w:type="dxa"/>
            <w:vAlign w:val="bottom"/>
            <w:vMerge w:val="restart"/>
          </w:tcPr>
          <w:p>
            <w:pPr>
              <w:spacing w:after="0"/>
              <w:rPr>
                <w:sz w:val="17"/>
                <w:szCs w:val="17"/>
                <w:color w:val="auto"/>
              </w:rPr>
            </w:pPr>
          </w:p>
        </w:tc>
        <w:tc>
          <w:tcPr>
            <w:tcW w:w="3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180" w:type="dxa"/>
            <w:vAlign w:val="bottom"/>
            <w:vMerge w:val="continue"/>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8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8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8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shd w:val="clear" w:color="auto" w:fill="CFF0FC"/>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8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8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 for loss on disposal</w:t>
            </w:r>
          </w:p>
        </w:tc>
        <w:tc>
          <w:tcPr>
            <w:tcW w:w="1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(14,110)</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180" w:type="dxa"/>
            <w:vAlign w:val="bottom"/>
          </w:tcPr>
          <w:p>
            <w:pPr>
              <w:spacing w:after="0"/>
              <w:rPr>
                <w:sz w:val="18"/>
                <w:szCs w:val="18"/>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Assets held for sale—noncurrent</w:t>
            </w:r>
          </w:p>
        </w:tc>
        <w:tc>
          <w:tcPr>
            <w:tcW w:w="12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ind w:left="2180"/>
              <w:spacing w:after="0"/>
              <w:rPr>
                <w:sz w:val="20"/>
                <w:szCs w:val="20"/>
                <w:color w:val="auto"/>
              </w:rPr>
            </w:pPr>
            <w:r>
              <w:rPr>
                <w:rFonts w:ascii="Times New Roman" w:cs="Times New Roman" w:eastAsia="Times New Roman" w:hAnsi="Times New Roman"/>
                <w:sz w:val="18"/>
                <w:szCs w:val="18"/>
                <w:color w:val="auto"/>
              </w:rPr>
              <w:t>Liabilities:</w:t>
            </w:r>
          </w:p>
        </w:tc>
        <w:tc>
          <w:tcPr>
            <w:tcW w:w="1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530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30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Accounts payable</w:t>
            </w:r>
          </w:p>
        </w:tc>
        <w:tc>
          <w:tcPr>
            <w:tcW w:w="1600" w:type="dxa"/>
            <w:vAlign w:val="bottom"/>
            <w:gridSpan w:val="2"/>
          </w:tcPr>
          <w:p>
            <w:pPr>
              <w:jc w:val="right"/>
              <w:ind w:right="237"/>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8,343</w:t>
            </w: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8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20" w:type="dxa"/>
            <w:vAlign w:val="bottom"/>
            <w:shd w:val="clear" w:color="auto" w:fill="CFF0FC"/>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8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8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20" w:type="dxa"/>
            <w:vAlign w:val="bottom"/>
            <w:shd w:val="clear" w:color="auto" w:fill="CFF0FC"/>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180" w:type="dxa"/>
            <w:vAlign w:val="bottom"/>
          </w:tcPr>
          <w:p>
            <w:pPr>
              <w:spacing w:after="0"/>
              <w:rPr>
                <w:sz w:val="22"/>
                <w:szCs w:val="22"/>
                <w:color w:val="auto"/>
              </w:rPr>
            </w:pPr>
          </w:p>
        </w:tc>
        <w:tc>
          <w:tcPr>
            <w:tcW w:w="31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120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13,940</w:t>
            </w:r>
          </w:p>
        </w:tc>
        <w:tc>
          <w:tcPr>
            <w:tcW w:w="120" w:type="dxa"/>
            <w:vAlign w:val="bottom"/>
            <w:tcBorders>
              <w:bottom w:val="single" w:sz="8" w:color="CFF0FC"/>
            </w:tcBorders>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180" w:type="dxa"/>
            <w:vAlign w:val="bottom"/>
            <w:vMerge w:val="restart"/>
          </w:tcPr>
          <w:p>
            <w:pPr>
              <w:spacing w:after="0"/>
              <w:rPr>
                <w:sz w:val="17"/>
                <w:szCs w:val="17"/>
                <w:color w:val="auto"/>
              </w:rPr>
            </w:pPr>
          </w:p>
        </w:tc>
        <w:tc>
          <w:tcPr>
            <w:tcW w:w="3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180" w:type="dxa"/>
            <w:vAlign w:val="bottom"/>
            <w:vMerge w:val="continue"/>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8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liabilities—noncurrent</w:t>
            </w:r>
          </w:p>
        </w:tc>
        <w:tc>
          <w:tcPr>
            <w:tcW w:w="1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180" w:type="dxa"/>
            <w:vAlign w:val="bottom"/>
          </w:tcPr>
          <w:p>
            <w:pPr>
              <w:spacing w:after="0"/>
              <w:rPr>
                <w:sz w:val="18"/>
                <w:szCs w:val="18"/>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Liabilities held for sale—noncurrent</w:t>
            </w:r>
          </w:p>
        </w:tc>
        <w:tc>
          <w:tcPr>
            <w:tcW w:w="12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0" w:type="dxa"/>
            <w:vAlign w:val="bottom"/>
            <w:vMerge w:val="restart"/>
          </w:tcPr>
          <w:p>
            <w:pPr>
              <w:jc w:val="right"/>
              <w:ind w:right="612"/>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21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180" w:type="dxa"/>
            <w:vAlign w:val="bottom"/>
            <w:tcBorders>
              <w:bottom w:val="single" w:sz="8" w:color="9A9A9A"/>
            </w:tcBorders>
          </w:tcPr>
          <w:p>
            <w:pPr>
              <w:spacing w:after="0"/>
              <w:rPr>
                <w:sz w:val="9"/>
                <w:szCs w:val="9"/>
                <w:color w:val="auto"/>
              </w:rPr>
            </w:pPr>
          </w:p>
        </w:tc>
        <w:tc>
          <w:tcPr>
            <w:tcW w:w="31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0" w:name="page21"/>
    <w:bookmarkEnd w:id="20"/>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11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w:t>
      </w:r>
    </w:p>
    <w:p>
      <w:pPr>
        <w:spacing w:after="0" w:line="189"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2018, and in other securities filings by Great Lakes with the SEC.</w:t>
      </w:r>
    </w:p>
    <w:p>
      <w:pPr>
        <w:spacing w:after="0" w:line="186"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7"/>
          <w:szCs w:val="17"/>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1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Company is the largest provider of dredging services in the United States. In addition, the Company is the only U.S. dredging service provider with significant international operations. The mobility of the Company’s fleet enables the Company to move equipment in response to changes in demand for dredging services.</w:t>
      </w:r>
    </w:p>
    <w:p>
      <w:pPr>
        <w:spacing w:after="0" w:line="18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Dredging generally involves the enhancement or preservation of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(“bid market”). The Company experienced an average combined bid market share in the U.S. of 42% over the prior three years, including 62%, 50%, 18% and 33% of the domestic capital, coastal protection, maintenance and rivers &amp; lakes sectors, respectively.</w:t>
      </w:r>
    </w:p>
    <w:p>
      <w:pPr>
        <w:spacing w:after="0" w:line="18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Company’s largest domestic dredging customer is the U.S. Army Corps of Engineers (the “Corps”), which has responsibility for federally funded projects related to navigation and flood control of U.S. waterways. In the first nine months of 2019, the Company’s dredging revenues earned from contracts with federal government agencies, including the Corps as well as other federal entities such as the U.S. Coast Guard and the U.S. Navy were approximately 79% of dredging revenues, above the Company’s prior three year average of 68%.</w:t>
      </w:r>
    </w:p>
    <w:p>
      <w:pPr>
        <w:spacing w:after="0" w:line="184"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During the second quarter of 2019, the Company entered into an agreement and completed the sale of its historical environmental &amp; infrastructure business. The historical environmental &amp; infrastructure segment has been retrospectively presented as discontinued operations. Refer to Note 11, Business dispositions, to our condensed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one operating segment which is also the Company’s one reportable segment and reporting unit.</w:t>
      </w:r>
    </w:p>
    <w:p>
      <w:pPr>
        <w:spacing w:after="0" w:line="21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The Company’s vessels are subject to periodic dry dock inspections to verify that the vessels have been maintained in accordance with the rules of the U.S Coast Guard and the American Bureau of Shipping (“ABS”) and that recommended repairs have been satisfactorily completed. Dry dock frequency is a statutory requirement mandated by the U.S Coast Guard and the ABS. The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sectPr>
      </w:pPr>
    </w:p>
    <w:bookmarkStart w:id="21" w:name="page22"/>
    <w:bookmarkEnd w:id="21"/>
    <w:p>
      <w:pPr>
        <w:spacing w:after="0" w:line="257" w:lineRule="auto"/>
        <w:rPr>
          <w:sz w:val="20"/>
          <w:szCs w:val="20"/>
          <w:color w:val="auto"/>
        </w:rPr>
      </w:pPr>
      <w:r>
        <w:rPr>
          <w:rFonts w:ascii="Times New Roman" w:cs="Times New Roman" w:eastAsia="Times New Roman" w:hAnsi="Times New Roman"/>
          <w:sz w:val="18"/>
          <w:szCs w:val="18"/>
          <w:color w:val="auto"/>
        </w:rPr>
        <w:t>Company’s vessels dry-dock every two to three years or every five years, depending on the vessel type and also on an as-needed basis for occasional unscheduled repairs. The planned dry docking of certain vessels began during the second quarter of 2019 and continued to have an impact on the Company’s results in the third quarter of 2019.</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4"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8"/>
          <w:szCs w:val="18"/>
          <w:color w:val="auto"/>
        </w:rPr>
        <w:t>The following tables set forth the components of net income and Adjusted EBITDA from continuing operations, as defined below, as a percentage of contract revenues for the three and nine months ended September 30, 2019 and 2018:</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12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2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12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2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52"/>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800" w:type="dxa"/>
            <w:vAlign w:val="bottom"/>
            <w:tcBorders>
              <w:top w:val="single" w:sz="8" w:color="auto"/>
              <w:bottom w:val="single" w:sz="8" w:color="auto"/>
            </w:tcBorders>
          </w:tcPr>
          <w:p>
            <w:pPr>
              <w:jc w:val="right"/>
              <w:ind w:right="175"/>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73"/>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ind w:right="175"/>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73"/>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840" w:type="dxa"/>
            <w:vAlign w:val="bottom"/>
            <w:gridSpan w:val="2"/>
            <w:vMerge w:val="continue"/>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(81.2)</w:t>
            </w: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(77.8)</w:t>
            </w: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(78.2)</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assets—net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tcBorders>
              <w:top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20" w:type="dxa"/>
            <w:vAlign w:val="bottom"/>
          </w:tcPr>
          <w:p>
            <w:pPr>
              <w:ind w:left="220"/>
              <w:spacing w:after="0" w:line="200" w:lineRule="exact"/>
              <w:rPr>
                <w:sz w:val="20"/>
                <w:szCs w:val="20"/>
                <w:color w:val="auto"/>
              </w:rPr>
            </w:pPr>
            <w:r>
              <w:rPr>
                <w:rFonts w:ascii="Times New Roman" w:cs="Times New Roman" w:eastAsia="Times New Roman" w:hAnsi="Times New Roman"/>
                <w:sz w:val="18"/>
                <w:szCs w:val="18"/>
                <w:color w:val="auto"/>
              </w:rPr>
              <w:t>Income from continuing operations before</w:t>
            </w:r>
          </w:p>
        </w:tc>
        <w:tc>
          <w:tcPr>
            <w:tcW w:w="8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Loss from discontinued operations, net of income</w:t>
            </w: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taxes</w:t>
            </w: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(0.5)</w:t>
            </w: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vMerge w:val="restart"/>
          </w:tcPr>
          <w:p>
            <w:pPr>
              <w:spacing w:after="0"/>
              <w:rPr>
                <w:sz w:val="9"/>
                <w:szCs w:val="9"/>
                <w:color w:val="auto"/>
              </w:rPr>
            </w:pPr>
          </w:p>
        </w:tc>
        <w:tc>
          <w:tcPr>
            <w:tcW w:w="3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19.6%</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Adjusted EBITDA from continuing operations, as provided herein, represents net income (loss), adjusted for net interest expense, income taxes, depreciation and amortization expense, debt extinguishment,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from continuing operations as an additional measure by which to evaluate the Company’s operating trends. The Company believes that Adjusted EBITDA from continuing operations is a measure frequently used to evaluate performance of companies with substantial leverage and that the Company’s primary stakeholders (i.e., its stockholders, bondholders and banks) use Adjusted EBITDA from continuing operations to evaluate the Company’s period to period performance. Additionally, management believes that Adjusted EBITDA from continuing operations provides a transparent measure of the Company’s recurring operating performance and allows management and investors to readily view operating trends, perform analytical comparisons and identify strategies to improve operating performance. For this reason, the Company uses a measure based upon Adjusted EBITDA from continuing operations to assess performance for purposes of determining compensation under the Company’s incentive plan. Adjusted EBITDA from continuing operations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from continuing operations,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from continuing operations only as a supplement. The following is a reconciliation of Adjusted EBITDA from continuing operations to net income (loss):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2" w:name="page23"/>
    <w:bookmarkEnd w:id="22"/>
    <w:tbl>
      <w:tblPr>
        <w:tblLayout w:type="fixed"/>
        <w:tblInd w:w="58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7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6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11,702</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33,366</w:t>
            </w:r>
          </w:p>
        </w:tc>
        <w:tc>
          <w:tcPr>
            <w:tcW w:w="2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0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(7,490)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(4,647)</w:t>
            </w:r>
          </w:p>
        </w:tc>
        <w:tc>
          <w:tcPr>
            <w:tcW w:w="0" w:type="dxa"/>
            <w:vAlign w:val="bottom"/>
          </w:tcPr>
          <w:p>
            <w:pPr>
              <w:spacing w:after="0"/>
              <w:rPr>
                <w:sz w:val="1"/>
                <w:szCs w:val="1"/>
                <w:color w:val="auto"/>
              </w:rPr>
            </w:pPr>
          </w:p>
        </w:tc>
      </w:tr>
      <w:tr>
        <w:trPr>
          <w:trHeight w:val="218"/>
        </w:trPr>
        <w:tc>
          <w:tcPr>
            <w:tcW w:w="4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7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8,811</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40,856</w:t>
            </w: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expense—net</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provision</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720" w:type="dxa"/>
            <w:vAlign w:val="bottom"/>
          </w:tcPr>
          <w:p>
            <w:pPr>
              <w:spacing w:after="0"/>
              <w:rPr>
                <w:sz w:val="18"/>
                <w:szCs w:val="18"/>
                <w:color w:val="auto"/>
              </w:rPr>
            </w:pPr>
          </w:p>
        </w:tc>
        <w:tc>
          <w:tcPr>
            <w:tcW w:w="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102,982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revenues by type of work, for the periods indicated, were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(in thousands)</w:t>
            </w:r>
          </w:p>
        </w:tc>
        <w:tc>
          <w:tcPr>
            <w:tcW w:w="1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080" w:type="dxa"/>
            <w:vAlign w:val="bottom"/>
            <w:tcBorders>
              <w:bottom w:val="single" w:sz="8" w:color="CFF0FC"/>
            </w:tcBorders>
            <w:vMerge w:val="continue"/>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4"/>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4"/>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ind w:left="200"/>
              <w:spacing w:after="0" w:line="152" w:lineRule="exact"/>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4"/>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4"/>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ind w:left="220"/>
              <w:spacing w:after="0" w:line="15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Dredging:</w:t>
            </w:r>
          </w:p>
        </w:tc>
        <w:tc>
          <w:tcPr>
            <w:tcW w:w="1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Capital—U.S.</w:t>
            </w:r>
          </w:p>
        </w:tc>
        <w:tc>
          <w:tcPr>
            <w:tcW w:w="17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62,518</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105,934</w:t>
            </w:r>
          </w:p>
        </w:tc>
        <w:tc>
          <w:tcPr>
            <w:tcW w:w="2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214,668</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252,537</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5"/>
        </w:trPr>
        <w:tc>
          <w:tcPr>
            <w:tcW w:w="3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Capital—foreign</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20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148.8%</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39,523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13,847</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185.4%</w:t>
            </w:r>
          </w:p>
        </w:tc>
        <w:tc>
          <w:tcPr>
            <w:tcW w:w="0" w:type="dxa"/>
            <w:vAlign w:val="bottom"/>
          </w:tcPr>
          <w:p>
            <w:pPr>
              <w:spacing w:after="0"/>
              <w:rPr>
                <w:sz w:val="1"/>
                <w:szCs w:val="1"/>
                <w:color w:val="auto"/>
              </w:rPr>
            </w:pPr>
          </w:p>
        </w:tc>
      </w:tr>
      <w:tr>
        <w:trPr>
          <w:trHeight w:val="225"/>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Coastal protection</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42,691</w:t>
            </w:r>
          </w:p>
        </w:tc>
        <w:tc>
          <w:tcPr>
            <w:tcW w:w="2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133,897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122,673</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5"/>
        </w:trPr>
        <w:tc>
          <w:tcPr>
            <w:tcW w:w="3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Maintenance</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20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159.7%</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89,911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38,461</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25"/>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Rivers &amp; lakes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13,420</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68.9%</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20,046</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245.3%</w:t>
            </w:r>
          </w:p>
        </w:tc>
        <w:tc>
          <w:tcPr>
            <w:tcW w:w="0" w:type="dxa"/>
            <w:vAlign w:val="bottom"/>
          </w:tcPr>
          <w:p>
            <w:pPr>
              <w:spacing w:after="0"/>
              <w:rPr>
                <w:sz w:val="1"/>
                <w:szCs w:val="1"/>
                <w:color w:val="auto"/>
              </w:rPr>
            </w:pPr>
          </w:p>
        </w:tc>
      </w:tr>
      <w:tr>
        <w:trPr>
          <w:trHeight w:val="20"/>
        </w:trPr>
        <w:tc>
          <w:tcPr>
            <w:tcW w:w="30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56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080" w:type="dxa"/>
            <w:vAlign w:val="bottom"/>
            <w:vMerge w:val="continue"/>
            <w:shd w:val="clear" w:color="auto" w:fill="CFF0FC"/>
          </w:tcPr>
          <w:p>
            <w:pPr>
              <w:spacing w:after="0"/>
              <w:rPr>
                <w:sz w:val="18"/>
                <w:szCs w:val="18"/>
                <w:color w:val="auto"/>
              </w:rPr>
            </w:pPr>
          </w:p>
        </w:tc>
        <w:tc>
          <w:tcPr>
            <w:tcW w:w="15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169,775</w:t>
            </w:r>
          </w:p>
        </w:tc>
        <w:tc>
          <w:tcPr>
            <w:tcW w:w="22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178,671</w:t>
            </w:r>
          </w:p>
        </w:tc>
        <w:tc>
          <w:tcPr>
            <w:tcW w:w="20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547,223</w:t>
            </w:r>
          </w:p>
        </w:tc>
        <w:tc>
          <w:tcPr>
            <w:tcW w:w="2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447,564</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Total revenue was $169.8 million for the three months ended September 30, 2019, down $8.9 million, or 5%, from $178.7 million for the same period in the prior year. For the three months ended September 30, 2019, the Company experienced a decrease in domestic capital and coastal protection revenues. Additionally, increased dry dock days contributed to the revenue decrease in the current quarter. This decrease was partially offset by an increase in maintenance, rivers &amp; lakes and foreign revenues as compared to the same period in the prior year. For the nine months ended September 30, 2019, total revenue was $547.2 million, up from revenue of $447.6 million for the same period in the prior year, representing an increase of $99.6 million or 22%. For the nine months ended September 30, 2019, the Company experienced increases in revenue from all types of work except domestic capital revenue when compared to the same period in the prior year.</w:t>
      </w:r>
    </w:p>
    <w:p>
      <w:pPr>
        <w:spacing w:after="0" w:line="175"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For the quarter ended September 30, 2019, domestic capital dredging revenue was $62.5 million, down $43.4 million, or 41%, compared to $105.9 million for the same quarter in 2018. For the three months ended September 30, 2019, the change in domestic capital dredging revenue was primarily driven by a greater amount of revenue earned during the same period in the prior year on coastal restoration projects, the deepening projects in Charleston and a deepening project on the Delaware River. This decrease was partially offset by a greater amount of revenue earned on deepening projects in Corpus Christi and Jacksonville during the current year period. For the nine months ended September 30, 2019, domestic capital dredging revenue was $214.7 million compared to $252.5 million for the same period in 2018, representing a decrease of $37.8 million, or 15%. For the nine months ended September 30, 2019, the lower domestic capital dredging revenue was primarily driven by a greater amount of revenue earned during the same period in the prior year on coastal restoration projects, deepening projects in Charleston and other capital dredging projects in Georgia and Pennsylvania. This decrease was offset by a greater amount of revenue earned from deepening projects in Corpus Christi, Tampa and Jacksonville as well as a greater amount of revenue earned on a deepening project on the Delaware River during the current year as compared to the same period in the prior year.</w:t>
      </w:r>
    </w:p>
    <w:p>
      <w:pPr>
        <w:spacing w:after="0" w:line="191"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Foreign capital projects typically involve land reclamations, channel deepening and port infrastructure development. In the third quarter of 2019, foreign capital revenue was $12.6 million, up $7.6 million, as compared to $5.0 million in the same quarter in the prior year. Foreign capital revenue for the nine months ended September 30, 2019 ended was $39.5 million which is $25.7 million, or 186%, higher than revenue of $13.8 million for the same period of the prior year. The increase in revenue for the three and nine months ended September 30, 2019 was driven by revenue earned on a project in Bahrain that commenced during the first quarter of 2019. During the first quarter of 2018, the Company substantially completed the closeout of its Brazil operations.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color w:val="auto"/>
        </w:rPr>
        <w:t>Coastal protection projects involve moving sand from the ocean floor to shoreline locations where erosion threatens shoreline assets. Coastal protection revenue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quarter ended September 30, 2019 was $42.0 million, a decrease of $0.7 million, or 2%, compared to $42.7 million in the prior year period. The decrease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coastal protection revenue for the three months ended September 30, 2019 was primarily driven by a greater amount of revenue earned during the same period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prior year on projects in South Carolina, Delaware and New York. This decrease was mostly offset by an increase in revenue on projects in North Carolina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Virginia in the current period. Coastal protection revenue for the nine months ended September 30, 2019 was $133.9 million representing an increase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$11.2 million or 9%, from $122.7 million for the nine months ended September 30, 2019. The increase in coastal protection revenue for the nine months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2019 was mostly attributable to a greater amount of revenue earned on projects in South Carolina, New York and Virginia in the current year as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compared to the same periods in the prior year. This increase was partially offset by revenue earned on a project in Delaware during the same periods in the prior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year that did not repeat during the current year periods. Additionally, revenue for the nine months ended September 30, 2018 included a project in Florida that did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repeat during the current year period as well as a greater amount of revenue earned on a project in South Carolina.</w:t>
      </w:r>
    </w:p>
    <w:p>
      <w:pPr>
        <w:spacing w:after="0" w:line="198"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Maintenance revenue for the third quarter of 2019 was $30.1 million, up $18.5 million, or 159%, from $11.6 million in the third quarter of 2018. The increase in maintenance dredging revenue for the three months ended September 30, 2019 was mostly attributable to revenue earned on projects in South Carolina, Texas and North Carolina. This increase was partially offset by revenue earned on projects in Texas and Virginia during three months ended September 30, 2018 that did not repeat during the current year. Maintenance revenue for the nine months of 2019 was $89.9 million, an increase of $51.4 million, or 134%, compared to $38.5 million for the comparable period in the prior year. The increase in maintenance dredging revenue for the nine months ended September 30, 2019 was mostly attributable to revenue earned on projects in Georgia, Florida and North Carolina. This increase was partially offset by revenue earned on a project in Virginia that did not repeat during the current year.</w:t>
      </w:r>
    </w:p>
    <w:p>
      <w:pPr>
        <w:spacing w:after="0" w:line="19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Rivers &amp; lakes dredging and related operations typically consist of lake and river dredging, inland levee and construction dredging, environmental restoration and habitat improvement and other marine construction projects. During the third quarter of 2019 rivers &amp; lakes revenue was $22.7 million, an increase of $9.3 million, or 69% from $13.4 million during the same period of 2018. The increase in rivers &amp; lakes revenue for the three months ended September 30, 2019 was mostly attributable to revenue earned on a large flood mitigation project in Texas as a result of Hurricane Harvey, as well as revenue earned on a project in Iowa during the current year periods. This increase was slightly offset by a greater amount of revenue earned on a lake project in Illinois in the same period of the prior year. Rivers &amp; lakes revenue for the nine months ended September 30, 2019 was $69.2 million, up $49.2 million, from $20.0 million for the same period in the prior year. The increase in rivers &amp; lakes revenue for the nine months ended September 30, 2019 was mostly attributable to revenue earned on a large flood mitigation project in Texas as a result of Hurricane Harvey, as well as revenue earned on projects in Louisiana and Iowa during the current year period. This increase was slightly offset by a greater amount of revenue earned on a lake project in Illinois and a project in New Jersey in the same period of the prior year.</w:t>
      </w:r>
    </w:p>
    <w:p>
      <w:pPr>
        <w:spacing w:after="0" w:line="179"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Consolidated gross profit for the quarter ended September 30, 2019 was $31.8 million, down $7.8 million, or 20% compared to $39.6 million in the same quarter of 2018. Gross profit margin for the three months ended September 30, 2019 was 18.8% compared to 22.2% in the third quarter of 2018. When compared to the prior year period, the lower gross profit experienced for the three months ended September 30, 2019 was driven by an increase in vessel dry dockings, which increases plant expenses and reduces revenue due to lower equipment utilization. Consolidated gross profit for the nine months ended September 30, 2019 was $119.2 million, up $43.4 million, or 57%, compared to $75.8 million in the same period of the prior year. Gross profit margin for the nine months ended September 30, 2019 was up to 21.8% from 16.9% in the nine months ended September 30, 2018. The higher gross profit experienced for the nine months ended September 30, 2019 was driven by strong performance on the Company’s domestic capital, maintenance, coastal protection and rivers &amp; lakes projects when compared to the prior year period. The three and nine months ended September 30, 2018 included $2.1 million and $7.8 million, respectively, of restructuring charges related to asset retirements and the closeout of the Company’s Brazil operations.</w:t>
      </w:r>
    </w:p>
    <w:p>
      <w:pPr>
        <w:spacing w:after="0" w:line="18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During the three months ended September 30, 2019, general and administrative expenses were $13.5 million, down $0.9 million, compared to $14.3 million in the same quarter of 2018. The decrease in general and administrative expenses for the three months ended September 30, 2019 was driven by a reduction of rent and office expense of $0.9 million and bad debt expense of $0.2 million from the prior year that did not repeat in the current period. This decrease was mostly offset by an increase in payroll and benefits expense of $0.2 million. During the nine months ended September 30, 2019, general and administrative expenses were $42.9 million, up $3.2 million, compared to $39.7 million for the same period in the prior year. The increase in general and administrative expenses for the nine months ended September 30, 3019 was driven by a $4.6 million increase in payroll and benefits expense mostly related to incentive compensation as a result of improved profitability.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4" w:name="page25"/>
    <w:bookmarkEnd w:id="24"/>
    <w:p>
      <w:pPr>
        <w:ind w:right="140"/>
        <w:spacing w:after="0" w:line="267" w:lineRule="auto"/>
        <w:rPr>
          <w:sz w:val="20"/>
          <w:szCs w:val="20"/>
          <w:color w:val="auto"/>
        </w:rPr>
      </w:pPr>
      <w:r>
        <w:rPr>
          <w:rFonts w:ascii="Times New Roman" w:cs="Times New Roman" w:eastAsia="Times New Roman" w:hAnsi="Times New Roman"/>
          <w:sz w:val="17"/>
          <w:szCs w:val="17"/>
          <w:color w:val="auto"/>
        </w:rPr>
        <w:t>Operating income for the third quarter of 2019 was $18.4 million, down $5.3 million compared to operating income of $23.7 million for the same quarter in 2018. The decrease in operating income for the third quarter of 2019 was a result of the increase in vessel dry dockings compared to the same period in the prior year, as described above. This decrease in operating income was offset by a $0.9 million decrease in general and administrative expenses, as noted above, and a $1.5 million decrease in gain on sale of assets. Operating income for the nine months ended September 30, 2019 was $75.9 million, up $40.0 million from operating income of $35.9 million in the same prior year period. The change in operating income for the nine months ended September 30, 2019 was a result of higher gross profit partially offset by higher general and administrative expense compared to the same period in the prior year, as described above.</w:t>
      </w:r>
    </w:p>
    <w:p>
      <w:pPr>
        <w:spacing w:after="0" w:line="175"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color w:val="auto"/>
        </w:rPr>
        <w:t>For the three months ended September 30, 2019, net interest expense was $6.3 million, down $1.8 million, or 20%, from $8.1 million for the same period in the prior year. Net interest expense for the nine months ended September 30, 2019 was $21.1 million, down $4.6 million, or 18%, from interest expense of $25.7 million for the same period in the prior year. The change in interest expense for the three and nine months ended September 30, 2019 was attributable to a decrease of $0.6 million and $3.3 million, respectively, in interest expense associated with the Company’s senior secured revolving credit facility in addition to higher interest income during the current year periods when compared to the same periods in the prior year.</w:t>
      </w:r>
    </w:p>
    <w:p>
      <w:pPr>
        <w:spacing w:after="0" w:line="186"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8"/>
          <w:szCs w:val="18"/>
          <w:color w:val="auto"/>
        </w:rPr>
        <w:t>Income tax provision for the three months ended September 30, 2019 was $3.2 million compared to an income tax provision of $3.9 million for the same period in the prior year. For the nine months ended September 30, 2019 and 2018, the Company had an income tax provision of $14.3 million and an income tax benefit of $2.2 million, respectively. The effective tax rate for the nine months ended September 30, 2019 was 25.9%, mostly in line with the effective tax rate of 26.6% for the same period of 2018.</w:t>
      </w:r>
    </w:p>
    <w:p>
      <w:pPr>
        <w:spacing w:after="0" w:line="184"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8"/>
          <w:szCs w:val="18"/>
          <w:color w:val="auto"/>
        </w:rPr>
        <w:t>Net income from continuing operations for the quarter ended September 30, 2019 was $8.8 million, down $3.1 million from $11.9 million in the same quarter in the prior year. Diluted earnings per share attributable to continuing operations was $0.14 for the three months ended September 30, 2019, compared to $0.19 for the three months ended September 30, 2018. Net income from continuing operations for the nine months ended September 30, 2019 was $40.9 million, up $34.8 million from $6.1 million for the same period in the prior year. Diluted earnings per share attributable to continuing operations were $0.63 and $0.10 for the nine months ended September 30, 2019 and 2018, respectively. The increase in net income from continuing operations for the nine months ended September 30, 2019 was driven by the increase in operating income and decrease in interest expense during the current year, as described above. Further, the prior year was negatively impacted by a $2.0 million charge to other income (expense) for the reversal of a cumulative translation adjustment related to the closeout of the Company’s Brazil operations during the nine months ended September 30, 2018. These items were partially offset by an increase in the income tax provision during the current year period, as noted above.</w:t>
      </w:r>
    </w:p>
    <w:p>
      <w:pPr>
        <w:spacing w:after="0" w:line="189"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Adjusted EBITDA from continuing operations (as defined on page 22) for the quarter ended September 30, 2019 was $27.1 million, down $8.0 million, or 23%, from $35.1 million in the same quarter in the prior year. The change in Adjusted EBITDA from continuing operations during the third quarter of 2019 was driven by an increase in vessel dry dockings slightly offset by lower general and administrative expenses in the current period, as described above. For the nine months ended September 30, 2019, Adjusted EBITDA from continuing operations was $103.0 million, up $30.9 million, or 43%, from Adjusted EBITDA from continuing operations of $72.1 million for the same prior year period. The change in Adjusted EBITDA from continuing operations during the nine months ended September 30, 2019 was attributable to higher gross profit, excluding depreciation, and a positive change related to the $2.0 million charge to other income (expense), as described above, when compared to the prior year. These positive factors were partially offset by higher general &amp; administrative expenses incurred during the nine months ended September 30, 2019, as described above.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Bidding activity and backlog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type of work, the Company’s backlog as of the dates indicated: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6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Backlog (in thousands)</w:t>
            </w:r>
          </w:p>
        </w:tc>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1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Dredging:</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3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Capital - U.S.</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410,671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447,139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415,291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 foreign</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3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Coastal protection</w:t>
            </w:r>
          </w:p>
        </w:tc>
        <w:tc>
          <w:tcPr>
            <w:tcW w:w="2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126,478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81,068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121,672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Maintenance</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3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Rivers &amp; lakes</w:t>
            </w:r>
          </w:p>
        </w:tc>
        <w:tc>
          <w:tcPr>
            <w:tcW w:w="23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16,153</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49,583</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75,886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 Backlog</w:t>
            </w:r>
          </w:p>
        </w:tc>
        <w:tc>
          <w:tcPr>
            <w:tcW w:w="2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653,733</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707,091</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654,162</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80" w:type="dxa"/>
            <w:vAlign w:val="bottom"/>
            <w:vMerge w:val="restart"/>
          </w:tcPr>
          <w:p>
            <w:pPr>
              <w:jc w:val="right"/>
              <w:ind w:right="65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11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16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25" w:name="page26"/>
    <w:bookmarkEnd w:id="25"/>
    <w:p>
      <w:pPr>
        <w:ind w:right="40"/>
        <w:spacing w:after="0" w:line="247" w:lineRule="auto"/>
        <w:rPr>
          <w:sz w:val="20"/>
          <w:szCs w:val="20"/>
          <w:color w:val="auto"/>
        </w:rPr>
      </w:pPr>
      <w:r>
        <w:rPr>
          <w:rFonts w:ascii="Times New Roman" w:cs="Times New Roman" w:eastAsia="Times New Roman" w:hAnsi="Times New Roman"/>
          <w:sz w:val="18"/>
          <w:szCs w:val="18"/>
          <w:color w:val="auto"/>
        </w:rPr>
        <w:t>The Company’s contract backlog represents its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Also, 88% of the Company’s September 30, 2019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9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domestic dredging bid market for the quarter ended September 30, 2019 was $1,018.0 million, a $128.6 million increase compared to the same period in the prior year. The domestic dredging bid market for the nine months ended September 30, 2019 was $1,471.9 million, a decrease of $109.6 million compared to the nine months ended September 30, 2018. Total domestic dredging bid market for the current year period included awards for a coastal protection project in New York, two coastal protection projects in Virginia, a maintenance project in Texas, and maintenance projects on the Mississippi River. The bid market for the nine months ended September 30, 2019 decreased compared to the prior year due to a greater number of larger capital projects let to bid in the prior year, which included the Boston Harbor deepening project, and rivers &amp; lakes projects. This was partially offset by higher maintenance projects awarded in the nine months ended September 30, 2019. For the contracts awarded in the current year, the Company won 47%, or $244.9 million, of the coastal protection projects, 16%, or $126.5 million, of the maintenance projects, 48%, or 11.5 million, of rivers &amp; lakes projects and no domestic capital projects through September 30, 2019. The Company won 26% of the overall domestic bid market for the nine months ended September 30, 2019, which is below the Company’s prior three year average of 42%. Variability in contract wins from quarter to quarter is not unusual and one quarter’s win rate is generally not indicative of the win rate the Company is likely to achieve for a full year.</w:t>
      </w:r>
    </w:p>
    <w:p>
      <w:pPr>
        <w:spacing w:after="0" w:line="19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Company’s contracted dredging backlog was $653.7 million at September 30, 2019 compared to $707.1 million of backlog at December 31, 2018. These amounts do not reflect approximately $165.4 million of domestic low bids pending formal award and additional phases (“options”) pending on projects currently in backlog at September 30, 2019. At December 31, 2018 the amount of domestic low bids and options pending award was $115.6 million.</w:t>
      </w:r>
    </w:p>
    <w:p>
      <w:pPr>
        <w:spacing w:after="0" w:line="18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Domestic capital dredging backlog at September 30, 2019 was $36.5 million lower than at December 31, 2018. For the nine months ended September 30, 2019, the Company continued to earn revenue on a coastal restoration project in Mississippi and deepening projects in Charleston, Tampa, and Jacksonville as well as on a deepening project on the Delaware River which were in backlog at December 31, 2018. The Company expects additional phases of multiple large deepening and other capital projects to bid in the fourth quarter of 2019. The projects coming into the pipeline include additional phases of work in Corpus Christi, new projects in the Ports of Norfolk, Virginia and Freeport, Texas and large coastal restoration projects in Mississippi and Louisiana. Further, several liquefied natural gas petro chemical and crude oil projects are creating the need for port development in support of energy exports. The Company expects several of these private client projects to be bid in 2019 and 2020.</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Foreign capital dredging backlog at September 30, 2019 was $35.2 million lower than at December 31, 2018. During the nine months ended September 30, 2019, the Company continued to earn revenue on a project in the Middle East which was in backlog at December 31, 2018. During 2018, the Company relocated two of its dredges to our domestic fleet from their previous positions in the international market to meet increased demand in the U.S. market.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6" w:name="page27"/>
    <w:bookmarkEnd w:id="26"/>
    <w:p>
      <w:pPr>
        <w:ind w:right="80"/>
        <w:spacing w:after="0" w:line="247" w:lineRule="auto"/>
        <w:rPr>
          <w:sz w:val="20"/>
          <w:szCs w:val="20"/>
          <w:color w:val="auto"/>
        </w:rPr>
      </w:pPr>
      <w:r>
        <w:rPr>
          <w:rFonts w:ascii="Times New Roman" w:cs="Times New Roman" w:eastAsia="Times New Roman" w:hAnsi="Times New Roman"/>
          <w:sz w:val="18"/>
          <w:szCs w:val="18"/>
          <w:color w:val="auto"/>
        </w:rPr>
        <w:t>Coastal protection dredging backlog at September 30, 2019 was $45.4 million higher than at December 31, 2018. In the nine months ended September 30, 2019, the Company was awarded a $20 million coastal protection project in North Carolina and two coastal protection projects, $23 and $20 million each respectively, in Virginia. During the nine months ended September 30, 2019, the Company continued to earn revenue on coastal protection projects in New York, North Carolina and South Carolina which were in backlog at December 31, 2018. Coastal protection and storm impacts continue to provide the major impetus for coastal project investment at federal and state levels. With continued funding available for projects in the Northeast from the Superstorm Sandy supplemental appropriations, the Company expects to continue to see an increase in projects let for bid in the coastal protection market. As a result of the extreme storm systems in prior years involving Hurricanes Harvey, Irma, and Maria, the U.S. Senate Committee on Appropriations passed supplemental appropriations for disaster relief and recovery which includes $17.4 billion for the Corps to fund projects that will reduce the risk of future damage from flood and storm events. The Corps is beginning to provide visibility on its plans for this money, and it is expected that approximately $1.8 billion will be allocated to dredging-related work. Most of this work is anticipated to be coastal protection related, but some funding may be provided for channel maintenance. During the fourth quarter of 2018, Congress passed an additional $1.7 billion of supplemental appropriations for disaster relief funding as a result of Hurricane Florence and Hurricane Michael.</w:t>
      </w:r>
    </w:p>
    <w:p>
      <w:pPr>
        <w:spacing w:after="0" w:line="19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Maintenance dredging backlog increased $6.3 million from December 31, 2018. Awarded in the nine months ended September 30, 2019 were maintenance projects in Texas, South Carolina and on the Mississippi River. During the nine months ended September 30, 2019, the Company continued to earn revenue on projects in the Georgia, North Carolina and Florida which were in backlog at December 31, 2018. In March 2018, Congress approved and the President signed an omnibus spending bill through fiscal year 2018. The spending bill continues the increases in the budget for the Corps and exceeds the increase in Harbor Maintenance Trust Fund (“HMTF”) spending for maintenance dredging as required by the Water Resources Reform and Development Act of 2014. During the fourth quarter of 2018, the President signed America’s Water Infrastructure Act of 2018/Water Resources Development Act (“WRDA 2018”) into law. Similar to past versions of the bill, WRDA 2018 language calls for full use of the HMTF for its intended purpose of maintaining future access to the waterways and ports that support our nation’s economy. Further, WRDA 2018 ensures that Harbor Maintenance Tax (“HMT”) funding targets will increase by three percent over the prior year, even if the HMT revenue estimates decrease, to continue annual progress towards full use of the HMT by 2025. Through the increased appropriation of HMTF monies, the Company anticipates an increase in harbor projects to be let for bid throughout 2019 and beyond. Congress has improved spending from the HMTF by providing the Corps with record annual budgets including 94% utilization of the HMTF in FY 2018 and 91% proposed in the FY 2019 budget which was above its commitment.</w:t>
      </w:r>
    </w:p>
    <w:p>
      <w:pPr>
        <w:spacing w:after="0" w:line="19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Rivers &amp; lakes backlog at September 30, 2019 was down by $33.4 million from backlog at December 31, 2018. During the nine months ended September 30, 2019, the Company was awarded new work in Texas and Nebraska. For the nine months ended September 30, 2019, the Company continued to earn revenue on a large project in Texas and a project in Louisiana which were in backlog at December 31, 2018.</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4"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color w:val="auto"/>
        </w:rPr>
        <w:t>The Company’s principal sources of liquidity are net cash flows provided by operating activities and proceeds from previous issuances of long-term debt. The Company’s principal uses of cash are to meet debt service requirements, finance capital expenditures, provide working capital and other general corporate purposes.</w:t>
      </w:r>
    </w:p>
    <w:p>
      <w:pPr>
        <w:spacing w:after="0" w:line="18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Company’s cash provided by operating activities of continuing operations for the nine months ended September 30, 2019 and 2018 totaled $182.0 million and $92.4 million, respectively. Normal increases or decreases in the level of working capital relative to the level of operational activity impact cash flow from operating activities. The increase in cash provided by operating activities of continuing operations during the nine months ended September 30, 2019 compared to the same period in the prior year was driven by billings and collections on large projects during the current period as well as a greater investment in working capital during the prior year period. Further, this increase was also driven by an increase of $34.8 million in net income from continuing operations in the current period compared to the same period in the prior year.</w:t>
      </w:r>
    </w:p>
    <w:p>
      <w:pPr>
        <w:spacing w:after="0" w:line="186"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Company’s cash flows used in investing activities for the nine months ended September 30, 2019 and 2018 totaled $32.1 million and $17.6 million, respectively. Investing activities primarily relate to normal course upgrades and capital maintenance of the Company’s dredging fleet. Capital expenditures for the nine months ended September 30, 2019 included the final payment of $10.0 million for the new clamshell dredge. During the nine months ended September 30, 2018, the Company received $4.5 million in cash proceeds from a sale-leaseback of a dredge.</w:t>
      </w:r>
    </w:p>
    <w:p>
      <w:pPr>
        <w:spacing w:after="0" w:line="184"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8"/>
          <w:szCs w:val="18"/>
          <w:color w:val="auto"/>
        </w:rPr>
        <w:t>The Company’s cash flows used in financing activities for the nine months ended September 30, 2019 and 2018 totaled $12.7 million and $64.6 million, respectively. The decrease in cash used in financing activities primarily relates to changes in the net repayments on Company’s revolving credit facility in the current period of $11.5 million compared to $64.1 million in the same period in the prior year.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22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In May 2017, the Company issued $325 million in aggregate principal amount of its 8% Senior Notes due May 15, 2022. Interest on the 8% Senior Notes is payable semi-annually in arrears on May 15 and November 15 of each year, beginning on November 15, 2017. The 8% Senior Notes are senior unsecured obligations of the Company and are guaranteed on a senior unsecured basis by the guarantors and any other subsidiary guarantors that from time to time become parties to the indenture. The terms of the indenture, among other things, limit the ability of the Company and its restricted subsidiaries to (i) pay dividends, or make certain other restricted payments or investments; (ii) incur additional indebtedness and issue disqualified stock; (iii) create liens on their assets; (iv) transfer and sell assets; (v) enter into certain business combinations with third parties or enter into certain other transactions with affiliates; (vi) create restrictions on dividends or other payments by the Company’s restricted subsidiaries; and (vii) create guarantees of indebtedness by restricted subsidiaries. These covenants are subject to a number of important limitations and exceptions that are described in the indenture.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contingencies and liquidity matters</w:t>
      </w:r>
    </w:p>
    <w:p>
      <w:pPr>
        <w:spacing w:after="0" w:line="22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Refer to Note 5, Long-term debt, in the Notes to Condensed Consolidated Financial Statements for discussion of the Company’s Amended Credit Agreement. Additionally, refer to Note 10, Commitments and contingencies, in the Notes to Condensed Consolidated Financial Statements for discussion of the Company’s surety agreements.</w:t>
      </w:r>
    </w:p>
    <w:p>
      <w:pPr>
        <w:spacing w:after="0" w:line="18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Credit Agreement and bonding agreements, depends on its future operating performance and cash flows, which in turn, are subject to prevailing economic conditions and to financial, business and other factors, some of which are beyond the Company’s control.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1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In preparing its consolidated financial statements, the Company follows GAAP, which is described in Note 1, Basis of presentation, to the Company’s December 31, 2018 Consolidated Financial Statements included on Form 10-K.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Except as noted in Note 1, Basis of presentation, of the Company’s financial statements, there have been no material changes in the Company’s critical accounting policies or estimates since December 31, 2018.</w:t>
      </w:r>
    </w:p>
    <w:p>
      <w:pPr>
        <w:spacing w:after="0" w:line="22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2"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8"/>
          <w:szCs w:val="18"/>
          <w:color w:val="auto"/>
        </w:rPr>
        <w:t>The market risk of the Company’s financial instruments as of September 30, 2019 has not materially changed since December 31, 2018. The market risk profile of the Company on December 31, 2018 is disclosed in Item 7A. “Quantitative and Qualitative Disclosures about Market Risk” of the Company’s Annual Report on Form 10-K for the year ended December 31, 2018.</w:t>
      </w:r>
    </w:p>
    <w:p>
      <w:pPr>
        <w:spacing w:after="0" w:line="21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Evaluation of disclosure controls and procedures.</w:t>
      </w:r>
    </w:p>
    <w:p>
      <w:pPr>
        <w:spacing w:after="0" w:line="114"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September 30, 2019.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SEC’s rules and forms.</w:t>
      </w:r>
    </w:p>
    <w:p>
      <w:pPr>
        <w:spacing w:after="0" w:line="186" w:lineRule="exact"/>
        <w:rPr>
          <w:sz w:val="20"/>
          <w:szCs w:val="20"/>
          <w:color w:val="auto"/>
        </w:rPr>
      </w:pPr>
    </w:p>
    <w:p>
      <w:pPr>
        <w:ind w:right="480"/>
        <w:spacing w:after="0" w:line="270" w:lineRule="auto"/>
        <w:rPr>
          <w:sz w:val="20"/>
          <w:szCs w:val="20"/>
          <w:color w:val="auto"/>
        </w:rPr>
      </w:pPr>
      <w:r>
        <w:rPr>
          <w:rFonts w:ascii="Times New Roman" w:cs="Times New Roman" w:eastAsia="Times New Roman" w:hAnsi="Times New Roman"/>
          <w:sz w:val="18"/>
          <w:szCs w:val="18"/>
          <w:color w:val="auto"/>
        </w:rPr>
        <w:t>Our Chief Executive Officer and Chief Financial Officer concluded that our disclosure controls and procedures were effective as of September 30, 2019 in providing such a reasonable assurance.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Changes in internal control over financial reporting.</w:t>
      </w:r>
    </w:p>
    <w:p>
      <w:pPr>
        <w:spacing w:after="0" w:line="11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under the Exchange Act) during the fiscal quarter ended September 30, 2019 that have materially affected, or are reasonably likely to materially affect, our internal control over financial reporting.</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540" w:right="279" w:bottom="1440" w:gutter="0" w:footer="0" w:header="0"/>
        </w:sectPr>
      </w:pPr>
    </w:p>
    <w:bookmarkStart w:id="28" w:name="page29"/>
    <w:bookmarkEnd w:id="2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Commitments and contingencies, in the Notes to Condensed Consolidated Financial Statements.</w:t>
      </w:r>
    </w:p>
    <w:p>
      <w:pPr>
        <w:spacing w:after="0" w:line="21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There have been no material changes during the nine months ended September 30, 2019 to the risk factors previously disclosed in Item 1A. “Risk Factors” in the Company’s Annual Report on Form 10-K for the year ended December 31, 2018.</w:t>
      </w:r>
    </w:p>
    <w:p>
      <w:pPr>
        <w:spacing w:after="0" w:line="16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60"/>
          </w:cols>
          <w:pgMar w:left="240" w:top="331" w:right="2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1"/>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661"/>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380" w:type="dxa"/>
            <w:vAlign w:val="bottom"/>
          </w:tcPr>
          <w:p>
            <w:pPr>
              <w:ind w:left="434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r>
      <w:tr>
        <w:trPr>
          <w:trHeight w:val="403"/>
        </w:trPr>
        <w:tc>
          <w:tcPr>
            <w:tcW w:w="340" w:type="dxa"/>
            <w:vAlign w:val="bottom"/>
            <w:tcBorders>
              <w:top w:val="single" w:sz="8" w:color="auto"/>
            </w:tcBorders>
            <w:gridSpan w:val="2"/>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hyperlink>
          </w:p>
        </w:tc>
        <w:tc>
          <w:tcPr>
            <w:tcW w:w="3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Certification Pursuant to Rules 13a-14 and 15d-14 under the Securities Exchange Act of 1934, as Adopted Pursuant to Section 302 of the</w:t>
            </w:r>
          </w:p>
        </w:tc>
      </w:tr>
      <w:tr>
        <w:trPr>
          <w:trHeight w:val="230"/>
        </w:trPr>
        <w:tc>
          <w:tcPr>
            <w:tcW w:w="3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 Act of 2002. *</w:t>
            </w:r>
          </w:p>
        </w:tc>
      </w:tr>
      <w:tr>
        <w:trPr>
          <w:trHeight w:val="410"/>
        </w:trPr>
        <w:tc>
          <w:tcPr>
            <w:tcW w:w="340" w:type="dxa"/>
            <w:vAlign w:val="bottom"/>
            <w:gridSpan w:val="2"/>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hyperlink>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Pursuant to Rules 13a-14 and 15d-14 under the Securities Exchange Act of 1934, as Adopted Pursuant to Section 302 of the</w:t>
            </w:r>
          </w:p>
        </w:tc>
      </w:tr>
      <w:tr>
        <w:trPr>
          <w:trHeight w:val="230"/>
        </w:trPr>
        <w:tc>
          <w:tcPr>
            <w:tcW w:w="3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 Act of 2002. *</w:t>
            </w:r>
          </w:p>
        </w:tc>
      </w:tr>
      <w:tr>
        <w:trPr>
          <w:trHeight w:val="410"/>
        </w:trPr>
        <w:tc>
          <w:tcPr>
            <w:tcW w:w="3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hyperlink>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w:t>
            </w:r>
          </w:p>
        </w:tc>
      </w:tr>
      <w:tr>
        <w:trPr>
          <w:trHeight w:val="429"/>
        </w:trPr>
        <w:tc>
          <w:tcPr>
            <w:tcW w:w="320" w:type="dxa"/>
            <w:vAlign w:val="bottom"/>
            <w:tcBorders>
              <w:bottom w:val="single" w:sz="8" w:color="0000EE"/>
            </w:tcBorders>
          </w:tcPr>
          <w:p>
            <w:pPr>
              <w:spacing w:after="0"/>
              <w:rPr>
                <w:rFonts w:ascii="Times New Roman" w:cs="Times New Roman" w:eastAsia="Times New Roman" w:hAnsi="Times New Roman"/>
                <w:sz w:val="18"/>
                <w:szCs w:val="18"/>
                <w:color w:val="0000EE"/>
                <w:w w:val="95"/>
              </w:rPr>
            </w:pPr>
            <w:hyperlink w:anchor="page35">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2</w:t>
              </w:r>
            </w:hyperlink>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w:t>
            </w:r>
          </w:p>
        </w:tc>
      </w:tr>
      <w:tr>
        <w:trPr>
          <w:trHeight w:val="468"/>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XBRL Instance Document. *</w:t>
            </w:r>
          </w:p>
        </w:tc>
      </w:tr>
      <w:tr>
        <w:trPr>
          <w:trHeight w:val="462"/>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Schema. *</w:t>
            </w:r>
          </w:p>
        </w:tc>
      </w:tr>
      <w:tr>
        <w:trPr>
          <w:trHeight w:val="462"/>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w:t>
            </w:r>
          </w:p>
        </w:tc>
      </w:tr>
      <w:tr>
        <w:trPr>
          <w:trHeight w:val="462"/>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w:t>
            </w:r>
          </w:p>
        </w:tc>
      </w:tr>
      <w:tr>
        <w:trPr>
          <w:trHeight w:val="462"/>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Label Linkbase. *</w:t>
            </w:r>
          </w:p>
        </w:tc>
      </w:tr>
      <w:tr>
        <w:trPr>
          <w:trHeight w:val="462"/>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w:t>
            </w: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12"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Great Lakes Dredge &amp; Dock Corporation</w:t>
      </w:r>
    </w:p>
    <w:p>
      <w:pPr>
        <w:spacing w:after="0" w:line="2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ind w:left="6860"/>
        <w:spacing w:after="0"/>
        <w:tabs>
          <w:tab w:leader="none" w:pos="8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1"/>
          <w:szCs w:val="11"/>
          <w:color w:val="auto"/>
        </w:rPr>
        <w:t>ARK</w:t>
      </w:r>
      <w:r>
        <w:rPr>
          <w:rFonts w:ascii="Times New Roman" w:cs="Times New Roman" w:eastAsia="Times New Roman" w:hAnsi="Times New Roman"/>
          <w:sz w:val="18"/>
          <w:szCs w:val="18"/>
          <w:color w:val="auto"/>
        </w:rPr>
        <w:t xml:space="preserve"> W. M</w:t>
      </w:r>
      <w:r>
        <w:rPr>
          <w:rFonts w:ascii="Times New Roman" w:cs="Times New Roman" w:eastAsia="Times New Roman" w:hAnsi="Times New Roman"/>
          <w:sz w:val="11"/>
          <w:szCs w:val="11"/>
          <w:color w:val="auto"/>
        </w:rPr>
        <w:t>ARINKO</w:t>
      </w:r>
    </w:p>
    <w:p>
      <w:pPr>
        <w:spacing w:after="0" w:line="22" w:lineRule="exact"/>
        <w:rPr>
          <w:sz w:val="20"/>
          <w:szCs w:val="20"/>
          <w:color w:val="auto"/>
        </w:rPr>
      </w:pPr>
    </w:p>
    <w:p>
      <w:pPr>
        <w:jc w:val="center"/>
        <w:ind w:left="7160"/>
        <w:spacing w:after="0"/>
        <w:rPr>
          <w:sz w:val="20"/>
          <w:szCs w:val="20"/>
          <w:color w:val="auto"/>
        </w:rPr>
      </w:pPr>
      <w:r>
        <w:rPr>
          <w:rFonts w:ascii="Times New Roman" w:cs="Times New Roman" w:eastAsia="Times New Roman" w:hAnsi="Times New Roman"/>
          <w:sz w:val="13"/>
          <w:szCs w:val="13"/>
          <w:b w:val="1"/>
          <w:bCs w:val="1"/>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4551045</wp:posOffset>
            </wp:positionH>
            <wp:positionV relativeFrom="paragraph">
              <wp:posOffset>-93980</wp:posOffset>
            </wp:positionV>
            <wp:extent cx="27019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01925" cy="8255"/>
                    </a:xfrm>
                    <a:prstGeom prst="rect">
                      <a:avLst/>
                    </a:prstGeom>
                    <a:noFill/>
                  </pic:spPr>
                </pic:pic>
              </a:graphicData>
            </a:graphic>
          </wp:anchor>
        </w:drawing>
      </w:r>
    </w:p>
    <w:p>
      <w:pPr>
        <w:jc w:val="center"/>
        <w:ind w:left="7160"/>
        <w:spacing w:after="0"/>
        <w:rPr>
          <w:sz w:val="20"/>
          <w:szCs w:val="20"/>
          <w:color w:val="auto"/>
        </w:rPr>
      </w:pPr>
      <w:r>
        <w:rPr>
          <w:rFonts w:ascii="Times New Roman" w:cs="Times New Roman" w:eastAsia="Times New Roman" w:hAnsi="Times New Roman"/>
          <w:sz w:val="13"/>
          <w:szCs w:val="13"/>
          <w:b w:val="1"/>
          <w:bCs w:val="1"/>
          <w:color w:val="auto"/>
        </w:rPr>
        <w:t>Senior Vice President and Chief Financial Officer</w:t>
      </w:r>
    </w:p>
    <w:p>
      <w:pPr>
        <w:jc w:val="center"/>
        <w:ind w:left="7160"/>
        <w:spacing w:after="0"/>
        <w:rPr>
          <w:sz w:val="20"/>
          <w:szCs w:val="20"/>
          <w:color w:val="auto"/>
        </w:rPr>
      </w:pPr>
      <w:r>
        <w:rPr>
          <w:rFonts w:ascii="Times New Roman" w:cs="Times New Roman" w:eastAsia="Times New Roman" w:hAnsi="Times New Roman"/>
          <w:sz w:val="13"/>
          <w:szCs w:val="13"/>
          <w:b w:val="1"/>
          <w:bCs w:val="1"/>
          <w:color w:val="auto"/>
        </w:rPr>
        <w:t>(Principal Financial and Accounting Officer and Duly Authorized Officer)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2019</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331" w:right="27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PURSUANT TO</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Lasse J. Petterson, certify that:</w:t>
      </w:r>
    </w:p>
    <w:p>
      <w:pPr>
        <w:spacing w:after="0" w:line="110" w:lineRule="exact"/>
        <w:rPr>
          <w:sz w:val="20"/>
          <w:szCs w:val="20"/>
          <w:color w:val="auto"/>
        </w:rPr>
      </w:pPr>
    </w:p>
    <w:p>
      <w:pPr>
        <w:ind w:left="520" w:hanging="514"/>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Great Lakes Dredge &amp; Dock Corporation;</w:t>
      </w:r>
    </w:p>
    <w:p>
      <w:pPr>
        <w:spacing w:after="0" w:line="110" w:lineRule="exact"/>
        <w:rPr>
          <w:rFonts w:ascii="Times New Roman" w:cs="Times New Roman" w:eastAsia="Times New Roman" w:hAnsi="Times New Roman"/>
          <w:sz w:val="18"/>
          <w:szCs w:val="18"/>
          <w:color w:val="auto"/>
        </w:rPr>
      </w:pPr>
    </w:p>
    <w:p>
      <w:pPr>
        <w:ind w:left="520" w:right="160" w:hanging="514"/>
        <w:spacing w:after="0" w:line="300" w:lineRule="auto"/>
        <w:tabs>
          <w:tab w:leader="none" w:pos="5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7"/>
          <w:szCs w:val="17"/>
          <w:color w:val="auto"/>
        </w:rPr>
      </w:pPr>
    </w:p>
    <w:p>
      <w:pPr>
        <w:ind w:left="520" w:right="620" w:hanging="514"/>
        <w:spacing w:after="0" w:line="270"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Times New Roman" w:cs="Times New Roman" w:eastAsia="Times New Roman" w:hAnsi="Times New Roman"/>
          <w:sz w:val="18"/>
          <w:szCs w:val="18"/>
          <w:color w:val="auto"/>
        </w:rPr>
      </w:pPr>
    </w:p>
    <w:p>
      <w:pPr>
        <w:ind w:left="520" w:right="100" w:hanging="514"/>
        <w:spacing w:after="0" w:line="257"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Times New Roman" w:cs="Times New Roman" w:eastAsia="Times New Roman" w:hAnsi="Times New Roman"/>
          <w:sz w:val="18"/>
          <w:szCs w:val="18"/>
          <w:color w:val="auto"/>
        </w:rPr>
      </w:pPr>
    </w:p>
    <w:p>
      <w:pPr>
        <w:ind w:left="1040" w:right="400" w:hanging="519"/>
        <w:spacing w:after="0" w:line="257" w:lineRule="auto"/>
        <w:tabs>
          <w:tab w:leader="none" w:pos="10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8"/>
          <w:szCs w:val="18"/>
          <w:color w:val="auto"/>
        </w:rPr>
      </w:pPr>
    </w:p>
    <w:p>
      <w:pPr>
        <w:ind w:left="1040" w:right="80" w:hanging="519"/>
        <w:spacing w:after="0" w:line="257" w:lineRule="auto"/>
        <w:tabs>
          <w:tab w:leader="none" w:pos="10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8"/>
          <w:szCs w:val="18"/>
          <w:color w:val="auto"/>
        </w:rPr>
      </w:pPr>
    </w:p>
    <w:p>
      <w:pPr>
        <w:jc w:val="both"/>
        <w:ind w:left="1040" w:right="860" w:hanging="519"/>
        <w:spacing w:after="0" w:line="300" w:lineRule="auto"/>
        <w:tabs>
          <w:tab w:leader="none" w:pos="104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7"/>
          <w:szCs w:val="17"/>
          <w:color w:val="auto"/>
        </w:rPr>
      </w:pPr>
    </w:p>
    <w:p>
      <w:pPr>
        <w:ind w:left="1040" w:right="100" w:hanging="519"/>
        <w:spacing w:after="0" w:line="257" w:lineRule="auto"/>
        <w:tabs>
          <w:tab w:leader="none" w:pos="10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Times New Roman" w:cs="Times New Roman" w:eastAsia="Times New Roman" w:hAnsi="Times New Roman"/>
          <w:sz w:val="18"/>
          <w:szCs w:val="18"/>
          <w:color w:val="auto"/>
        </w:rPr>
      </w:pPr>
    </w:p>
    <w:p>
      <w:pPr>
        <w:ind w:left="520" w:right="540" w:hanging="514"/>
        <w:spacing w:after="0" w:line="270"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Times New Roman" w:cs="Times New Roman" w:eastAsia="Times New Roman" w:hAnsi="Times New Roman"/>
          <w:sz w:val="18"/>
          <w:szCs w:val="18"/>
          <w:color w:val="auto"/>
        </w:rPr>
      </w:pPr>
    </w:p>
    <w:p>
      <w:pPr>
        <w:ind w:left="1040" w:right="300" w:hanging="519"/>
        <w:spacing w:after="0" w:line="270" w:lineRule="auto"/>
        <w:tabs>
          <w:tab w:leader="none" w:pos="10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Times New Roman" w:cs="Times New Roman" w:eastAsia="Times New Roman" w:hAnsi="Times New Roman"/>
          <w:sz w:val="18"/>
          <w:szCs w:val="18"/>
          <w:color w:val="auto"/>
        </w:rPr>
      </w:pPr>
    </w:p>
    <w:p>
      <w:pPr>
        <w:ind w:left="1040" w:right="260" w:hanging="519"/>
        <w:spacing w:after="0" w:line="270" w:lineRule="auto"/>
        <w:tabs>
          <w:tab w:leader="none" w:pos="10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2019</w:t>
      </w:r>
    </w:p>
    <w:p>
      <w:pPr>
        <w:spacing w:after="0" w:line="24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L</w:t>
      </w:r>
      <w:r>
        <w:rPr>
          <w:rFonts w:ascii="Times New Roman" w:cs="Times New Roman" w:eastAsia="Times New Roman" w:hAnsi="Times New Roman"/>
          <w:sz w:val="11"/>
          <w:szCs w:val="11"/>
          <w:color w:val="auto"/>
        </w:rPr>
        <w:t>ASSE</w:t>
      </w:r>
      <w:r>
        <w:rPr>
          <w:rFonts w:ascii="Times New Roman" w:cs="Times New Roman" w:eastAsia="Times New Roman" w:hAnsi="Times New Roman"/>
          <w:sz w:val="18"/>
          <w:szCs w:val="18"/>
          <w:color w:val="auto"/>
        </w:rPr>
        <w:t xml:space="preserve"> J. P</w:t>
      </w:r>
      <w:r>
        <w:rPr>
          <w:rFonts w:ascii="Times New Roman" w:cs="Times New Roman" w:eastAsia="Times New Roman" w:hAnsi="Times New Roman"/>
          <w:sz w:val="11"/>
          <w:szCs w:val="11"/>
          <w:color w:val="auto"/>
        </w:rPr>
        <w:t>ETTERSON</w:t>
      </w:r>
    </w:p>
    <w:p>
      <w:pPr>
        <w:spacing w:after="0" w:line="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-130175</wp:posOffset>
            </wp:positionV>
            <wp:extent cx="3624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24580" cy="8255"/>
                    </a:xfrm>
                    <a:prstGeom prst="rect">
                      <a:avLst/>
                    </a:prstGeom>
                    <a:noFill/>
                  </pic:spPr>
                </pic:pic>
              </a:graphicData>
            </a:graphic>
          </wp:anchor>
        </w:drawing>
      </w:r>
    </w:p>
    <w:p>
      <w:pPr>
        <w:ind w:left="57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ectPr>
          <w:pgSz w:w="11900" w:h="16838" w:orient="portrait"/>
          <w:cols w:equalWidth="0" w:num="1">
            <w:col w:w="11420"/>
          </w:cols>
          <w:pgMar w:left="240" w:top="119"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PURSUANT TO</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 Marinko, certify that:</w:t>
      </w:r>
    </w:p>
    <w:p>
      <w:pPr>
        <w:spacing w:after="0" w:line="110" w:lineRule="exact"/>
        <w:rPr>
          <w:sz w:val="20"/>
          <w:szCs w:val="20"/>
          <w:color w:val="auto"/>
        </w:rPr>
      </w:pPr>
    </w:p>
    <w:p>
      <w:pPr>
        <w:ind w:left="520" w:hanging="514"/>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Great Lakes Dredge &amp; Dock Corporation;</w:t>
      </w:r>
    </w:p>
    <w:p>
      <w:pPr>
        <w:spacing w:after="0" w:line="110" w:lineRule="exact"/>
        <w:rPr>
          <w:rFonts w:ascii="Times New Roman" w:cs="Times New Roman" w:eastAsia="Times New Roman" w:hAnsi="Times New Roman"/>
          <w:sz w:val="18"/>
          <w:szCs w:val="18"/>
          <w:color w:val="auto"/>
        </w:rPr>
      </w:pPr>
    </w:p>
    <w:p>
      <w:pPr>
        <w:ind w:left="520" w:right="160" w:hanging="514"/>
        <w:spacing w:after="0" w:line="300" w:lineRule="auto"/>
        <w:tabs>
          <w:tab w:leader="none" w:pos="5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7"/>
          <w:szCs w:val="17"/>
          <w:color w:val="auto"/>
        </w:rPr>
      </w:pPr>
    </w:p>
    <w:p>
      <w:pPr>
        <w:ind w:left="520" w:right="620" w:hanging="514"/>
        <w:spacing w:after="0" w:line="270"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Times New Roman" w:cs="Times New Roman" w:eastAsia="Times New Roman" w:hAnsi="Times New Roman"/>
          <w:sz w:val="18"/>
          <w:szCs w:val="18"/>
          <w:color w:val="auto"/>
        </w:rPr>
      </w:pPr>
    </w:p>
    <w:p>
      <w:pPr>
        <w:ind w:left="520" w:right="100" w:hanging="514"/>
        <w:spacing w:after="0" w:line="257"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Times New Roman" w:cs="Times New Roman" w:eastAsia="Times New Roman" w:hAnsi="Times New Roman"/>
          <w:sz w:val="18"/>
          <w:szCs w:val="18"/>
          <w:color w:val="auto"/>
        </w:rPr>
      </w:pPr>
    </w:p>
    <w:p>
      <w:pPr>
        <w:ind w:left="1040" w:right="400" w:hanging="519"/>
        <w:spacing w:after="0" w:line="257" w:lineRule="auto"/>
        <w:tabs>
          <w:tab w:leader="none" w:pos="10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8"/>
          <w:szCs w:val="18"/>
          <w:color w:val="auto"/>
        </w:rPr>
      </w:pPr>
    </w:p>
    <w:p>
      <w:pPr>
        <w:ind w:left="1040" w:right="80" w:hanging="519"/>
        <w:spacing w:after="0" w:line="257" w:lineRule="auto"/>
        <w:tabs>
          <w:tab w:leader="none" w:pos="10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8"/>
          <w:szCs w:val="18"/>
          <w:color w:val="auto"/>
        </w:rPr>
      </w:pPr>
    </w:p>
    <w:p>
      <w:pPr>
        <w:jc w:val="both"/>
        <w:ind w:left="1040" w:right="860" w:hanging="519"/>
        <w:spacing w:after="0" w:line="300" w:lineRule="auto"/>
        <w:tabs>
          <w:tab w:leader="none" w:pos="104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7"/>
          <w:szCs w:val="17"/>
          <w:color w:val="auto"/>
        </w:rPr>
      </w:pPr>
    </w:p>
    <w:p>
      <w:pPr>
        <w:ind w:left="1040" w:right="100" w:hanging="519"/>
        <w:spacing w:after="0" w:line="257" w:lineRule="auto"/>
        <w:tabs>
          <w:tab w:leader="none" w:pos="10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Times New Roman" w:cs="Times New Roman" w:eastAsia="Times New Roman" w:hAnsi="Times New Roman"/>
          <w:sz w:val="18"/>
          <w:szCs w:val="18"/>
          <w:color w:val="auto"/>
        </w:rPr>
      </w:pPr>
    </w:p>
    <w:p>
      <w:pPr>
        <w:ind w:left="520" w:right="540" w:hanging="514"/>
        <w:spacing w:after="0" w:line="270"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Times New Roman" w:cs="Times New Roman" w:eastAsia="Times New Roman" w:hAnsi="Times New Roman"/>
          <w:sz w:val="18"/>
          <w:szCs w:val="18"/>
          <w:color w:val="auto"/>
        </w:rPr>
      </w:pPr>
    </w:p>
    <w:p>
      <w:pPr>
        <w:ind w:left="1040" w:right="300" w:hanging="519"/>
        <w:spacing w:after="0" w:line="270" w:lineRule="auto"/>
        <w:tabs>
          <w:tab w:leader="none" w:pos="10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Times New Roman" w:cs="Times New Roman" w:eastAsia="Times New Roman" w:hAnsi="Times New Roman"/>
          <w:sz w:val="18"/>
          <w:szCs w:val="18"/>
          <w:color w:val="auto"/>
        </w:rPr>
      </w:pPr>
    </w:p>
    <w:p>
      <w:pPr>
        <w:ind w:left="1040" w:right="260" w:hanging="519"/>
        <w:spacing w:after="0" w:line="270" w:lineRule="auto"/>
        <w:tabs>
          <w:tab w:leader="none" w:pos="10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2019</w:t>
      </w:r>
    </w:p>
    <w:p>
      <w:pPr>
        <w:spacing w:after="0" w:line="24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1"/>
          <w:szCs w:val="11"/>
          <w:color w:val="auto"/>
        </w:rPr>
        <w:t>ARK</w:t>
      </w:r>
      <w:r>
        <w:rPr>
          <w:rFonts w:ascii="Times New Roman" w:cs="Times New Roman" w:eastAsia="Times New Roman" w:hAnsi="Times New Roman"/>
          <w:sz w:val="18"/>
          <w:szCs w:val="18"/>
          <w:color w:val="auto"/>
        </w:rPr>
        <w:t xml:space="preserve"> W. M</w:t>
      </w:r>
      <w:r>
        <w:rPr>
          <w:rFonts w:ascii="Times New Roman" w:cs="Times New Roman" w:eastAsia="Times New Roman" w:hAnsi="Times New Roman"/>
          <w:sz w:val="11"/>
          <w:szCs w:val="11"/>
          <w:color w:val="auto"/>
        </w:rPr>
        <w:t>ARINKO</w:t>
      </w:r>
    </w:p>
    <w:p>
      <w:pPr>
        <w:spacing w:after="0" w:line="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-130175</wp:posOffset>
            </wp:positionV>
            <wp:extent cx="3624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24580" cy="8255"/>
                    </a:xfrm>
                    <a:prstGeom prst="rect">
                      <a:avLst/>
                    </a:prstGeom>
                    <a:noFill/>
                  </pic:spPr>
                </pic:pic>
              </a:graphicData>
            </a:graphic>
          </wp:anchor>
        </w:drawing>
      </w:r>
    </w:p>
    <w:p>
      <w:pPr>
        <w:ind w:left="57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420"/>
          </w:cols>
          <w:pgMar w:left="240" w:top="119"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98"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Great Lakes Dredge &amp; Dock Corporation (the “Company”) on Form 10-Q for the period ended September 30, 2019, as filed with the Securities and Exchange Commission on the date hereof (the “Report”), I, Lasse J. Petterson, Chief Executive Officer and Director of the Company, certify pursuant to 18 U.S.C. Section 1350, as adopted pursuant to Section 906 of the Sarbanes-Oxley Act of 2002, that:</w:t>
      </w:r>
    </w:p>
    <w:p>
      <w:pPr>
        <w:spacing w:after="0" w:line="75" w:lineRule="exact"/>
        <w:rPr>
          <w:sz w:val="20"/>
          <w:szCs w:val="20"/>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36"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w:t>
      </w:r>
      <w:r>
        <w:rPr>
          <w:rFonts w:ascii="Times New Roman" w:cs="Times New Roman" w:eastAsia="Times New Roman" w:hAnsi="Times New Roman"/>
          <w:sz w:val="11"/>
          <w:szCs w:val="11"/>
          <w:color w:val="auto"/>
        </w:rPr>
        <w:t>ASSE</w:t>
      </w:r>
      <w:r>
        <w:rPr>
          <w:rFonts w:ascii="Times New Roman" w:cs="Times New Roman" w:eastAsia="Times New Roman" w:hAnsi="Times New Roman"/>
          <w:sz w:val="18"/>
          <w:szCs w:val="18"/>
          <w:color w:val="auto"/>
        </w:rPr>
        <w:t xml:space="preserve"> J. P</w:t>
      </w:r>
      <w:r>
        <w:rPr>
          <w:rFonts w:ascii="Times New Roman" w:cs="Times New Roman" w:eastAsia="Times New Roman" w:hAnsi="Times New Roman"/>
          <w:sz w:val="11"/>
          <w:szCs w:val="11"/>
          <w:color w:val="auto"/>
        </w:rPr>
        <w:t>ETTERSON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28949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49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2019</w:t>
      </w:r>
    </w:p>
    <w:p>
      <w:pPr>
        <w:spacing w:after="0" w:line="225"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19"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98"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Great Lakes Dredge &amp; Dock Corporation (the “Company”) on Form 10-Q for the period ended September 30, 2019, as filed with the Securities and Exchange Commission on the date hereof (the “Report”), I, Mark W. Marinko, Senior Vice President and Chief Financial Officer of the Company, certify pursuant to 18 U.S.C. Section 1350, as adopted pursuant to Section 906 of the Sarbanes-Oxley Act of 2002, that:</w:t>
      </w:r>
    </w:p>
    <w:p>
      <w:pPr>
        <w:spacing w:after="0" w:line="75" w:lineRule="exact"/>
        <w:rPr>
          <w:sz w:val="20"/>
          <w:szCs w:val="20"/>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36"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1"/>
          <w:szCs w:val="11"/>
          <w:color w:val="auto"/>
        </w:rPr>
        <w:t>ARK</w:t>
      </w:r>
      <w:r>
        <w:rPr>
          <w:rFonts w:ascii="Times New Roman" w:cs="Times New Roman" w:eastAsia="Times New Roman" w:hAnsi="Times New Roman"/>
          <w:sz w:val="18"/>
          <w:szCs w:val="18"/>
          <w:color w:val="auto"/>
        </w:rPr>
        <w:t xml:space="preserve"> W. M</w:t>
      </w:r>
      <w:r>
        <w:rPr>
          <w:rFonts w:ascii="Times New Roman" w:cs="Times New Roman" w:eastAsia="Times New Roman" w:hAnsi="Times New Roman"/>
          <w:sz w:val="11"/>
          <w:szCs w:val="11"/>
          <w:color w:val="auto"/>
        </w:rPr>
        <w:t>ARINKO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28949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49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2019</w:t>
      </w:r>
    </w:p>
    <w:p>
      <w:pPr>
        <w:spacing w:after="0" w:line="225"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2"/>
    </w:lvl>
  </w:abstractNum>
  <w:abstractNum w:abstractNumId="5">
    <w:nsid w:val="66EF438D"/>
    <w:multiLevelType w:val="hybridMultilevel"/>
    <w:lvl w:ilvl="0">
      <w:lvlJc w:val="left"/>
      <w:lvlText w:val="%1."/>
      <w:numFmt w:val="decimal"/>
      <w:start w:val="3"/>
    </w:lvl>
  </w:abstractNum>
  <w:abstractNum w:abstractNumId="6">
    <w:nsid w:val="140E0F76"/>
    <w:multiLevelType w:val="hybridMultilevel"/>
    <w:lvl w:ilvl="0">
      <w:lvlJc w:val="left"/>
      <w:lvlText w:val="%1."/>
      <w:numFmt w:val="decimal"/>
      <w:start w:val="4"/>
    </w:lvl>
  </w:abstractNum>
  <w:abstractNum w:abstractNumId="7">
    <w:nsid w:val="3352255A"/>
    <w:multiLevelType w:val="hybridMultilevel"/>
    <w:lvl w:ilvl="0">
      <w:lvlJc w:val="left"/>
      <w:lvlText w:val="%1."/>
      <w:numFmt w:val="decimal"/>
      <w:start w:val="5"/>
    </w:lvl>
  </w:abstractNum>
  <w:abstractNum w:abstractNumId="8">
    <w:nsid w:val="109CF92E"/>
    <w:multiLevelType w:val="hybridMultilevel"/>
    <w:lvl w:ilvl="0">
      <w:lvlJc w:val="left"/>
      <w:lvlText w:val="%1."/>
      <w:numFmt w:val="decimal"/>
      <w:start w:val="6"/>
    </w:lvl>
  </w:abstractNum>
  <w:abstractNum w:abstractNumId="9">
    <w:nsid w:val="DED7263"/>
    <w:multiLevelType w:val="hybridMultilevel"/>
    <w:lvl w:ilvl="0">
      <w:lvlJc w:val="left"/>
      <w:lvlText w:val="%1."/>
      <w:numFmt w:val="decimal"/>
      <w:start w:val="7"/>
    </w:lvl>
  </w:abstractNum>
  <w:abstractNum w:abstractNumId="10">
    <w:nsid w:val="7FDCC233"/>
    <w:multiLevelType w:val="hybridMultilevel"/>
    <w:lvl w:ilvl="0">
      <w:lvlJc w:val="left"/>
      <w:lvlText w:val="%1."/>
      <w:numFmt w:val="decimal"/>
      <w:start w:val="8"/>
    </w:lvl>
  </w:abstractNum>
  <w:abstractNum w:abstractNumId="11">
    <w:nsid w:val="1BEFD79F"/>
    <w:multiLevelType w:val="hybridMultilevel"/>
    <w:lvl w:ilvl="0">
      <w:lvlJc w:val="left"/>
      <w:lvlText w:val="%1."/>
      <w:numFmt w:val="decimal"/>
      <w:start w:val="9"/>
    </w:lvl>
  </w:abstractNum>
  <w:abstractNum w:abstractNumId="12">
    <w:nsid w:val="41A7C4C9"/>
    <w:multiLevelType w:val="hybridMultilevel"/>
    <w:lvl w:ilvl="0">
      <w:lvlJc w:val="left"/>
      <w:lvlText w:val="%1."/>
      <w:numFmt w:val="decimal"/>
      <w:start w:val="10"/>
    </w:lvl>
  </w:abstractNum>
  <w:abstractNum w:abstractNumId="13">
    <w:nsid w:val="6B68079A"/>
    <w:multiLevelType w:val="hybridMultilevel"/>
    <w:lvl w:ilvl="0">
      <w:lvlJc w:val="left"/>
      <w:lvlText w:val="%1."/>
      <w:numFmt w:val="decimal"/>
      <w:start w:val="1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2019-12-28T03:10:17Z</dcterms:created>
  <dcterms:modified xsi:type="dcterms:W3CDTF">2019-12-28T03:10:17Z</dcterms:modified>
</cp:coreProperties>
</file>