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20-5336063</w:t>
            </w:r>
          </w:p>
        </w:tc>
      </w:tr>
      <w:tr>
        <w:trPr>
          <w:trHeight w:val="149"/>
        </w:trPr>
        <w:tc>
          <w:tcPr>
            <w:tcW w:w="6060" w:type="dxa"/>
            <w:vAlign w:val="bottom"/>
          </w:tcPr>
          <w:p>
            <w:pPr>
              <w:jc w:val="center"/>
              <w:ind w:right="35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60" w:type="dxa"/>
            <w:vAlign w:val="bottom"/>
          </w:tcPr>
          <w:p>
            <w:pPr>
              <w:jc w:val="center"/>
              <w:ind w:right="3500"/>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6060" w:type="dxa"/>
            <w:vAlign w:val="bottom"/>
          </w:tcPr>
          <w:p>
            <w:pPr>
              <w:jc w:val="center"/>
              <w:ind w:right="3520"/>
              <w:spacing w:after="0"/>
              <w:rPr>
                <w:sz w:val="20"/>
                <w:szCs w:val="20"/>
                <w:color w:val="auto"/>
              </w:rPr>
            </w:pPr>
            <w:r>
              <w:rPr>
                <w:rFonts w:ascii="Arial" w:cs="Arial" w:eastAsia="Arial" w:hAnsi="Arial"/>
                <w:sz w:val="18"/>
                <w:szCs w:val="18"/>
                <w:b w:val="1"/>
                <w:bCs w:val="1"/>
                <w:color w:val="auto"/>
                <w:w w:val="93"/>
              </w:rPr>
              <w:t>2122 York Road, Oak Brook, IL</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60523</w:t>
            </w:r>
          </w:p>
        </w:tc>
      </w:tr>
      <w:tr>
        <w:trPr>
          <w:trHeight w:val="186"/>
        </w:trPr>
        <w:tc>
          <w:tcPr>
            <w:tcW w:w="6060" w:type="dxa"/>
            <w:vAlign w:val="bottom"/>
          </w:tcPr>
          <w:p>
            <w:pPr>
              <w:jc w:val="center"/>
              <w:ind w:right="35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060" w:type="dxa"/>
            <w:vAlign w:val="bottom"/>
          </w:tcPr>
          <w:p>
            <w:pPr>
              <w:jc w:val="right"/>
              <w:ind w:right="1360"/>
              <w:spacing w:after="0"/>
              <w:rPr>
                <w:sz w:val="20"/>
                <w:szCs w:val="20"/>
                <w:color w:val="auto"/>
              </w:rPr>
            </w:pPr>
            <w:r>
              <w:rPr>
                <w:rFonts w:ascii="Arial" w:cs="Arial" w:eastAsia="Arial" w:hAnsi="Arial"/>
                <w:sz w:val="18"/>
                <w:szCs w:val="18"/>
                <w:b w:val="1"/>
                <w:bCs w:val="1"/>
                <w:color w:val="auto"/>
              </w:rPr>
              <w:t>(630) 574-3000</w:t>
            </w:r>
          </w:p>
        </w:tc>
        <w:tc>
          <w:tcPr>
            <w:tcW w:w="1500" w:type="dxa"/>
            <w:vAlign w:val="bottom"/>
          </w:tcPr>
          <w:p>
            <w:pPr>
              <w:spacing w:after="0"/>
              <w:rPr>
                <w:sz w:val="24"/>
                <w:szCs w:val="24"/>
                <w:color w:val="auto"/>
              </w:rPr>
            </w:pPr>
          </w:p>
        </w:tc>
      </w:tr>
      <w:tr>
        <w:trPr>
          <w:trHeight w:val="186"/>
        </w:trPr>
        <w:tc>
          <w:tcPr>
            <w:tcW w:w="6060" w:type="dxa"/>
            <w:vAlign w:val="bottom"/>
          </w:tcPr>
          <w:p>
            <w:pPr>
              <w:jc w:val="center"/>
              <w:ind w:lef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10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20" w:space="420"/>
            <w:col w:w="160" w:space="80"/>
            <w:col w:w="58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As of May 1, 2015, 60,401,087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106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 (Unaudited)</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304"/>
        </w:trPr>
        <w:tc>
          <w:tcPr>
            <w:tcW w:w="1160" w:type="dxa"/>
            <w:vAlign w:val="bottom"/>
            <w:tcBorders>
              <w:top w:val="single" w:sz="8" w:color="0000EE"/>
            </w:tcBorders>
            <w:gridSpan w:val="3"/>
          </w:tcPr>
          <w:p>
            <w:pPr>
              <w:ind w:left="36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500" w:type="dxa"/>
            <w:vAlign w:val="bottom"/>
            <w:tcBorders>
              <w:top w:val="single" w:sz="8" w:color="0000EE"/>
            </w:tcBorders>
            <w:gridSpan w:val="2"/>
          </w:tcPr>
          <w:p>
            <w:pPr>
              <w:spacing w:after="0"/>
              <w:rPr>
                <w:sz w:val="24"/>
                <w:szCs w:val="24"/>
                <w:color w:val="auto"/>
              </w:rPr>
            </w:pPr>
          </w:p>
        </w:tc>
        <w:tc>
          <w:tcPr>
            <w:tcW w:w="788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March 31, 2015 and December 31, 2014</w:t>
              </w:r>
            </w:hyperlink>
          </w:p>
        </w:tc>
        <w:tc>
          <w:tcPr>
            <w:tcW w:w="382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2015 and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 for the Three Months ended March 31, 2015 and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Equity for the Three Months ended March 31, 2015 and 2014</w:t>
              </w:r>
            </w:hyperlink>
          </w:p>
        </w:tc>
        <w:tc>
          <w:tcPr>
            <w:tcW w:w="1020" w:type="dxa"/>
            <w:vAlign w:val="bottom"/>
            <w:tcBorders>
              <w:top w:val="single" w:sz="8" w:color="0000EE"/>
            </w:tcBorders>
            <w:gridSpan w:val="3"/>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2015 and 2014</w:t>
              </w:r>
            </w:hyperlink>
          </w:p>
        </w:tc>
        <w:tc>
          <w:tcPr>
            <w:tcW w:w="22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990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81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1060" w:type="dxa"/>
            <w:vAlign w:val="bottom"/>
            <w:gridSpan w:val="22"/>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20"/>
        </w:trPr>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54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1</w:t>
            </w:r>
          </w:p>
        </w:tc>
        <w:tc>
          <w:tcPr>
            <w:tcW w:w="99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56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55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Defaults Upon Senior Securities</w:t>
              </w:r>
            </w:hyperlink>
          </w:p>
        </w:tc>
        <w:tc>
          <w:tcPr>
            <w:tcW w:w="756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Mine Safety Disclosures</w:t>
              </w:r>
            </w:hyperlink>
          </w:p>
        </w:tc>
        <w:tc>
          <w:tcPr>
            <w:tcW w:w="812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5</w:t>
            </w:r>
          </w:p>
        </w:tc>
        <w:tc>
          <w:tcPr>
            <w:tcW w:w="990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1160" w:type="dxa"/>
            <w:vAlign w:val="bottom"/>
            <w:gridSpan w:val="3"/>
          </w:tcPr>
          <w:p>
            <w:pPr>
              <w:ind w:left="36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858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Borders>
              <w:bottom w:val="single" w:sz="8" w:color="0000EE"/>
            </w:tcBorders>
          </w:tcPr>
          <w:p>
            <w:pPr>
              <w:spacing w:after="0"/>
              <w:rPr>
                <w:rFonts w:ascii="Arial" w:cs="Arial" w:eastAsia="Arial" w:hAnsi="Arial"/>
                <w:sz w:val="18"/>
                <w:szCs w:val="18"/>
                <w:b w:val="1"/>
                <w:bCs w:val="1"/>
                <w:color w:val="0000EE"/>
                <w:w w:val="89"/>
              </w:rPr>
            </w:pPr>
            <w:hyperlink w:anchor="page38">
              <w:r>
                <w:rPr>
                  <w:rFonts w:ascii="Arial" w:cs="Arial" w:eastAsia="Arial" w:hAnsi="Arial"/>
                  <w:sz w:val="18"/>
                  <w:szCs w:val="18"/>
                  <w:b w:val="1"/>
                  <w:bCs w:val="1"/>
                  <w:color w:val="0000EE"/>
                  <w:w w:val="89"/>
                </w:rPr>
                <w:t>Signature</w:t>
              </w:r>
            </w:hyperlink>
          </w:p>
        </w:tc>
        <w:tc>
          <w:tcPr>
            <w:tcW w:w="400" w:type="dxa"/>
            <w:vAlign w:val="bottom"/>
            <w:gridSpan w:val="2"/>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160" w:type="dxa"/>
            <w:vAlign w:val="bottom"/>
            <w:gridSpan w:val="3"/>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Exhibit Index</w:t>
              </w:r>
            </w:hyperlink>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5"/>
        </w:trPr>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80" w:type="dxa"/>
            <w:vAlign w:val="bottom"/>
            <w:gridSpan w:val="13"/>
          </w:tcPr>
          <w:p>
            <w:pPr>
              <w:ind w:left="450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340" w:type="dxa"/>
            <w:vAlign w:val="bottom"/>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w w:val="95"/>
              </w:rPr>
              <w:t>PART I — Financial Information</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gridSpan w:val="2"/>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GREAT LAKES DREDGE &amp; DOCK CORPORATION AND SUBSIDIARIES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4"/>
              </w:rPr>
              <w:t>ASSETS</w:t>
            </w:r>
          </w:p>
        </w:tc>
        <w:tc>
          <w:tcPr>
            <w:tcW w:w="640" w:type="dxa"/>
            <w:vAlign w:val="bottom"/>
            <w:shd w:val="clear" w:color="auto" w:fill="CCEEFF"/>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30,619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Accounts receivable—net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75,348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102,002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32,870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79,643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69,375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20" w:type="dxa"/>
            <w:vAlign w:val="bottom"/>
            <w:gridSpan w:val="2"/>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320,482</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418,839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GOODWILL AND OTHER INTANGIBLE ASSETS—Net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93,522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36,555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7,726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23"/>
        </w:trPr>
        <w:tc>
          <w:tcPr>
            <w:tcW w:w="7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889,349</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102,361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58,034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7,818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170,830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200,510</w:t>
            </w: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7 3/8% SENIOR NOTES</w:t>
            </w:r>
          </w:p>
        </w:tc>
        <w:tc>
          <w:tcPr>
            <w:tcW w:w="100" w:type="dxa"/>
            <w:vAlign w:val="bottom"/>
          </w:tcPr>
          <w:p>
            <w:pPr>
              <w:spacing w:after="0"/>
              <w:rPr>
                <w:sz w:val="24"/>
                <w:szCs w:val="2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274,887</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NOTES PAYABLE</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62,393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92,137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20,549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640,796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637,271</w:t>
            </w:r>
          </w:p>
        </w:tc>
        <w:tc>
          <w:tcPr>
            <w:tcW w:w="0" w:type="dxa"/>
            <w:vAlign w:val="bottom"/>
          </w:tcPr>
          <w:p>
            <w:pPr>
              <w:spacing w:after="0"/>
              <w:rPr>
                <w:sz w:val="1"/>
                <w:szCs w:val="1"/>
                <w:color w:val="auto"/>
              </w:rPr>
            </w:pPr>
          </w:p>
        </w:tc>
      </w:tr>
      <w:tr>
        <w:trPr>
          <w:trHeight w:val="331"/>
        </w:trPr>
        <w:tc>
          <w:tcPr>
            <w:tcW w:w="9340" w:type="dxa"/>
            <w:vAlign w:val="bottom"/>
            <w:gridSpan w:val="4"/>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4"/>
              </w:rPr>
              <w:t>EQUITY:</w:t>
            </w:r>
          </w:p>
        </w:tc>
        <w:tc>
          <w:tcPr>
            <w:tcW w:w="6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gridSpan w:val="3"/>
          </w:tcPr>
          <w:p>
            <w:pPr>
              <w:ind w:left="340"/>
              <w:spacing w:after="0" w:line="201" w:lineRule="exact"/>
              <w:rPr>
                <w:sz w:val="20"/>
                <w:szCs w:val="20"/>
                <w:color w:val="auto"/>
              </w:rPr>
            </w:pPr>
            <w:r>
              <w:rPr>
                <w:rFonts w:ascii="Arial" w:cs="Arial" w:eastAsia="Arial" w:hAnsi="Arial"/>
                <w:sz w:val="18"/>
                <w:szCs w:val="18"/>
                <w:color w:val="auto"/>
                <w:w w:val="95"/>
              </w:rPr>
              <w:t>Common stock—$.0001 par value; 90,000 authorized, 60,379 and 60,170 shares issued and outstanding at March 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gridSpan w:val="3"/>
          </w:tcPr>
          <w:p>
            <w:pPr>
              <w:ind w:left="520"/>
              <w:spacing w:after="0"/>
              <w:rPr>
                <w:sz w:val="20"/>
                <w:szCs w:val="20"/>
                <w:color w:val="auto"/>
              </w:rPr>
            </w:pPr>
            <w:r>
              <w:rPr>
                <w:rFonts w:ascii="Arial" w:cs="Arial" w:eastAsia="Arial" w:hAnsi="Arial"/>
                <w:sz w:val="18"/>
                <w:szCs w:val="18"/>
                <w:color w:val="auto"/>
              </w:rPr>
              <w:t>2015 and December 31, 2014, respectively.</w:t>
            </w:r>
          </w:p>
        </w:tc>
        <w:tc>
          <w:tcPr>
            <w:tcW w:w="100" w:type="dxa"/>
            <w:vAlign w:val="bottom"/>
          </w:tcPr>
          <w:p>
            <w:pPr>
              <w:spacing w:after="0"/>
              <w:rPr>
                <w:sz w:val="20"/>
                <w:szCs w:val="20"/>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279,954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(29,865)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(21,475)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248,553</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889,349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Three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174,557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174,382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163,875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153,475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17,948</w:t>
            </w: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assets—net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Operating income (loss)</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Loss from continuing operations before income taxes</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Loss from continuing operations</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from discontinued operations, net of income taxes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700"/>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loss per share attributable to continuing operations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Basic loss per share attributable to discontinued operations, net of tax</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loss per share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Basic weighted average shares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60,265</w:t>
            </w: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59,708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loss per share attributable to continuing operations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860" w:type="dxa"/>
            <w:vAlign w:val="bottom"/>
          </w:tcPr>
          <w:p>
            <w:pPr>
              <w:ind w:left="340"/>
              <w:spacing w:after="0"/>
              <w:rPr>
                <w:sz w:val="20"/>
                <w:szCs w:val="20"/>
                <w:color w:val="auto"/>
              </w:rPr>
            </w:pPr>
            <w:r>
              <w:rPr>
                <w:rFonts w:ascii="Arial" w:cs="Arial" w:eastAsia="Arial" w:hAnsi="Arial"/>
                <w:sz w:val="18"/>
                <w:szCs w:val="18"/>
                <w:color w:val="auto"/>
              </w:rPr>
              <w:t>Diluted loss per share attributable to discontinued operations, net of tax</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loss per share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Diluted weighted average shares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60,265</w:t>
            </w:r>
          </w:p>
        </w:tc>
        <w:tc>
          <w:tcPr>
            <w:tcW w:w="1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59,708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60" w:type="dxa"/>
            <w:vAlign w:val="bottom"/>
          </w:tcPr>
          <w:p>
            <w:pPr>
              <w:jc w:val="center"/>
              <w:ind w:left="243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80" w:type="dxa"/>
            <w:vAlign w:val="bottom"/>
            <w:gridSpan w:val="2"/>
          </w:tcPr>
          <w:p>
            <w:pPr>
              <w:jc w:val="right"/>
              <w:ind w:right="3030"/>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jc w:val="center"/>
        <w:ind w:left="9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$(8,390)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Currency translation adjustment—net of tax (1)</w:t>
            </w:r>
          </w:p>
        </w:tc>
        <w:tc>
          <w:tcPr>
            <w:tcW w:w="4100" w:type="dxa"/>
            <w:vAlign w:val="bottom"/>
            <w:gridSpan w:val="3"/>
          </w:tcPr>
          <w:p>
            <w:pPr>
              <w:jc w:val="right"/>
              <w:ind w:right="280"/>
              <w:spacing w:after="0"/>
              <w:rPr>
                <w:sz w:val="20"/>
                <w:szCs w:val="20"/>
                <w:color w:val="auto"/>
              </w:rPr>
            </w:pPr>
            <w:r>
              <w:rPr>
                <w:rFonts w:ascii="Arial" w:cs="Arial" w:eastAsia="Arial" w:hAnsi="Arial"/>
                <w:sz w:val="18"/>
                <w:szCs w:val="18"/>
                <w:color w:val="auto"/>
              </w:rPr>
              <w:t>(808)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derivatives—net of tax</w:t>
            </w:r>
          </w:p>
        </w:tc>
        <w:tc>
          <w:tcPr>
            <w:tcW w:w="3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Other comprehensive loss—net of tax</w:t>
            </w:r>
          </w:p>
        </w:tc>
        <w:tc>
          <w:tcPr>
            <w:tcW w:w="32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(9,198)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 (5,673)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$536 and $(126) for three months ended March 31, 2015 and 2014,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480" w:type="dxa"/>
            <w:vAlign w:val="bottom"/>
            <w:gridSpan w:val="19"/>
          </w:tcPr>
          <w:p>
            <w:pPr>
              <w:ind w:left="500"/>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640" w:type="dxa"/>
            <w:vAlign w:val="bottom"/>
            <w:tcBorders>
              <w:top w:val="single" w:sz="8" w:color="auto"/>
            </w:tcBorders>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7"/>
              </w:rPr>
              <w:t>Shares of</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2015</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60,170</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$278,166</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(21,475)</w:t>
            </w: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$255,963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Vesting of restricted stock units, including impact of shares</w:t>
            </w:r>
          </w:p>
        </w:tc>
        <w:tc>
          <w:tcPr>
            <w:tcW w:w="5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withheld for taxes</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w w:val="92"/>
              </w:rPr>
              <w:t>Exercise of options and purchases from employee stock plans</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Excess income tax benefit from share-based compensation</w:t>
            </w:r>
          </w:p>
        </w:tc>
        <w:tc>
          <w:tcPr>
            <w:tcW w:w="6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4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(8,390)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loss—net of tax</w:t>
            </w:r>
          </w:p>
        </w:tc>
        <w:tc>
          <w:tcPr>
            <w:tcW w:w="62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60" w:type="dxa"/>
            <w:vAlign w:val="bottom"/>
            <w:gridSpan w:val="2"/>
          </w:tcPr>
          <w:p>
            <w:pPr>
              <w:spacing w:after="0"/>
              <w:rPr>
                <w:sz w:val="20"/>
                <w:szCs w:val="20"/>
                <w:color w:val="auto"/>
              </w:rPr>
            </w:pPr>
            <w:r>
              <w:rPr>
                <w:rFonts w:ascii="Arial" w:cs="Arial" w:eastAsia="Arial" w:hAnsi="Arial"/>
                <w:sz w:val="18"/>
                <w:szCs w:val="18"/>
                <w:color w:val="auto"/>
              </w:rPr>
              <w:t>BALANCE—March 31, 2015</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60,379</w:t>
            </w: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6</w:t>
            </w: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279,954</w:t>
            </w:r>
          </w:p>
        </w:tc>
        <w:tc>
          <w:tcPr>
            <w:tcW w:w="18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(29,865)</w:t>
            </w:r>
          </w:p>
        </w:tc>
        <w:tc>
          <w:tcPr>
            <w:tcW w:w="2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(1,542)</w:t>
            </w:r>
          </w:p>
        </w:tc>
        <w:tc>
          <w:tcPr>
            <w:tcW w:w="2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248,553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480" w:type="dxa"/>
            <w:vAlign w:val="bottom"/>
            <w:gridSpan w:val="19"/>
          </w:tcPr>
          <w:p>
            <w:pPr>
              <w:ind w:left="480"/>
              <w:spacing w:after="0"/>
              <w:rPr>
                <w:sz w:val="20"/>
                <w:szCs w:val="20"/>
                <w:color w:val="auto"/>
              </w:rPr>
            </w:pPr>
            <w:r>
              <w:rPr>
                <w:rFonts w:ascii="Arial" w:cs="Arial" w:eastAsia="Arial" w:hAnsi="Arial"/>
                <w:sz w:val="14"/>
                <w:szCs w:val="14"/>
                <w:b w:val="1"/>
                <w:bCs w:val="1"/>
                <w:color w:val="auto"/>
              </w:rPr>
              <w:t>Great Lakes Dredge &amp; Dock Corporation shareholders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640" w:type="dxa"/>
            <w:vAlign w:val="bottom"/>
            <w:tcBorders>
              <w:top w:val="single" w:sz="8" w:color="auto"/>
            </w:tcBorders>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7"/>
              </w:rPr>
              <w:t>Shares of</w:t>
            </w: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Paid-In</w:t>
            </w: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2014</w:t>
            </w: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59,670</w:t>
            </w:r>
          </w:p>
        </w:tc>
        <w:tc>
          <w:tcPr>
            <w:tcW w:w="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0"/>
                <w:szCs w:val="10"/>
                <w:color w:val="auto"/>
                <w:w w:val="71"/>
              </w:rPr>
              <w:t>6</w:t>
            </w:r>
          </w:p>
        </w:tc>
        <w:tc>
          <w:tcPr>
            <w:tcW w:w="18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$275,183</w:t>
            </w: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(31,770)</w:t>
            </w:r>
          </w:p>
        </w:tc>
        <w:tc>
          <w:tcPr>
            <w:tcW w:w="2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(845)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$242,101</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Exercise of options and purchases from employee stock plans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w w:val="96"/>
              </w:rPr>
              <w:t>Excess income tax benefit from share-based compensation</w:t>
            </w:r>
          </w:p>
        </w:tc>
        <w:tc>
          <w:tcPr>
            <w:tcW w:w="6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noncontrolling interest</w:t>
            </w:r>
          </w:p>
        </w:tc>
        <w:tc>
          <w:tcPr>
            <w:tcW w:w="6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845</w:t>
            </w:r>
          </w:p>
        </w:tc>
        <w:tc>
          <w:tcPr>
            <w:tcW w:w="180" w:type="dxa"/>
            <w:vAlign w:val="bottom"/>
            <w:tcBorders>
              <w:lef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6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(5,195)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loss—net of tax</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tcBorders>
              <w:lef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960" w:type="dxa"/>
            <w:vAlign w:val="bottom"/>
            <w:gridSpan w:val="2"/>
          </w:tcPr>
          <w:p>
            <w:pPr>
              <w:spacing w:after="0"/>
              <w:rPr>
                <w:sz w:val="20"/>
                <w:szCs w:val="20"/>
                <w:color w:val="auto"/>
              </w:rPr>
            </w:pPr>
            <w:r>
              <w:rPr>
                <w:rFonts w:ascii="Arial" w:cs="Arial" w:eastAsia="Arial" w:hAnsi="Arial"/>
                <w:sz w:val="18"/>
                <w:szCs w:val="18"/>
                <w:color w:val="auto"/>
              </w:rPr>
              <w:t>BALANCE—March 31, 2014</w:t>
            </w:r>
          </w:p>
        </w:tc>
        <w:tc>
          <w:tcPr>
            <w:tcW w:w="580" w:type="dxa"/>
            <w:vAlign w:val="bottom"/>
          </w:tcPr>
          <w:p>
            <w:pPr>
              <w:jc w:val="right"/>
              <w:spacing w:after="0"/>
              <w:rPr>
                <w:sz w:val="20"/>
                <w:szCs w:val="20"/>
                <w:color w:val="auto"/>
              </w:rPr>
            </w:pPr>
            <w:r>
              <w:rPr>
                <w:rFonts w:ascii="Arial" w:cs="Arial" w:eastAsia="Arial" w:hAnsi="Arial"/>
                <w:sz w:val="18"/>
                <w:szCs w:val="18"/>
                <w:color w:val="auto"/>
              </w:rPr>
              <w:t>59,784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380"/>
              <w:spacing w:after="0"/>
              <w:rPr>
                <w:sz w:val="20"/>
                <w:szCs w:val="20"/>
                <w:color w:val="auto"/>
              </w:rPr>
            </w:pPr>
            <w:r>
              <w:rPr>
                <w:rFonts w:ascii="Arial" w:cs="Arial" w:eastAsia="Arial" w:hAnsi="Arial"/>
                <w:sz w:val="10"/>
                <w:szCs w:val="10"/>
                <w:color w:val="auto"/>
                <w:w w:val="71"/>
              </w:rPr>
              <w:t>6</w:t>
            </w:r>
          </w:p>
        </w:tc>
        <w:tc>
          <w:tcPr>
            <w:tcW w:w="18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275,610</w:t>
            </w:r>
          </w:p>
        </w:tc>
        <w:tc>
          <w:tcPr>
            <w:tcW w:w="180" w:type="dxa"/>
            <w:vAlign w:val="bottom"/>
          </w:tcPr>
          <w:p>
            <w:pPr>
              <w:spacing w:after="0"/>
              <w:rPr>
                <w:sz w:val="24"/>
                <w:szCs w:val="24"/>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(36,965)</w:t>
            </w:r>
          </w:p>
        </w:tc>
        <w:tc>
          <w:tcPr>
            <w:tcW w:w="2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(951)</w:t>
            </w:r>
          </w:p>
        </w:tc>
        <w:tc>
          <w:tcPr>
            <w:tcW w:w="2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237,700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gridSpan w:val="16"/>
          </w:tcPr>
          <w:p>
            <w:pPr>
              <w:jc w:val="center"/>
              <w:ind w:left="3010"/>
              <w:spacing w:after="0"/>
              <w:rPr>
                <w:sz w:val="20"/>
                <w:szCs w:val="20"/>
                <w:color w:val="auto"/>
              </w:rPr>
            </w:pPr>
            <w:r>
              <w:rPr>
                <w:rFonts w:ascii="Arial" w:cs="Arial" w:eastAsia="Arial" w:hAnsi="Arial"/>
                <w:sz w:val="18"/>
                <w:szCs w:val="18"/>
                <w:color w:val="auto"/>
                <w:w w:val="88"/>
              </w:rPr>
              <w:t>See notes to unaudited condensed consolidated financial statements.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Three Months Ended</w:t>
      </w:r>
    </w:p>
    <w:p>
      <w:pPr>
        <w:jc w:val="center"/>
        <w:ind w:left="95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96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Net loss</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 (8,390)</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 (5,195)</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(2,739)</w:t>
            </w: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Loss from continuing operations</w:t>
            </w:r>
          </w:p>
        </w:tc>
        <w:tc>
          <w:tcPr>
            <w:tcW w:w="1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(8,390)</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(2,456)</w:t>
            </w:r>
          </w:p>
        </w:tc>
        <w:tc>
          <w:tcPr>
            <w:tcW w:w="100" w:type="dxa"/>
            <w:vAlign w:val="bottom"/>
          </w:tcPr>
          <w:p>
            <w:pPr>
              <w:spacing w:after="0"/>
              <w:rPr>
                <w:sz w:val="19"/>
                <w:szCs w:val="19"/>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used in operating activities:</w:t>
            </w: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700" w:type="dxa"/>
            <w:vAlign w:val="bottom"/>
            <w:gridSpan w:val="3"/>
          </w:tcPr>
          <w:p>
            <w:pPr>
              <w:jc w:val="right"/>
              <w:ind w:right="340"/>
              <w:spacing w:after="0"/>
              <w:rPr>
                <w:sz w:val="20"/>
                <w:szCs w:val="20"/>
                <w:color w:val="auto"/>
              </w:rPr>
            </w:pPr>
            <w:r>
              <w:rPr>
                <w:rFonts w:ascii="Arial" w:cs="Arial" w:eastAsia="Arial" w:hAnsi="Arial"/>
                <w:sz w:val="18"/>
                <w:szCs w:val="18"/>
                <w:color w:val="auto"/>
              </w:rPr>
              <w:t>13,153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10,885</w:t>
            </w: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loss of joint ventures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(6,045)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(3,125)</w:t>
            </w: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sale of assets</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Amortization of deferred financing fees</w:t>
            </w:r>
          </w:p>
        </w:tc>
        <w:tc>
          <w:tcPr>
            <w:tcW w:w="2700" w:type="dxa"/>
            <w:vAlign w:val="bottom"/>
            <w:gridSpan w:val="3"/>
          </w:tcPr>
          <w:p>
            <w:pPr>
              <w:jc w:val="right"/>
              <w:ind w:right="340"/>
              <w:spacing w:after="0"/>
              <w:rPr>
                <w:sz w:val="20"/>
                <w:szCs w:val="20"/>
                <w:color w:val="auto"/>
              </w:rPr>
            </w:pPr>
            <w:r>
              <w:rPr>
                <w:rFonts w:ascii="Arial" w:cs="Arial" w:eastAsia="Arial" w:hAnsi="Arial"/>
                <w:sz w:val="18"/>
                <w:szCs w:val="18"/>
                <w:color w:val="auto"/>
              </w:rPr>
              <w:t>492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net gain from mark-to-market valuations of derivatives</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Unrealized foreign currency gain</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(736)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Excess income tax benefit from share-based compensation</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w:t>
            </w:r>
          </w:p>
        </w:tc>
        <w:tc>
          <w:tcPr>
            <w:tcW w:w="1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6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700" w:type="dxa"/>
            <w:vAlign w:val="bottom"/>
            <w:gridSpan w:val="3"/>
          </w:tcPr>
          <w:p>
            <w:pPr>
              <w:jc w:val="right"/>
              <w:ind w:right="340"/>
              <w:spacing w:after="0"/>
              <w:rPr>
                <w:sz w:val="20"/>
                <w:szCs w:val="20"/>
                <w:color w:val="auto"/>
              </w:rPr>
            </w:pPr>
            <w:r>
              <w:rPr>
                <w:rFonts w:ascii="Arial" w:cs="Arial" w:eastAsia="Arial" w:hAnsi="Arial"/>
                <w:sz w:val="18"/>
                <w:szCs w:val="18"/>
                <w:color w:val="auto"/>
              </w:rPr>
              <w:t>37,746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30,390</w:t>
            </w:r>
          </w:p>
        </w:tc>
      </w:tr>
      <w:tr>
        <w:trPr>
          <w:trHeight w:val="216"/>
        </w:trPr>
        <w:tc>
          <w:tcPr>
            <w:tcW w:w="7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Contract revenues in excess of billings</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(20,160)</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(25,457)</w:t>
            </w:r>
          </w:p>
        </w:tc>
      </w:tr>
      <w:tr>
        <w:trPr>
          <w:trHeight w:val="216"/>
        </w:trPr>
        <w:tc>
          <w:tcPr>
            <w:tcW w:w="796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1,572</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(418)</w:t>
            </w:r>
          </w:p>
        </w:tc>
      </w:tr>
      <w:tr>
        <w:trPr>
          <w:trHeight w:val="216"/>
        </w:trPr>
        <w:tc>
          <w:tcPr>
            <w:tcW w:w="7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12,684</w:t>
            </w:r>
          </w:p>
        </w:tc>
      </w:tr>
      <w:tr>
        <w:trPr>
          <w:trHeight w:val="216"/>
        </w:trPr>
        <w:tc>
          <w:tcPr>
            <w:tcW w:w="796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700" w:type="dxa"/>
            <w:vAlign w:val="bottom"/>
            <w:gridSpan w:val="3"/>
          </w:tcPr>
          <w:p>
            <w:pPr>
              <w:jc w:val="right"/>
              <w:ind w:right="280"/>
              <w:spacing w:after="0"/>
              <w:rPr>
                <w:sz w:val="20"/>
                <w:szCs w:val="20"/>
                <w:color w:val="auto"/>
              </w:rPr>
            </w:pPr>
            <w:r>
              <w:rPr>
                <w:rFonts w:ascii="Arial" w:cs="Arial" w:eastAsia="Arial" w:hAnsi="Arial"/>
                <w:sz w:val="18"/>
                <w:szCs w:val="18"/>
                <w:color w:val="auto"/>
              </w:rPr>
              <w:t>(24,463)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(14,070)</w:t>
            </w:r>
          </w:p>
        </w:tc>
      </w:tr>
      <w:tr>
        <w:trPr>
          <w:trHeight w:val="216"/>
        </w:trPr>
        <w:tc>
          <w:tcPr>
            <w:tcW w:w="7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Billings in excess of contract revenues</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(2,245)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(1,793)</w:t>
            </w:r>
          </w:p>
        </w:tc>
      </w:tr>
      <w:tr>
        <w:trPr>
          <w:trHeight w:val="216"/>
        </w:trPr>
        <w:tc>
          <w:tcPr>
            <w:tcW w:w="7960" w:type="dxa"/>
            <w:vAlign w:val="bottom"/>
          </w:tcPr>
          <w:p>
            <w:pPr>
              <w:ind w:left="720"/>
              <w:spacing w:after="0"/>
              <w:rPr>
                <w:sz w:val="20"/>
                <w:szCs w:val="20"/>
                <w:color w:val="auto"/>
              </w:rPr>
            </w:pPr>
            <w:r>
              <w:rPr>
                <w:rFonts w:ascii="Arial" w:cs="Arial" w:eastAsia="Arial" w:hAnsi="Arial"/>
                <w:sz w:val="18"/>
                <w:szCs w:val="18"/>
                <w:color w:val="auto"/>
              </w:rPr>
              <w:t>Other noncurrent assets and liabilities</w:t>
            </w:r>
          </w:p>
        </w:tc>
        <w:tc>
          <w:tcPr>
            <w:tcW w:w="17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(1,475)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(1,082)</w:t>
            </w:r>
          </w:p>
        </w:tc>
      </w:tr>
      <w:tr>
        <w:trPr>
          <w:trHeight w:val="27"/>
        </w:trPr>
        <w:tc>
          <w:tcPr>
            <w:tcW w:w="7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flows provided by (used in) operating activities of continuing operations</w:t>
            </w: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8,645</w:t>
            </w: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17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(2,635)</w:t>
            </w:r>
          </w:p>
        </w:tc>
      </w:tr>
      <w:tr>
        <w:trPr>
          <w:trHeight w:val="27"/>
        </w:trPr>
        <w:tc>
          <w:tcPr>
            <w:tcW w:w="7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provided by (used in) operating activities</w:t>
            </w: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w:t>
            </w:r>
          </w:p>
        </w:tc>
      </w:tr>
      <w:tr>
        <w:trPr>
          <w:trHeight w:val="324"/>
        </w:trPr>
        <w:tc>
          <w:tcPr>
            <w:tcW w:w="79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(20,777)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(21,631)</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Payments on vendor performance obligations (Note 8)</w:t>
            </w: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(3,100)</w:t>
            </w:r>
          </w:p>
        </w:tc>
      </w:tr>
      <w:tr>
        <w:trPr>
          <w:trHeight w:val="223"/>
        </w:trPr>
        <w:tc>
          <w:tcPr>
            <w:tcW w:w="7960" w:type="dxa"/>
            <w:vAlign w:val="bottom"/>
          </w:tcPr>
          <w:p>
            <w:pPr>
              <w:ind w:left="36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1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(20,737)</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(24,667)</w:t>
            </w:r>
          </w:p>
        </w:tc>
        <w:tc>
          <w:tcPr>
            <w:tcW w:w="100" w:type="dxa"/>
            <w:vAlign w:val="bottom"/>
          </w:tcPr>
          <w:p>
            <w:pPr>
              <w:spacing w:after="0"/>
              <w:rPr>
                <w:sz w:val="19"/>
                <w:szCs w:val="19"/>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flows used in investing activities of discontinued operations</w:t>
            </w:r>
          </w:p>
        </w:tc>
        <w:tc>
          <w:tcPr>
            <w:tcW w:w="1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24"/>
        </w:trPr>
        <w:tc>
          <w:tcPr>
            <w:tcW w:w="7960" w:type="dxa"/>
            <w:vAlign w:val="bottom"/>
          </w:tcPr>
          <w:p>
            <w:pPr>
              <w:ind w:left="360"/>
              <w:spacing w:after="0"/>
              <w:rPr>
                <w:sz w:val="20"/>
                <w:szCs w:val="20"/>
                <w:color w:val="auto"/>
              </w:rPr>
            </w:pPr>
            <w:r>
              <w:rPr>
                <w:rFonts w:ascii="Arial" w:cs="Arial" w:eastAsia="Arial" w:hAnsi="Arial"/>
                <w:sz w:val="18"/>
                <w:szCs w:val="18"/>
                <w:color w:val="auto"/>
              </w:rPr>
              <w:t>Cash used in investing activities</w:t>
            </w:r>
          </w:p>
        </w:tc>
        <w:tc>
          <w:tcPr>
            <w:tcW w:w="1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(20,737)</w:t>
            </w:r>
          </w:p>
        </w:tc>
        <w:tc>
          <w:tcPr>
            <w:tcW w:w="3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(24,693)</w:t>
            </w:r>
          </w:p>
        </w:tc>
        <w:tc>
          <w:tcPr>
            <w:tcW w:w="100" w:type="dxa"/>
            <w:vAlign w:val="bottom"/>
          </w:tcPr>
          <w:p>
            <w:pPr>
              <w:spacing w:after="0"/>
              <w:rPr>
                <w:sz w:val="19"/>
                <w:szCs w:val="19"/>
                <w:color w:val="auto"/>
              </w:rPr>
            </w:pPr>
          </w:p>
        </w:tc>
      </w:tr>
      <w:tr>
        <w:trPr>
          <w:trHeight w:val="364"/>
        </w:trPr>
        <w:tc>
          <w:tcPr>
            <w:tcW w:w="7960" w:type="dxa"/>
            <w:vAlign w:val="bottom"/>
          </w:tcPr>
          <w:p>
            <w:pPr>
              <w:ind w:left="5660"/>
              <w:spacing w:after="0"/>
              <w:rPr>
                <w:sz w:val="20"/>
                <w:szCs w:val="20"/>
                <w:color w:val="auto"/>
              </w:rPr>
            </w:pPr>
            <w:r>
              <w:rPr>
                <w:rFonts w:ascii="Arial" w:cs="Arial" w:eastAsia="Arial" w:hAnsi="Arial"/>
                <w:sz w:val="18"/>
                <w:szCs w:val="18"/>
                <w:color w:val="auto"/>
              </w:rPr>
              <w:t>7</w:t>
            </w: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3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6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Deferred financing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paid on settlement of vested share awards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Repayments of term loan facility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equipment debt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Proceeds from equipment debt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408</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noncontrolling interest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Excess income tax benefit from share-based compensation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Borrowings under revolving loans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53,000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19,646</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color w:val="auto"/>
              </w:rPr>
              <w:t>Net decrease in cash and cash equivalents</w:t>
            </w:r>
          </w:p>
        </w:tc>
        <w:tc>
          <w:tcPr>
            <w:tcW w:w="2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(11,770)</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(16,643)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42,389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23"/>
        </w:trPr>
        <w:tc>
          <w:tcPr>
            <w:tcW w:w="738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30,619</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60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11,068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(refunded) for income taxes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(12,449)</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gridSpan w:val="3"/>
            <w:vMerge w:val="continue"/>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purchased but not yet paid</w:t>
            </w:r>
          </w:p>
        </w:tc>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Purchase of noncontrolling interest</w:t>
            </w:r>
          </w:p>
        </w:tc>
        <w:tc>
          <w:tcPr>
            <w:tcW w:w="23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3"/>
            <w:vMerge w:val="continue"/>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purchased on notes payable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15,569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6"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34"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2014.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2015, and its results of operations for the three months ended March 31, 2015 and 2014 and cash flows for the three months ended March 31, 2015 and 2014 have been included.</w:t>
      </w:r>
    </w:p>
    <w:p>
      <w:pPr>
        <w:spacing w:after="0" w:line="16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coastal protection projects have the most volatile margins because they are most often exposed to variability in weather conditions.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cost structure includes significant annual equipment-related costs, including depreciation, maintenance, insurance and long-term rentals. These costs have averaged approximately 20% to 22% of total costs of contract revenues over the prior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or under allocated equipment costs are recognized such that the expense for the year equals actual equipment costs incurred during the year.</w:t>
      </w:r>
    </w:p>
    <w:p>
      <w:pPr>
        <w:spacing w:after="0" w:line="18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has four operating segments that, through aggregation, comprise two reportable segments: dredging and environmental &amp; remediation.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 The Company performed its most recent annual test of impairment as of July 1, 2014 for the goodwill in both the dredging and environmental &amp; remediation segments with no indication of goodwill impairment as of the test date. The Company will perform its next scheduled annual test of goodwill in the third quarter of 2015.</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In May 2014, the Financial Accounting Standards Board issued Accounting Standard Update No. 2014-09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 (Topic 606)</w:t>
      </w:r>
      <w:r>
        <w:rPr>
          <w:rFonts w:ascii="Arial" w:cs="Arial" w:eastAsia="Arial" w:hAnsi="Arial"/>
          <w:sz w:val="17"/>
          <w:szCs w:val="17"/>
          <w:color w:val="auto"/>
        </w:rPr>
        <w:t>, which supersedes the existing revenue recognition requirements. ASU 2014-09 is based on the principle that revenue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to depict the transfer of goods or services to customers in an amount that reflects the consideration to which the entity expects to be entitled in exchange for those goods or services. ASU 2014-09 is effective for fiscal years beginning after December 15, 2016, including interim periods within that reporting period, which will be our first quarter of fiscal 2017. Early adoption is not permitted. A one year delay to the effective date of the standard is currently proposed. We are currently evaluating the impact of ASU 2014-09 on our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reporting period. Diluted earnings per share is computed similarly to basic earnings per share except that it reflects the potential dilution that could occur if dilutive securities or other obligations to issue common stock were exercised or converted into common stock. For the three months ended March 31, 2015 and 2014 the dilutive effect of 534 thousand and 789 thousand shares of stock options and restricted stock units, respectively, were excluded from the diluted weighted-average common shares outstanding as the Company incurred a loss during these periods. The computations for basic and diluted loss per share from continuing operations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 in thousands)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9"/>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84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16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9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(8,390)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(2,456)</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Loss on discontinued operations, net of income taxes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(2,739)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(5,195)</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Weighted-average common shares outstanding — basic and diluted</w:t>
            </w: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60,265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59,708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2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from continuing operations — basic</w:t>
            </w:r>
          </w:p>
        </w:tc>
        <w:tc>
          <w:tcPr>
            <w:tcW w:w="146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(0.14)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Loss per share from continuing operations — diluted</w:t>
            </w:r>
          </w:p>
        </w:tc>
        <w:tc>
          <w:tcPr>
            <w:tcW w:w="1460" w:type="dxa"/>
            <w:vAlign w:val="bottom"/>
            <w:gridSpan w:val="3"/>
          </w:tcPr>
          <w:p>
            <w:pPr>
              <w:jc w:val="right"/>
              <w:ind w:right="4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(0.14)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566"/>
        </w:trPr>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24"/>
                <w:szCs w:val="24"/>
                <w:color w:val="auto"/>
              </w:rPr>
            </w:pPr>
          </w:p>
        </w:tc>
        <w:tc>
          <w:tcPr>
            <w:tcW w:w="5680" w:type="dxa"/>
            <w:vAlign w:val="bottom"/>
          </w:tcPr>
          <w:p>
            <w:pPr>
              <w:ind w:left="100"/>
              <w:spacing w:after="0"/>
              <w:rPr>
                <w:sz w:val="20"/>
                <w:szCs w:val="20"/>
                <w:color w:val="auto"/>
              </w:rPr>
            </w:pPr>
            <w:r>
              <w:rPr>
                <w:rFonts w:ascii="Arial" w:cs="Arial" w:eastAsia="Arial" w:hAnsi="Arial"/>
                <w:sz w:val="18"/>
                <w:szCs w:val="18"/>
                <w:b w:val="1"/>
                <w:bCs w:val="1"/>
                <w:color w:val="auto"/>
              </w:rPr>
              <w:t>Accounts receivable and contracts in progress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60" w:type="dxa"/>
            <w:vAlign w:val="bottom"/>
            <w:gridSpan w:val="3"/>
          </w:tcPr>
          <w:p>
            <w:pPr>
              <w:spacing w:after="0"/>
              <w:rPr>
                <w:sz w:val="20"/>
                <w:szCs w:val="20"/>
                <w:color w:val="auto"/>
              </w:rPr>
            </w:pPr>
            <w:r>
              <w:rPr>
                <w:rFonts w:ascii="Arial" w:cs="Arial" w:eastAsia="Arial" w:hAnsi="Arial"/>
                <w:sz w:val="18"/>
                <w:szCs w:val="18"/>
                <w:color w:val="auto"/>
              </w:rPr>
              <w:t>Accounts receivable at March 31, 2015 and December 31, 2014 are as follows:</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60" w:type="dxa"/>
            <w:vAlign w:val="bottom"/>
            <w:gridSpan w:val="3"/>
          </w:tcPr>
          <w:p>
            <w:pPr>
              <w:jc w:val="right"/>
              <w:ind w:right="102"/>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8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$ 12,538</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Contracts in progress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45,383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77,366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115,172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54"/>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20" w:type="dxa"/>
            <w:vAlign w:val="bottom"/>
          </w:tcPr>
          <w:p>
            <w:pPr>
              <w:spacing w:after="0"/>
              <w:rPr>
                <w:sz w:val="24"/>
                <w:szCs w:val="24"/>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Total accounts receivable—net</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$ 76,758</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114,594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2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accounts receivable—net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$ 75,348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113,188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Long-term accounts receivable and retainage</w:t>
            </w:r>
          </w:p>
        </w:tc>
        <w:tc>
          <w:tcPr>
            <w:tcW w:w="8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1,410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receivable—net</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$ 76,758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114,594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40" w:type="dxa"/>
            <w:vAlign w:val="bottom"/>
            <w:gridSpan w:val="2"/>
            <w:vMerge w:val="restart"/>
          </w:tcPr>
          <w:p>
            <w:pPr>
              <w:ind w:left="4400"/>
              <w:spacing w:after="0"/>
              <w:rPr>
                <w:sz w:val="20"/>
                <w:szCs w:val="20"/>
                <w:color w:val="auto"/>
              </w:rPr>
            </w:pPr>
            <w:r>
              <w:rPr>
                <w:rFonts w:ascii="Arial" w:cs="Arial" w:eastAsia="Arial" w:hAnsi="Arial"/>
                <w:sz w:val="18"/>
                <w:szCs w:val="18"/>
                <w:color w:val="auto"/>
              </w:rPr>
              <w:t>10</w:t>
            </w:r>
          </w:p>
        </w:tc>
        <w:tc>
          <w:tcPr>
            <w:tcW w:w="8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20" w:type="dxa"/>
            <w:vAlign w:val="bottom"/>
          </w:tcPr>
          <w:p>
            <w:pPr>
              <w:spacing w:after="0"/>
              <w:rPr>
                <w:sz w:val="24"/>
                <w:szCs w:val="24"/>
                <w:color w:val="auto"/>
              </w:rPr>
            </w:pPr>
          </w:p>
        </w:tc>
        <w:tc>
          <w:tcPr>
            <w:tcW w:w="584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March 31, 2015 and December 31, 2014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6"/>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Costs and earnings in excess of billings:</w:t>
            </w:r>
          </w:p>
        </w:tc>
        <w:tc>
          <w:tcPr>
            <w:tcW w:w="9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$ 496,995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833,368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billed</w:t>
            </w:r>
          </w:p>
        </w:tc>
        <w:tc>
          <w:tcPr>
            <w:tcW w:w="19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(408,324)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(759,877)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2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88,671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73,491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22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5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13,331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4"/>
                <w:szCs w:val="24"/>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Total contract revenues in excess of billings</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$ 102,002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82,557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220" w:type="dxa"/>
            <w:vAlign w:val="bottom"/>
          </w:tcPr>
          <w:p>
            <w:pPr>
              <w:spacing w:after="0"/>
              <w:rPr>
                <w:sz w:val="8"/>
                <w:szCs w:val="8"/>
                <w:color w:val="auto"/>
              </w:rPr>
            </w:pPr>
          </w:p>
        </w:tc>
        <w:tc>
          <w:tcPr>
            <w:tcW w:w="160" w:type="dxa"/>
            <w:vAlign w:val="bottom"/>
            <w:vMerge w:val="restart"/>
          </w:tcPr>
          <w:p>
            <w:pPr>
              <w:spacing w:after="0"/>
              <w:rPr>
                <w:sz w:val="8"/>
                <w:szCs w:val="8"/>
                <w:color w:val="auto"/>
              </w:rPr>
            </w:pPr>
          </w:p>
        </w:tc>
        <w:tc>
          <w:tcPr>
            <w:tcW w:w="5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ind w:left="360"/>
              <w:spacing w:after="0"/>
              <w:rPr>
                <w:sz w:val="20"/>
                <w:szCs w:val="20"/>
                <w:color w:val="auto"/>
              </w:rPr>
            </w:pPr>
            <w:r>
              <w:rPr>
                <w:rFonts w:ascii="Arial" w:cs="Arial" w:eastAsia="Arial" w:hAnsi="Arial"/>
                <w:sz w:val="18"/>
                <w:szCs w:val="18"/>
                <w:color w:val="auto"/>
              </w:rPr>
              <w:t>Amounts billed</w:t>
            </w:r>
          </w:p>
        </w:tc>
        <w:tc>
          <w:tcPr>
            <w:tcW w:w="1960" w:type="dxa"/>
            <w:vAlign w:val="bottom"/>
            <w:gridSpan w:val="5"/>
          </w:tcPr>
          <w:p>
            <w:pPr>
              <w:jc w:val="right"/>
              <w:ind w:right="240"/>
              <w:spacing w:after="0"/>
              <w:rPr>
                <w:sz w:val="20"/>
                <w:szCs w:val="20"/>
                <w:color w:val="auto"/>
              </w:rPr>
            </w:pPr>
            <w:r>
              <w:rPr>
                <w:rFonts w:ascii="Arial" w:cs="Arial" w:eastAsia="Arial" w:hAnsi="Arial"/>
                <w:sz w:val="18"/>
                <w:szCs w:val="18"/>
                <w:color w:val="auto"/>
              </w:rPr>
              <w:t>$(310,521)</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(181,698)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and earnings for contracts in progress</w:t>
            </w:r>
          </w:p>
        </w:tc>
        <w:tc>
          <w:tcPr>
            <w:tcW w:w="92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307,904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177,059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1220" w:type="dxa"/>
            <w:vAlign w:val="bottom"/>
          </w:tcPr>
          <w:p>
            <w:pPr>
              <w:spacing w:after="0"/>
              <w:rPr>
                <w:sz w:val="24"/>
                <w:szCs w:val="24"/>
                <w:color w:val="auto"/>
              </w:rPr>
            </w:pPr>
          </w:p>
        </w:tc>
        <w:tc>
          <w:tcPr>
            <w:tcW w:w="5700" w:type="dxa"/>
            <w:vAlign w:val="bottom"/>
            <w:gridSpan w:val="2"/>
          </w:tcPr>
          <w:p>
            <w:pPr>
              <w:ind w:left="160"/>
              <w:spacing w:after="0"/>
              <w:rPr>
                <w:sz w:val="20"/>
                <w:szCs w:val="20"/>
                <w:color w:val="auto"/>
              </w:rPr>
            </w:pPr>
            <w:r>
              <w:rPr>
                <w:rFonts w:ascii="Arial" w:cs="Arial" w:eastAsia="Arial" w:hAnsi="Arial"/>
                <w:sz w:val="18"/>
                <w:szCs w:val="18"/>
                <w:color w:val="auto"/>
              </w:rPr>
              <w:t>Total billings in excess of contract revenues</w:t>
            </w:r>
          </w:p>
        </w:tc>
        <w:tc>
          <w:tcPr>
            <w:tcW w:w="1960" w:type="dxa"/>
            <w:vAlign w:val="bottom"/>
            <w:gridSpan w:val="5"/>
          </w:tcPr>
          <w:p>
            <w:pPr>
              <w:jc w:val="right"/>
              <w:ind w:right="240"/>
              <w:spacing w:after="0"/>
              <w:rPr>
                <w:sz w:val="20"/>
                <w:szCs w:val="20"/>
                <w:color w:val="auto"/>
              </w:rPr>
            </w:pPr>
            <w:r>
              <w:rPr>
                <w:rFonts w:ascii="Arial" w:cs="Arial" w:eastAsia="Arial" w:hAnsi="Arial"/>
                <w:sz w:val="18"/>
                <w:szCs w:val="18"/>
                <w:color w:val="auto"/>
              </w:rPr>
              <w:t>$  (2,617)</w:t>
            </w:r>
          </w:p>
        </w:tc>
        <w:tc>
          <w:tcPr>
            <w:tcW w:w="40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(4,639)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line="20" w:lineRule="exact"/>
              <w:rPr>
                <w:sz w:val="1"/>
                <w:szCs w:val="1"/>
                <w:color w:val="auto"/>
              </w:rPr>
            </w:pPr>
          </w:p>
        </w:tc>
        <w:tc>
          <w:tcPr>
            <w:tcW w:w="55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Accrued expenses</w:t>
            </w: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20" w:type="dxa"/>
            <w:vAlign w:val="bottom"/>
            <w:gridSpan w:val="3"/>
          </w:tcPr>
          <w:p>
            <w:pPr>
              <w:spacing w:after="0"/>
              <w:rPr>
                <w:sz w:val="20"/>
                <w:szCs w:val="20"/>
                <w:color w:val="auto"/>
              </w:rPr>
            </w:pPr>
            <w:r>
              <w:rPr>
                <w:rFonts w:ascii="Arial" w:cs="Arial" w:eastAsia="Arial" w:hAnsi="Arial"/>
                <w:sz w:val="18"/>
                <w:szCs w:val="18"/>
                <w:color w:val="auto"/>
              </w:rPr>
              <w:t>Accrued expenses at March 31, 2015 and December 31, 2014 are as follows: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4"/>
                <w:szCs w:val="24"/>
                <w:color w:val="auto"/>
              </w:rPr>
            </w:pPr>
          </w:p>
        </w:tc>
        <w:tc>
          <w:tcPr>
            <w:tcW w:w="9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20" w:type="dxa"/>
            <w:vAlign w:val="bottom"/>
          </w:tcPr>
          <w:p>
            <w:pPr>
              <w:spacing w:after="0"/>
              <w:rPr>
                <w:sz w:val="7"/>
                <w:szCs w:val="7"/>
                <w:color w:val="auto"/>
              </w:rPr>
            </w:pPr>
          </w:p>
        </w:tc>
        <w:tc>
          <w:tcPr>
            <w:tcW w:w="160" w:type="dxa"/>
            <w:vAlign w:val="bottom"/>
            <w:vMerge w:val="restart"/>
          </w:tcPr>
          <w:p>
            <w:pPr>
              <w:spacing w:after="0"/>
              <w:rPr>
                <w:sz w:val="7"/>
                <w:szCs w:val="7"/>
                <w:color w:val="auto"/>
              </w:rPr>
            </w:pPr>
          </w:p>
        </w:tc>
        <w:tc>
          <w:tcPr>
            <w:tcW w:w="5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$ 17,917</w:t>
            </w:r>
          </w:p>
        </w:tc>
        <w:tc>
          <w:tcPr>
            <w:tcW w:w="2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Accumulated deficit in joint ventures</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10,383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 benefits</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3,543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Fuel hedge contracts</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1,978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13,402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$ 58,034</w:t>
            </w:r>
          </w:p>
        </w:tc>
        <w:tc>
          <w:tcPr>
            <w:tcW w:w="2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as subsequently amended, provides for a senior revolving credit facility in an aggregate principal amount of up to $210,000, multicurrency borrowings up to a $50,000 sublimit and swingline loans up to a $10,000 sublimit. The Credit Agreement also includes an incremental loans feature that will allow the Company to increase the senior revolving credit facility by an aggregate principal amount of up to $15,000.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 The Credit Agreement is collateralized by a substantial portion of the Company’s operating equipment with a net book value at March 31, 2015 of $160,113.</w:t>
      </w:r>
    </w:p>
    <w:p>
      <w:pPr>
        <w:spacing w:after="0" w:line="16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amended revolving credit facility will bear interest at the option of the Company at either a LIBOR rate plus a margin of between 1.50% to 2.50% per annum or a base rate plus a margin of between 0.50% to 1.50% per annum.</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providers.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March 31, 2015, the Company had $20,000 of borrowings on the revolver and $125,461 of letters of credit outstanding, resulting in $64,539 of availability under the Credit Agreement. At March 31, 2015, the Company was in compliance with its various financial covenants under its Credit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November 4, 2014, the Company entered into a new senior secured term loan facility consisting of a term loan in an aggregate principal amount of</w:t>
      </w:r>
    </w:p>
    <w:p>
      <w:pPr>
        <w:spacing w:after="0" w:line="3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$50,000 (the “Term Loan Facility”) pursuant to a Loan and Security Agreement (the “Loan Agreement”) by and among, the lenders party thereto from time to time and Bank of America, N.A., as administrative agent. Pursuant to the term loan, the Company borrowed an aggregate principal amount of $47,360.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w:t>
      </w:r>
    </w:p>
    <w:p>
      <w:pPr>
        <w:spacing w:after="0" w:line="1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Term Loan Facility provides for monthly amortization payments, payable in arrears, commencing on December 4, 2014, at an annual amount of</w:t>
      </w:r>
    </w:p>
    <w:p>
      <w:pPr>
        <w:spacing w:after="0" w:line="35" w:lineRule="exact"/>
        <w:rPr>
          <w:sz w:val="20"/>
          <w:szCs w:val="20"/>
          <w:color w:val="auto"/>
        </w:rPr>
      </w:pPr>
    </w:p>
    <w:p>
      <w:pPr>
        <w:ind w:firstLine="8"/>
        <w:spacing w:after="0" w:line="295"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has usual and customary mandatory prepayment provisions and may optionally prepay the Term Loan Facility in whole or in part at any time, subject to a minimum prepayment amount.</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 The Term Loan Facility is collateralized by a portion of the Company’s operating equipment with a net book value at March 31, 2015 of $49,039.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outstanding $275,000 of 7.375% senior notes due February 2019. There is an optional redemption on all notes. The redemption prices are 103.7% in 2015, 101.8% in 2016 and 100% in any year following, until the notes mature in 2019. Interest is paid semi-annually and principal is due at maturity.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conjunction with the acquisition of Magnus Pacific Corporation in the fourth quarter of 2014, the Company issued a secured promissory note which has an aggregate principal amount of $7,544 to the former owners of Magnus which has terms that could reduce the amount owed based on minimum EBITDA expectations. The secured promissory note accrues interest at a rate of 5% per annum and is due in equal installments on January 1, 2017 and 2018.</w:t>
      </w:r>
    </w:p>
    <w:p>
      <w:pPr>
        <w:spacing w:after="0" w:line="14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Company enters into note arrangements to finance certain vessels and ancillary equipment. At March 31, 2015 the Company financed the $15,569 acquisition of a vessel previously under an operating lease with a note bearing interest at 5.75% to maturity in 2023. The current portion of all equipment notes is $2,818. The long term portion is $14,470 and is included in Notes payable.</w:t>
      </w:r>
    </w:p>
    <w:p>
      <w:pPr>
        <w:spacing w:after="0" w:line="326"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800" w:type="dxa"/>
            <w:vAlign w:val="bottom"/>
          </w:tcPr>
          <w:p>
            <w:pPr>
              <w:spacing w:after="0"/>
              <w:rPr>
                <w:sz w:val="10"/>
                <w:szCs w:val="10"/>
                <w:color w:val="auto"/>
              </w:rPr>
            </w:pPr>
          </w:p>
        </w:tc>
        <w:tc>
          <w:tcPr>
            <w:tcW w:w="190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5"/>
              </w:rPr>
              <w:t>Significant Other</w:t>
            </w:r>
          </w:p>
        </w:tc>
        <w:tc>
          <w:tcPr>
            <w:tcW w:w="30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March 31, 2015</w:t>
            </w:r>
          </w:p>
        </w:tc>
        <w:tc>
          <w:tcPr>
            <w:tcW w:w="10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0" w:type="dxa"/>
            <w:vAlign w:val="bottom"/>
          </w:tcPr>
          <w:p>
            <w:pPr>
              <w:spacing w:after="0"/>
              <w:rPr>
                <w:sz w:val="12"/>
                <w:szCs w:val="12"/>
                <w:color w:val="auto"/>
              </w:rPr>
            </w:pP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32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
              <w:spacing w:after="0"/>
              <w:rPr>
                <w:sz w:val="20"/>
                <w:szCs w:val="20"/>
                <w:color w:val="auto"/>
              </w:rPr>
            </w:pPr>
            <w:r>
              <w:rPr>
                <w:rFonts w:ascii="Arial" w:cs="Arial" w:eastAsia="Arial" w:hAnsi="Arial"/>
                <w:sz w:val="14"/>
                <w:szCs w:val="14"/>
                <w:b w:val="1"/>
                <w:bCs w:val="1"/>
                <w:color w:val="auto"/>
                <w:w w:val="94"/>
              </w:rPr>
              <w:t>(Level 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7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 Prices in</w:t>
            </w:r>
          </w:p>
        </w:tc>
        <w:tc>
          <w:tcPr>
            <w:tcW w:w="800" w:type="dxa"/>
            <w:vAlign w:val="bottom"/>
          </w:tcPr>
          <w:p>
            <w:pPr>
              <w:spacing w:after="0"/>
              <w:rPr>
                <w:sz w:val="10"/>
                <w:szCs w:val="10"/>
                <w:color w:val="auto"/>
              </w:rPr>
            </w:pPr>
          </w:p>
        </w:tc>
        <w:tc>
          <w:tcPr>
            <w:tcW w:w="190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5"/>
              </w:rPr>
              <w:t>Significant Other</w:t>
            </w:r>
          </w:p>
        </w:tc>
        <w:tc>
          <w:tcPr>
            <w:tcW w:w="30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0" w:type="dxa"/>
            <w:vAlign w:val="bottom"/>
          </w:tcPr>
          <w:p>
            <w:pPr>
              <w:spacing w:after="0"/>
              <w:rPr>
                <w:sz w:val="12"/>
                <w:szCs w:val="12"/>
                <w:color w:val="auto"/>
              </w:rPr>
            </w:pPr>
          </w:p>
        </w:tc>
        <w:tc>
          <w:tcPr>
            <w:tcW w:w="19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20" w:type="dxa"/>
            <w:vAlign w:val="bottom"/>
          </w:tcPr>
          <w:p>
            <w:pPr>
              <w:spacing w:after="0"/>
              <w:rPr>
                <w:sz w:val="12"/>
                <w:szCs w:val="12"/>
                <w:color w:val="auto"/>
              </w:rPr>
            </w:pPr>
          </w:p>
        </w:tc>
        <w:tc>
          <w:tcPr>
            <w:tcW w:w="2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2014</w:t>
            </w:r>
          </w:p>
        </w:tc>
        <w:tc>
          <w:tcPr>
            <w:tcW w:w="10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0" w:type="dxa"/>
            <w:vAlign w:val="bottom"/>
          </w:tcPr>
          <w:p>
            <w:pPr>
              <w:spacing w:after="0"/>
              <w:rPr>
                <w:sz w:val="12"/>
                <w:szCs w:val="12"/>
                <w:color w:val="auto"/>
              </w:rPr>
            </w:pPr>
          </w:p>
        </w:tc>
        <w:tc>
          <w:tcPr>
            <w:tcW w:w="19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232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4"/>
              <w:spacing w:after="0"/>
              <w:rPr>
                <w:sz w:val="20"/>
                <w:szCs w:val="20"/>
                <w:color w:val="auto"/>
              </w:rPr>
            </w:pPr>
            <w:r>
              <w:rPr>
                <w:rFonts w:ascii="Arial" w:cs="Arial" w:eastAsia="Arial" w:hAnsi="Arial"/>
                <w:sz w:val="14"/>
                <w:szCs w:val="14"/>
                <w:b w:val="1"/>
                <w:bCs w:val="1"/>
                <w:color w:val="auto"/>
                <w:w w:val="94"/>
              </w:rPr>
              <w:t>(Level 1)</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20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3,029</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has exposure to foreign currencies that fluctuate in relation to the U.S. dollar. The Company periodically enters into foreign exchange forward contracts to hedge this risk. At March 31, 2015, there were no outstanding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fuel requirements for work in domestic backlog.</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March 31, 2015, the Company was party to various swap arrangements to hedge the price of a portion of its diesel fuel purchase requirements for work in its backlog to be performed through December 2015. As of March 31, 2015, there were 6.4 million gallons remaining on these contracts which represent approximately 80% of the Company’s forecasted domestic fuel purchases through December 2015. Under these swap agreements, the Company will pay fixed prices ranging from $1.83 to $2.92 per gallon.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March 31, 2015 and December 31, 2014, the fair value liability of the fuel hedge contracts was estimated to be $1,978 and $3,029, respectively, and is recorded in accrued expenses. Changes in the fair value of fuel hedge contracts being recorded in the Statement of Operations are recorded as cost of contract revenues. The fair values of fuel hedges are corroborated using inputs that are readily observable in public markets; therefore, the Company determines fair value of these fuel hedges using Level 2 inputs.</w:t>
      </w:r>
    </w:p>
    <w:p>
      <w:pPr>
        <w:spacing w:after="0" w:line="18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March 31, 2015 and December 31, 2014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6"/>
              </w:rPr>
              <w:t>Fair Value at</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8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640" w:type="dxa"/>
            <w:vAlign w:val="bottom"/>
          </w:tcPr>
          <w:p>
            <w:pPr>
              <w:jc w:val="right"/>
              <w:ind w:right="84"/>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179"/>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Liability derivatives:</w:t>
            </w:r>
          </w:p>
        </w:tc>
        <w:tc>
          <w:tcPr>
            <w:tcW w:w="1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Derivatives not designated as hedging instruments</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Fuel hedge contracts</w:t>
            </w: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  1,978</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4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adjustments—net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6"/>
              </w:rPr>
              <w:t>(808)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Derivatives: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of derivative gains to earnings—net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Change in fair value of derivatives—net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derivatives—net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Total other comprehensive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(808</w:t>
            </w:r>
          </w:p>
        </w:tc>
        <w:tc>
          <w:tcPr>
            <w:tcW w:w="460" w:type="dxa"/>
            <w:vAlign w:val="bottom"/>
          </w:tcPr>
          <w:p>
            <w:pPr>
              <w:jc w:val="right"/>
              <w:ind w:right="38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4200" w:type="dxa"/>
            <w:vAlign w:val="bottom"/>
            <w:gridSpan w:val="3"/>
            <w:vMerge w:val="restart"/>
          </w:tcPr>
          <w:p>
            <w:pPr>
              <w:ind w:left="1220"/>
              <w:spacing w:after="0"/>
              <w:rPr>
                <w:sz w:val="20"/>
                <w:szCs w:val="20"/>
                <w:color w:val="auto"/>
              </w:rPr>
            </w:pPr>
            <w:r>
              <w:rPr>
                <w:rFonts w:ascii="Arial" w:cs="Arial" w:eastAsia="Arial" w:hAnsi="Arial"/>
                <w:sz w:val="14"/>
                <w:szCs w:val="14"/>
                <w:b w:val="1"/>
                <w:bCs w:val="1"/>
                <w:color w:val="auto"/>
              </w:rPr>
              <w:t>Statement of Operations Location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42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1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w:t>
            </w:r>
          </w:p>
        </w:tc>
        <w:tc>
          <w:tcPr>
            <w:tcW w:w="122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360"/>
              <w:spacing w:after="0"/>
              <w:rPr>
                <w:sz w:val="20"/>
                <w:szCs w:val="20"/>
                <w:color w:val="auto"/>
              </w:rPr>
            </w:pPr>
            <w:r>
              <w:rPr>
                <w:rFonts w:ascii="Arial" w:cs="Arial" w:eastAsia="Arial" w:hAnsi="Arial"/>
                <w:sz w:val="18"/>
                <w:szCs w:val="18"/>
                <w:color w:val="auto"/>
              </w:rPr>
              <w:t>Fuel hedge contracts</w:t>
            </w:r>
          </w:p>
        </w:tc>
        <w:tc>
          <w:tcPr>
            <w:tcW w:w="4200" w:type="dxa"/>
            <w:vAlign w:val="bottom"/>
            <w:gridSpan w:val="3"/>
          </w:tcPr>
          <w:p>
            <w:pPr>
              <w:ind w:left="1220"/>
              <w:spacing w:after="0"/>
              <w:rPr>
                <w:sz w:val="20"/>
                <w:szCs w:val="20"/>
                <w:color w:val="auto"/>
              </w:rPr>
            </w:pPr>
            <w:r>
              <w:rPr>
                <w:rFonts w:ascii="Arial" w:cs="Arial" w:eastAsia="Arial" w:hAnsi="Arial"/>
                <w:sz w:val="18"/>
                <w:szCs w:val="18"/>
                <w:color w:val="auto"/>
              </w:rPr>
              <w:t>Costs of contract revenues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color w:val="auto"/>
                <w:w w:val="72"/>
              </w:rPr>
              <w:t>(46)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senior revolving credit agreement approximates fair value. The Company entered into a senior secured term loan facility in November 2014 that approximates fair value based upon stable market interest rates and Company credit ratings from inception to year end. In January 2011 and again in November 2014, the Company issued a total of $275,000 of 7.375% senior notes due February 1, 2019, which were outstanding at March 31, 2015 (See Note 5). The senior notes are senior unsecured obligations of the Company and its subsidiaries that guarantee the senior notes. The fair value of the senior notes was $281,875 at March 31, 2015, which is a Level 1 fair value measurement as the senior notes value was obtained using quoted prices in active markets.</w:t>
      </w:r>
    </w:p>
    <w:p>
      <w:pPr>
        <w:spacing w:after="0" w:line="312"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2007 Long-Term Incentive Plan permits the granting of stock options, stock appreciation rights, restricted stock and restricted stock units to its employees and directors for up to 5.8 million shares of common stock.</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March 2015, the Company granted 662 thousand restricted stock units to certain employees pursuant to the plan. In addition, all non-employee directors on the Company’s board of directors are paid a portion of their board-related compensation in stock grants. Compensation cost charged to expense related to share-based compensation arrangements was $1,057 and $996, respectively, for the three months ended March 31, 2015 and 2014, respectively.</w:t>
      </w:r>
    </w:p>
    <w:p>
      <w:pPr>
        <w:spacing w:after="0" w:line="291"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7"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Performance and bid bonds are customarily required for dredging and marine construction projects, as well as some environmental &amp; remediation projects. The Company has a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$1,000 to $10,000. At March 31, 2015, the Company had outstanding performance bonds totaling approximately $1,164,253, of which $49,048 relates to projects accounted for in discontinued operations. The revenue value remaining in backlog related to the projects of continuing operations totaled approximately $493,501.</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March 19, 2013, the Company and three of its current and former executives were sued in a securities class action in the Northern District of Illinois captioned United Union of Roofers, Waterproofers &amp; Allied Workers Local Union No. 8 v. Great Lakes Dredge &amp; Dock Corporation et al., Case No. 1:13-cv-02115. The lawsuit, which was brought on behalf of all purchasers of the Company’s securities between August 7, 2012 and March 14, 2013, primarily alleges that the defendants made false and misleading statements regarding the recognition of revenue in the demolition segment and with regard to the Company’s internal control over financial reporting. This suit was filed following the Company’s announcement on March 14, 2013 that it would restate its second and third quarter 2012 financial statements. Two additional, similar lawsuits captioned Boozer v. Great Lakes Dredge &amp; Dock Corporation et al., Case No. 1:13-cv-02339, and Connors v. Great Lakes Dredge &amp; Dock Corporation et al., Case No. 1:13-cv-02450, were filed in the Northern District of Illinois on March 28, 2013, and April 2, 2013, respectively. These three actions were consolidated and recaptioned In re Great Lakes Dredge &amp; Dock Corporation Securities Litigation, Case No. 1:13-cv-02115, on June 10, 2013. The plaintiffs filed an amended class action complaint on August 9, 2013, which the defendants moved to dismiss on October 8, 2013. After briefing and oral argument by the parties, the court entered an order on October 21, 2014 denying that motion to dismiss. The parties have reached an agreement in principle to settle this action. Once finalized, the settlement will be presented to the court for preliminary approval. The settlement is expected to be paid by insurance.</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March 28, 2013, the Company was named as a nominal defendant, and its directors were named as defendants, in a shareholder derivative action in DuPage County Circuit Court in Illinois captioned Hammoud v. Berger et al., Case No. 2013CH001110. The lawsuit primarily alleges breaches of fiduciary duties related to allegedly false and misleading statements regarding the recognition of revenue in the demolition segment and with regard to the Company’s internal control over financial reporting, which exposed the Company to securities litigation. A second, similar lawsuit captioned The City of Haverhill Retirement System v. Leight et al., Case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 1:13-cv-02470, was filed in the Northern District of Illinois on April 2, 2013 and was voluntarily dismissed on June 10, 2013. A third, similar lawsuit captioned St. Lucie County Fire District Firefighters Pension Trust Fund v. Leight et al., Case No. 13 CH 15483, was filed in Cook County Circuit Court in Illinois on July 8, 2013, and has since been transferred to DuPage County Circuit Court and consolidated with the Hammoud action. The Hammoud/St. Lucie plaintiffs have filed a consolidated amended complaint on December 9, 2013, but the action was otherwise stayed pending a ruling on the motion to dismiss the securities class action. A fourth, similar lawsuit (that additionally named one current and one former executive as defendants) captioned Griffin v. Berger et al., Case No. 1:13-cv-04907, was filed in the Northern District of Illinois on July 9, 2013. The Griffin action was also stayed pending a ruling on the motion to dismiss the securities class action. The parties have reached an agreement in principle to settle the pending actions. Once finalized, the settlement will be presented to the DuPage County Circuit Court for preliminary approval. The settlement is expected to be paid by insurance.</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23, 2014, the Company completed the sale of NASDI, LLC (“NASDI”) and Yankee Environmental Services, LLC (“Yankee”), which together comprised the Company’s historical demolition business, to a privately owned demolition company. Under the terms of the divestiture, the Company retained certain pre-closing liabilities relating to the disposed business. Certain of these liabilities and a legal action brought by the Company to enforce the buyer’s obligations under the sale agreement are described below.</w:t>
      </w:r>
    </w:p>
    <w:p>
      <w:pPr>
        <w:spacing w:after="0" w:line="18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2009, NASDI received a letter stating that the Attorney General for the Commonwealth of Massachusetts is investigating alleged violations of the Massachusetts Solid Waste Act. The Company believes that the Massachusetts Attorney General is investigating waste disposal activities at an allegedly unpermitted disposal site owned by a third party with whom NASDI contracted for the disposal of waste materials in 2007 and 2008. Per the Massachusetts Attorney General’s request, NASDI executed a tolling agreement regarding the matter in 2009 and engaged in further discussions with the Massachusetts Attorney General’s office. Should a claim be brought, the Company intends to defend this matter vigorously.</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2012, the Company contracted with a shipyard to perform the functional design drawings, detailed design drawings and follow on construction of a new Articulated Tug &amp; Barge (“ATB”) Trailing Suction Hopper Dredge. In April 2013, the Company terminated the contract with the shipyard for default and the counterparty sent the Company a notice requesting arbitration under the contract with respect to the Company’s termination for default, including but not limited to the Company’s right to draw on letters of credit that had been issued by the shipyard as financial security required by the contract. In May 2013, the Company drew upon the shipyard’s letters of credit related to the contract and received $13,600. Arbitration proceedings were initiated. In January 2014, the Company and the shipyard executed a settlement agreement pursuant to which the Company retained $10,500 of the proceeds of the financial security and remitted $3,100 of those funds to the shipyard, all other claims were released, and the arbitration was dismissed with prejudice.</w:t>
      </w:r>
    </w:p>
    <w:p>
      <w:pPr>
        <w:spacing w:after="0" w:line="16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268"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15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TerraSea Environmental Solutions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owns 50% of TerraSea Environmental Solutions (“TerraSea”) as a joint venture. TerraSea is engaged in the environmental services business through its ability to remediate contaminated soil and dredged sediment treatment. At March 31, 2015 and December 31, 2014, the Company has net advances to TerraSea of $25,005 and $22,898, respectively, which are recorded in other current assets. The Company has an accumulated deficit in joint ventures, which represents losses recognized to date in excess of our investment in TerraSea, of $10,383 at March 31, 2015 and December 31, 2014, which is presented in accrued expenses. The Company has commenced the winddown of TerraSea with its joint venture partner. The Company believes its net advances to TerraSea are ultimately recoverable either through the operations of the joint venture or as an obligation of our joint venture partner. To the extent that advances are not fully recoverable, additional losses may result in future periods. The Company and its joint venture partner remain obligated to fund TerraSea through the completion of its remaining project, which is expected to occur in 2015.</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Amboy Aggregates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and a New Jersey aggregates company each own 50% of Amboy Aggregates (“Amboy”). Amboy was formed in December 1984 to mine sand from the entrance channel to New York Harbor to provide sand and aggregate for use in road and building construction and for clean land fill. Amboy sold its interest in a stone import business and its holdings in land, owned in conjunction with Lower Main Street Development, LLC, during 2014 and is winding down operations.</w:t>
      </w:r>
    </w:p>
    <w:p>
      <w:pPr>
        <w:spacing w:after="0" w:line="331"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dispositions</w:t>
      </w:r>
    </w:p>
    <w:p>
      <w:pPr>
        <w:spacing w:after="0" w:line="12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On April 23, 2014, the Company entered into an agreement and completed the sale of NASDI, LLC and Yankee Environmental Services, LLC, its two former subsidiaries that comprised our historical demolition business. Under the terms of the agreement, the Company received cash of $5,309 and retained the right to receive additional proceeds based upon future collections of outstanding accounts receivable and work in process existing at the date of close, including recovery of outstanding claims for additional compensation from customers, net of future payments of accounts payable existing at the date of close, including any future payments of obligations associated with outstanding claims. In the fourth quarter of 2013, the Company recorded a preliminary loss on disposal of assets held for sale in discontinued operations. The loss on disposal is subject to change based on the value of additional proceeds received on the working capital existing at the date of disposition. The amount and timing of the working capital settlement and the amount and timing of the realization of additional net proceeds may be impacted by the litigation with the buyer of the historical demolition business (see Note 8). However, management believes that the ultimate resolution of these matters will not be material to the Company’s consolidated financial position or results of operations. The results of the businesses have been reported in discontinued operations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Arial" w:cs="Arial" w:eastAsia="Arial" w:hAnsi="Arial"/>
                <w:sz w:val="18"/>
                <w:szCs w:val="18"/>
                <w:color w:val="auto"/>
              </w:rPr>
              <w:t>Loss before income taxes from discontinued operations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and its subsidiaries currently operate in two reportable segments: dredging and environmental &amp; remediation. The Company’s financial reporting systems present various data for management to run the business, including profit and loss statements prepared according to the segments presented. Management uses operating income to evaluate performance between the two segments. Segment information for the periods presented is provided as follows:</w:t>
      </w:r>
    </w:p>
    <w:p>
      <w:pPr>
        <w:spacing w:after="0" w:line="206"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Three Months Ended</w:t>
      </w:r>
    </w:p>
    <w:p>
      <w:pPr>
        <w:jc w:val="center"/>
        <w:ind w:left="6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260" w:type="dxa"/>
            <w:vAlign w:val="bottom"/>
            <w:tcBorders>
              <w:bottom w:val="single" w:sz="8" w:color="CCEEFF"/>
            </w:tcBorders>
          </w:tcPr>
          <w:p>
            <w:pPr>
              <w:spacing w:after="0"/>
              <w:rPr>
                <w:sz w:val="12"/>
                <w:szCs w:val="12"/>
                <w:color w:val="auto"/>
              </w:rPr>
            </w:pPr>
          </w:p>
        </w:tc>
        <w:tc>
          <w:tcPr>
            <w:tcW w:w="3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Dredging</w:t>
            </w:r>
          </w:p>
        </w:tc>
        <w:tc>
          <w:tcPr>
            <w:tcW w:w="3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Contract revenues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154,128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161,960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Environmental &amp; remediation</w:t>
            </w:r>
          </w:p>
        </w:tc>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3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(15,132)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2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3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174,557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174,382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3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(7,258)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480" w:type="dxa"/>
            <w:vAlign w:val="bottom"/>
          </w:tcPr>
          <w:p>
            <w:pPr>
              <w:jc w:val="right"/>
              <w:ind w:right="225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Foreign dredging revenue of $41,699 for the three months ended March 31, 2015, was primarily attributable to work done in the Middle East and Brazil.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dredging revenue for the three months ended March 31, 2014 was $16,470.</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315" w:lineRule="exact"/>
        <w:rPr>
          <w:sz w:val="20"/>
          <w:szCs w:val="20"/>
          <w:color w:val="auto"/>
        </w:rPr>
      </w:pPr>
    </w:p>
    <w:p>
      <w:pPr>
        <w:ind w:left="1480" w:hanging="567"/>
        <w:spacing w:after="0"/>
        <w:tabs>
          <w:tab w:leader="none" w:pos="14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guarantors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long-term debt at March 31, 2015 includes $275,000 of 7.375% senior notes due February 1, 2019. The Company’s obligations under these senior unsecured notes are guaranteed by the Company’s 100% owned domestic subsidiaries. Such guarantees are full, unconditional and joint and several.</w:t>
      </w:r>
    </w:p>
    <w:p>
      <w:pPr>
        <w:spacing w:after="0" w:line="12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following supplemental financial information sets forth for the Company’s subsidiary guarantors (on a combined basis), the Company’s non-guarantor subsidiaries (on a combined basis) and Great Lakes Dredge &amp; Dock Corporation, exclusive of its subsidiaries (“GLDD Corporation”):</w:t>
      </w:r>
    </w:p>
    <w:p>
      <w:pPr>
        <w:spacing w:after="0" w:line="52" w:lineRule="exact"/>
        <w:rPr>
          <w:sz w:val="20"/>
          <w:szCs w:val="20"/>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 sheets as of March 31, 2015 and December 31, 2014;</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statements of operations and comprehensive loss for the three months ended March 31, 2015 and 2014;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2015 and 2014.</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MARCH 31, 2015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Subsidiary</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77,237</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(2,147)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99,307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32,870</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296,603</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21,328</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(2,583)</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320,482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418,819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GOODWILL AND OTHER INTANGIBLE ASSETS—Net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93,522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36,555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AFFILIATES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24,037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80,631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(108,339)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618,369</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(622,094)</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888,590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724,947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(733,016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889,349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103,231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54,528</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Current portion of long term debt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6,953</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161,018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7 3/8% SENIOR NOTES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274,887</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274,887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NOTES PAYABLE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54,740</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PAYABLES TO AFFILIATES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84,193</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23,418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(108,339)</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272,605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476,394</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(110,922)</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640,796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615,985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248,553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(622,094)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888,590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724,947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(733,016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889,349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vMerge w:val="restart"/>
          </w:tcPr>
          <w:p>
            <w:pPr>
              <w:jc w:val="right"/>
              <w:ind w:right="55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BALANCE SHEET AS OF DECEMBER 31,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Subsidiary</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0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115,739</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(2,906)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from affiliates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55,805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(212,300)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Contract revenues in excess of billings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78,631</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4,236</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34,735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54,327</w:t>
            </w: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14,617</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9,358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70,424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(215,516)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6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399,421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399,445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INVENTORIES — Noncurrent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36,262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619,220</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(622,977)</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12,105</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1,027,731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694,611</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(838,493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893,234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Payables to affiliates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196,829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15,068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(212,300)</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60,415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Billings in excess of contract revenues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 term debt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384,024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29,551</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(215,516)</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200,510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7 3/8% SENIOR NOTES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274,880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NOTE PAYABLE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41,944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91,835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20,377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411,688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438,648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(215,516)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637,271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616,043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6,934</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255,963</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(622,977)</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255,963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1,027,731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694,611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(838,493)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893,234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380" w:type="dxa"/>
            <w:vAlign w:val="bottom"/>
            <w:vMerge w:val="restart"/>
          </w:tcPr>
          <w:p>
            <w:pPr>
              <w:jc w:val="right"/>
              <w:ind w:right="45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20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172,354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3,192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(161,204)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(163,875)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10,682</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(Gain) loss on sale of assets—net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(5,331)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 acquisition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(14,508)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(14,427)</w:t>
            </w:r>
          </w:p>
        </w:tc>
        <w:tc>
          <w:tcPr>
            <w:tcW w:w="0" w:type="dxa"/>
            <w:vAlign w:val="bottom"/>
          </w:tcPr>
          <w:p>
            <w:pPr>
              <w:spacing w:after="0"/>
              <w:rPr>
                <w:sz w:val="1"/>
                <w:szCs w:val="1"/>
                <w:color w:val="auto"/>
              </w:rPr>
            </w:pPr>
          </w:p>
        </w:tc>
      </w:tr>
      <w:tr>
        <w:trPr>
          <w:trHeight w:val="324"/>
        </w:trPr>
        <w:tc>
          <w:tcPr>
            <w:tcW w:w="53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6,118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6,037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(8,390)</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(8,390)</w:t>
            </w: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(8,617)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(1,364)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(9,198)</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9,981</w:t>
            </w:r>
          </w:p>
        </w:tc>
        <w:tc>
          <w:tcPr>
            <w:tcW w:w="260" w:type="dxa"/>
            <w:vAlign w:val="bottom"/>
          </w:tcPr>
          <w:p>
            <w:pPr>
              <w:spacing w:after="0"/>
              <w:rPr>
                <w:sz w:val="24"/>
                <w:szCs w:val="24"/>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AND COMPREHENSIVE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7"/>
              </w:rPr>
              <w:t>Subsidiary</w:t>
            </w:r>
          </w:p>
        </w:tc>
        <w:tc>
          <w:tcPr>
            <w:tcW w:w="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Subsidiaries</w:t>
            </w:r>
          </w:p>
        </w:tc>
        <w:tc>
          <w:tcPr>
            <w:tcW w:w="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173,322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(150,737)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(7,707)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(153,475)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20,907</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Gain on sale of assets—net</w:t>
            </w: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Operating income (loss)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Interest expense—net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(4,956)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w w:val="95"/>
              </w:rPr>
              <w:t>Income (loss) from continuing operations before income taxes</w:t>
            </w:r>
          </w:p>
        </w:tc>
        <w:tc>
          <w:tcPr>
            <w:tcW w:w="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(2,362)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6"/>
              </w:rPr>
              <w:t>973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Income (loss) from continuing operations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2,184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(2,362)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from discontinued operations, net of income taxes</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400" w:type="dxa"/>
            <w:vAlign w:val="bottom"/>
          </w:tcPr>
          <w:p>
            <w:pPr>
              <w:ind w:left="700"/>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(2,824)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(5,195)</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3,508</w:t>
            </w:r>
          </w:p>
        </w:tc>
        <w:tc>
          <w:tcPr>
            <w:tcW w:w="140" w:type="dxa"/>
            <w:vAlign w:val="bottom"/>
          </w:tcPr>
          <w:p>
            <w:pPr>
              <w:spacing w:after="0"/>
              <w:rPr>
                <w:sz w:val="24"/>
                <w:szCs w:val="24"/>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(5,673)</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980" w:type="dxa"/>
            <w:vAlign w:val="bottom"/>
            <w:vMerge w:val="restart"/>
          </w:tcPr>
          <w:p>
            <w:pPr>
              <w:jc w:val="right"/>
              <w:ind w:right="51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GLDD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tcPr>
          <w:p>
            <w:pPr>
              <w:ind w:left="1060"/>
              <w:spacing w:after="0"/>
              <w:rPr>
                <w:sz w:val="20"/>
                <w:szCs w:val="20"/>
                <w:color w:val="auto"/>
              </w:rPr>
            </w:pPr>
            <w:r>
              <w:rPr>
                <w:rFonts w:ascii="Arial" w:cs="Arial" w:eastAsia="Arial" w:hAnsi="Arial"/>
                <w:sz w:val="18"/>
                <w:szCs w:val="18"/>
                <w:color w:val="auto"/>
                <w:w w:val="96"/>
              </w:rPr>
              <w:t>Net cash flows provided by (used in) operating activities</w:t>
            </w:r>
          </w:p>
        </w:tc>
        <w:tc>
          <w:tcPr>
            <w:tcW w:w="13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155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(8,248)</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(10,577)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(20,777)</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Payments on vendor performance obligations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acquisitions of businesses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(5,821)</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flows used in investing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(26,558)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(20,737)</w:t>
            </w:r>
          </w:p>
        </w:tc>
        <w:tc>
          <w:tcPr>
            <w:tcW w:w="0" w:type="dxa"/>
            <w:vAlign w:val="bottom"/>
          </w:tcPr>
          <w:p>
            <w:pPr>
              <w:spacing w:after="0"/>
              <w:rPr>
                <w:sz w:val="1"/>
                <w:szCs w:val="1"/>
                <w:color w:val="auto"/>
              </w:rPr>
            </w:pP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financing fees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Taxes paid on settlement of vested share awards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of term loan facility</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Repayments of equipment debt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equipment debt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Net change in accounts with affiliates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5,188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(5,821)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Capital contributions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w w:val="94"/>
              </w:rPr>
              <w:t>Exercise of options and purchases from employee stock plans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Excess income tax benefit from share-based compensation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700"/>
              <w:spacing w:after="0"/>
              <w:rPr>
                <w:sz w:val="20"/>
                <w:szCs w:val="20"/>
                <w:color w:val="auto"/>
              </w:rPr>
            </w:pPr>
            <w:r>
              <w:rPr>
                <w:rFonts w:ascii="Arial" w:cs="Arial" w:eastAsia="Arial" w:hAnsi="Arial"/>
                <w:sz w:val="18"/>
                <w:szCs w:val="18"/>
                <w:color w:val="auto"/>
              </w:rPr>
              <w:t>Borrowings under revolving loans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of revolving loans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380" w:type="dxa"/>
            <w:vAlign w:val="bottom"/>
          </w:tcPr>
          <w:p>
            <w:pPr>
              <w:ind w:left="1060"/>
              <w:spacing w:after="0"/>
              <w:rPr>
                <w:sz w:val="20"/>
                <w:szCs w:val="20"/>
                <w:color w:val="auto"/>
              </w:rPr>
            </w:pPr>
            <w:r>
              <w:rPr>
                <w:rFonts w:ascii="Arial" w:cs="Arial" w:eastAsia="Arial" w:hAnsi="Arial"/>
                <w:sz w:val="18"/>
                <w:szCs w:val="18"/>
                <w:color w:val="auto"/>
              </w:rPr>
              <w:t>Net cash flows provided by financing activities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16,586</w:t>
            </w:r>
          </w:p>
        </w:tc>
        <w:tc>
          <w:tcPr>
            <w:tcW w:w="140" w:type="dxa"/>
            <w:vAlign w:val="bottom"/>
          </w:tcPr>
          <w:p>
            <w:pPr>
              <w:spacing w:after="0"/>
              <w:rPr>
                <w:sz w:val="24"/>
                <w:szCs w:val="24"/>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8,248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(5,821)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19,646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w w:val="93"/>
              </w:rPr>
              <w:t>Effect of foreign currency exchange rates on cash and cash equivalents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(12,456)</w:t>
            </w:r>
          </w:p>
        </w:tc>
        <w:tc>
          <w:tcPr>
            <w:tcW w:w="140" w:type="dxa"/>
            <w:vAlign w:val="bottom"/>
          </w:tcPr>
          <w:p>
            <w:pPr>
              <w:spacing w:after="0"/>
              <w:rPr>
                <w:sz w:val="24"/>
                <w:szCs w:val="24"/>
                <w:color w:val="auto"/>
              </w:rPr>
            </w:pP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41,724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42,389</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3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29,268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1,349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40" w:type="dxa"/>
            <w:vAlign w:val="bottom"/>
            <w:vMerge w:val="restart"/>
          </w:tcPr>
          <w:p>
            <w:pPr>
              <w:jc w:val="right"/>
              <w:ind w:right="750"/>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380"/>
        <w:spacing w:after="0" w:line="375" w:lineRule="auto"/>
        <w:rPr>
          <w:sz w:val="20"/>
          <w:szCs w:val="20"/>
          <w:color w:val="auto"/>
        </w:rPr>
      </w:pPr>
      <w:r>
        <w:rPr>
          <w:rFonts w:ascii="Arial" w:cs="Arial" w:eastAsia="Arial" w:hAnsi="Arial"/>
          <w:sz w:val="18"/>
          <w:szCs w:val="18"/>
          <w:b w:val="1"/>
          <w:bCs w:val="1"/>
          <w:color w:val="auto"/>
        </w:rPr>
        <w:t>GREAT LAKES DREDGE &amp; DOCK CORPORATION AND SUBSIDIARIES CONDENSED CONSOLIDATING STATEMENT OF CASH FLOWS FOR THE THREE MONTHS ENDED MARCH 31, 2014</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GLDD</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6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Corporation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700"/>
              <w:spacing w:after="0" w:line="201" w:lineRule="exact"/>
              <w:rPr>
                <w:sz w:val="20"/>
                <w:szCs w:val="20"/>
                <w:color w:val="auto"/>
              </w:rPr>
            </w:pPr>
            <w:r>
              <w:rPr>
                <w:rFonts w:ascii="Arial" w:cs="Arial" w:eastAsia="Arial" w:hAnsi="Arial"/>
                <w:sz w:val="18"/>
                <w:szCs w:val="18"/>
                <w:color w:val="auto"/>
              </w:rPr>
              <w:t>Net cash flows provided by (used in) operating activities of continuing</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8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11,746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(2,094)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(1,007)</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Cash provided by (used in) operating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(21,631)</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dispositions of property and equipment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Proceeds from vendor performance obligations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(3,100)</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(25,389)</w:t>
            </w: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flows used in investing activities of discontinued operations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Cash used in investing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(25,415)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6"/>
              </w:rPr>
              <w:t>722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Purchase of noncontrolling interest</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on settlement of vested share awards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Repayment of equipment debt</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accounts with affiliates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Exercise of options and purchases from employee stock plans</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income tax benefit from share-based compensation</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Borrowings under revolving loans</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revolving loans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Cash provided by financing activities</w:t>
            </w: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76"/>
              </w:rPr>
              <w:t>(722)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rates on cash and cash equivalents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6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(15,280)</w:t>
            </w:r>
          </w:p>
        </w:tc>
        <w:tc>
          <w:tcPr>
            <w:tcW w:w="1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(1,428)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(16,643)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6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71,939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75,338</w:t>
            </w:r>
          </w:p>
        </w:tc>
        <w:tc>
          <w:tcPr>
            <w:tcW w:w="0" w:type="dxa"/>
            <w:vAlign w:val="bottom"/>
          </w:tcPr>
          <w:p>
            <w:pPr>
              <w:spacing w:after="0"/>
              <w:rPr>
                <w:sz w:val="1"/>
                <w:szCs w:val="1"/>
                <w:color w:val="auto"/>
              </w:rPr>
            </w:pPr>
          </w:p>
        </w:tc>
      </w:tr>
      <w:tr>
        <w:trPr>
          <w:trHeight w:val="20"/>
        </w:trPr>
        <w:tc>
          <w:tcPr>
            <w:tcW w:w="66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6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56,659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1,971</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58,695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jc w:val="right"/>
              <w:ind w:right="750"/>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2014, and in other securities filings by Great Lakes with the SEC.</w:t>
      </w:r>
    </w:p>
    <w:p>
      <w:pPr>
        <w:spacing w:after="0" w:line="17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the largest provider of dredging services in the United States and a major provider of environmental and remediation services. In addition, the Company is the only U.S. dredging service provider with significant international operations, which represented 27% of its dredging revenues for the first three months of 2015, above the Company’s prior three year average of 19%. The mobility of the Company’s fleet enables the Company to move equipment in response to changes in demand for dredging services.</w:t>
      </w:r>
    </w:p>
    <w:p>
      <w:pPr>
        <w:spacing w:after="0" w:line="18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Dredging generally involves the enhancement or preservation of navigability of waterways or the protection of shorelines through the removal or replenishment of soil, sand or rock.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43% over the prior three years, including 46%, 50%, 28% and 60% of the domestic capital, coastal protection, maintenance and rivers &amp; lakes sectors, respectively.</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three months of 2015, the Company’s dredging revenues earned from contracts with federal government agencies, including the Corps as well as other federal entities such as the U.S. Coast Guard and the U.S. Navy were approximately 62% of dredging revenues, slightly below the Company’s prior three year average of 63%.</w:t>
      </w:r>
    </w:p>
    <w:p>
      <w:pPr>
        <w:spacing w:after="0" w:line="187"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Company’s environmental &amp; remediation subsidiaries provide soil, water and sediment environmental remediation for the state and local and private party markets. Remediation involves the retrieval and removal of contamination from an environment through the use of separation techniques or disposal based on the quantity and severity of the contamination. Besides environmental remediation, the environmental &amp; remediation segment performs industrial cleaning, abatement services and hazardous waste removal. Our recent acquisition of Magnus Pacific Corporation expands the geographic footprint of our environmental operations to include the U.S. West Coast and broadens our suite of services to include geotechnical contracting capabilities and other environmental solutions. In the first three months of 2015, environmental &amp; remediation revenues accounted for 12% of total revenues.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operates in four operating segments that, through aggregation, comprise two reportable segments: dredging and environmental &amp; remediation. Four operating segments were aggregated into two reportable segments as the segments have similarity in economic margins, services, production processes, customer types, distribution methods and regulatory environment. The Company has determined that the operating segments are the Company’s four reporting units.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set forth the components of net loss attributable to Great Lakes Dredge &amp; Dock Corporation and Adjusted EBITDA from continuing operations, as defined below, as a percentage of contract revenues for the three months ended March 31, 2015 and 2014:</w:t>
      </w:r>
    </w:p>
    <w:p>
      <w:pPr>
        <w:spacing w:after="0" w:line="18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Three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(93.9)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of assets—net</w:t>
            </w:r>
          </w:p>
        </w:tc>
        <w:tc>
          <w:tcPr>
            <w:tcW w:w="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expense—net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340"/>
              <w:spacing w:after="0"/>
              <w:rPr>
                <w:sz w:val="20"/>
                <w:szCs w:val="20"/>
                <w:color w:val="auto"/>
              </w:rPr>
            </w:pPr>
            <w:r>
              <w:rPr>
                <w:rFonts w:ascii="Arial" w:cs="Arial" w:eastAsia="Arial" w:hAnsi="Arial"/>
                <w:sz w:val="18"/>
                <w:szCs w:val="18"/>
                <w:color w:val="auto"/>
              </w:rPr>
              <w:t>Loss from continuing operations before income taxes</w:t>
            </w: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(8.3)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Loss from continuing operations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discontinued operations, net of income taxes</w:t>
            </w: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340"/>
              <w:spacing w:after="0"/>
              <w:rPr>
                <w:sz w:val="20"/>
                <w:szCs w:val="20"/>
                <w:color w:val="auto"/>
              </w:rPr>
            </w:pPr>
            <w:r>
              <w:rPr>
                <w:rFonts w:ascii="Arial" w:cs="Arial" w:eastAsia="Arial" w:hAnsi="Arial"/>
                <w:sz w:val="18"/>
                <w:szCs w:val="18"/>
                <w:color w:val="auto"/>
              </w:rPr>
              <w:t>Net loss</w:t>
            </w: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Adjusted EBITDA from continuing operations, as provided herein, represents net income,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loss:</w:t>
      </w:r>
    </w:p>
    <w:p>
      <w:pPr>
        <w:spacing w:after="0" w:line="208"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940" w:type="dxa"/>
            <w:vAlign w:val="bottom"/>
            <w:gridSpan w:val="2"/>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(8,390)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1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(8,390)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Adjusted for:</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(6,037)</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13,153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color w:val="auto"/>
              </w:rPr>
              <w:t>Adjusted EBITDA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4,356</w:t>
            </w:r>
          </w:p>
        </w:tc>
        <w:tc>
          <w:tcPr>
            <w:tcW w:w="2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segment and type of work, the Company’s contract revenues for each of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Capital—U.S.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tcPr>
          <w:p>
            <w:pPr>
              <w:jc w:val="right"/>
              <w:ind w:right="148"/>
              <w:spacing w:after="0"/>
              <w:rPr>
                <w:sz w:val="20"/>
                <w:szCs w:val="20"/>
                <w:color w:val="auto"/>
              </w:rPr>
            </w:pPr>
            <w:r>
              <w:rPr>
                <w:rFonts w:ascii="Arial" w:cs="Arial" w:eastAsia="Arial" w:hAnsi="Arial"/>
                <w:sz w:val="18"/>
                <w:szCs w:val="18"/>
                <w:color w:val="auto"/>
              </w:rPr>
              <w:t>47,357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34,475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41,699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16,470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153.2%</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48"/>
              <w:spacing w:after="0"/>
              <w:rPr>
                <w:sz w:val="20"/>
                <w:szCs w:val="20"/>
                <w:color w:val="auto"/>
              </w:rPr>
            </w:pPr>
            <w:r>
              <w:rPr>
                <w:rFonts w:ascii="Arial" w:cs="Arial" w:eastAsia="Arial" w:hAnsi="Arial"/>
                <w:sz w:val="18"/>
                <w:szCs w:val="18"/>
                <w:color w:val="auto"/>
              </w:rPr>
              <w:t>20,072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70,720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42,147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36,311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3,984</w:t>
            </w:r>
          </w:p>
        </w:tc>
        <w:tc>
          <w:tcPr>
            <w:tcW w:w="4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dredging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154,128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161,960</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48"/>
              <w:spacing w:after="0"/>
              <w:rPr>
                <w:sz w:val="20"/>
                <w:szCs w:val="20"/>
                <w:color w:val="auto"/>
              </w:rPr>
            </w:pPr>
            <w:r>
              <w:rPr>
                <w:rFonts w:ascii="Arial" w:cs="Arial" w:eastAsia="Arial" w:hAnsi="Arial"/>
                <w:sz w:val="18"/>
                <w:szCs w:val="18"/>
                <w:color w:val="auto"/>
              </w:rPr>
              <w:t>21,552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12,730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(1,123)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264.6%</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174,557</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174,382</w:t>
            </w:r>
          </w:p>
        </w:tc>
        <w:tc>
          <w:tcPr>
            <w:tcW w:w="460" w:type="dxa"/>
            <w:vAlign w:val="bottom"/>
            <w:vMerge w:val="continue"/>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Environmental &amp; remediation revenues in 2015 include Magnus which did not operate as part of the Company prior to November 4, 2014.</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revenue for the 2015 first quarter was $174.6 million, in line with revenue of $174.4 million during the 2014 first quarter. For the three months ended March 31, 2015, increases in domestic and foreign capital, maintenance and environmental &amp; remediation revenues were mostly offset by decreases in coastal protection and rivers &amp; lakes revenues. Revenue for the 2015 first quarter includes revenue earned by Magnus Pacific (“Magnus”) which did not operate as part of the Company until the fourth quarter of 2014.</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Capital dredging consists primarily of port expansion projects, which involve the deepening of channels to allow access by larger, deeper draft ships and the provision of land fill used to expand port facilities. In addition to port work, capital projects also include land reclamations, trench digging for pipelines, tunnels and cables, and other dredging related to the construction of breakwaters, jetties, canals and other marine structures. Domestic capital dredging revenue increased by $12.9 million, or 37%, to $47.4 million, in the 2015 first quarter compared to the same quarter in 2014. The increase in domestic capital dredging revenues for the three months ended March 31, 2015 was primarily driven by an LNG project in Texas as well as the preliminary stages of the Savannah project and a deepening project on the Delaware River that were not part of the prior year. These projects were partially offset by a project in New York that did not repeat in the current year. During the first quarter of 2015, the Company continued to work on the port deepening project in Miami.</w:t>
      </w:r>
    </w:p>
    <w:p>
      <w:pPr>
        <w:spacing w:after="0" w:line="16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first quarter of 2015 foreign dredging revenue was $41.7 million, an increase of $25.2 million, or 153%, compared to the 2014 first quarter. Revenue for the three months ended March 31, 2015 was driven by a project to widen and deepen the Suez Canal. Additionally, the Company worked on a large project in Bahrain and several projects in Brazil during the current year. In comparison, revenue for the first three months of 2014 was driven by the Wheatstone LNG project in Western Australia.</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Coastal protection projects generally involve moving sand from the ocean floor to shoreline locations where erosion threatens shoreline assets. Coastal protection revenue decreased $50.6 million or 72% to $20.1 million in the 2015 first quarter compared to the 2014 first quarter. During the three months ended March 31, 2015, the Company continued to earn revenue on projects in New York and New Jersey for the repair of shorelines damaged as a result of Superstorm Sandy as well as on projects in Florida and Virginia. The Company earned revenues on a greater number of projects in the first three months of 2014, including a larger number of Superstorm Sandy projects as well as a large project in South Carolina that did not repeat during the current year.</w:t>
      </w:r>
    </w:p>
    <w:p>
      <w:pPr>
        <w:spacing w:after="0" w:line="15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Maintenance dredging consists of the re-dredging of previously deepened waterways and harbors to remove silt, sand and other accumulated sediments. Maintenance revenue in the first quarter of 2015 increased by $5.8 million, or 16%, compared to the same period in 2014. The increase in maintenance dredging revenues was driven by a large project in Georgia and significant harbor work in Florida and North Carolina. Additionally, the Company earned revenue on the final stages of a large project in New York. These increases were slightly offset by a greater quantity of projects in the first three months of 2014.</w:t>
      </w:r>
    </w:p>
    <w:p>
      <w:pPr>
        <w:spacing w:after="0" w:line="1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Domestic rivers &amp; lakes dredging and related operations typically consist of lake and river dredging, inland levee and construction dredging, environmental restoration and habitat improvement and other marine construction projects. Rivers &amp; lakes revenue in the first quarter of 2015 was $2.9 million, a decrease of $1.1 million or 28% compared to the first quarter of 2014. During the 2015 first quarter, the Company earned revenue on a private project in Florida and large lake project in Illinois. These revenues were offset by a greater amount of revenue earned on the Illinois lake project in the first quarter of 2014 in addition to a large private project in Florida and a project in Nebraska that did not repeat in the current year.</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environmental &amp; remediation segment recorded revenues of $21.6 million for the three months ended March 31, 2015, up 69% compared to $12.7 million for the same period in 2014. The increase is attributable to revenue earned by Magnus which did not become part of the Company until the fourth quarter of 2014.</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Consolidated gross profit for the 2015 first quarter decreased by 49% to $10.7 million, from $20.9 million in the first quarter of 2014. Gross profit margin (gross profit divided by revenue) for the 2015 first quarter decreased to 6.1% from 12.0% for the three months ended March 31, 2014. The decline in gross profit margin for the three months ended March 31, 2015 is mostly attributable to contract losses on a site redevelopment project and increased operating overhead costs, primarily due to increased personnel costs, in the environmental &amp; remediation segment. Further, improved fleet utilization, resulting in greater fixed cost coverage, in our dredging segment and strong contract margin on our Suez Canal project partially offset the tightening of margin on some dredging projects due to either mechanical downtime or weather.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totaled $17.9 million for the quarter ended March 31, 2015, in line with general &amp; administrative expenses from the first quarter of 2014. In the first three months of 2015, lower payroll and benefit expenses of $0.9 million and legal and professional expenses of $0.7 million were offset by increased amortization expense of $1.5 million, mostly related to the Magnus Pacific Corporation acquisition.</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loss for the three months ended March 31, 2015 was $7.3 million compared to operating income of $2.9 million in the same period of 2014. The change in the Company’s operating income was attributable to the change in gross profit described above.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interest expense totaled $5.6 million for the three months ended March 31, 2015, up from interest expense of $5.0 million from the same period of 2014. Net interest expense for the first quarter of 2015 was up compared to the same period in the prior year due to interest expense associated with the new senior secured term loan facility (“Term Loan Facility”) and Magnus promissory note. These expenses were slightly offset by lower interest expense related to the Company’s revolving credit facility during the current year.</w:t>
      </w:r>
    </w:p>
    <w:p>
      <w:pPr>
        <w:spacing w:after="0" w:line="18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income tax benefit for the three months ended March 31, 2015 was $6.0 million compared to $1.5 million for the same period of 2014. The increase in income tax provision for the 2015 first quarter was attributable to the lower taxable operating income in 2015. The effective tax rate for the three months ended March 31, 2015 is 41.8%, which is slightly above the effective tax rate of 37.2% for the same period of 2014 due to larger credits allowed in the prior year. The Company expects the tax rate for the full year before consideration of nondeductible pretax items to remain near 40%.</w:t>
      </w:r>
    </w:p>
    <w:p>
      <w:pPr>
        <w:spacing w:after="0" w:line="17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Net loss from continuing operations was $8.4 million and the loss per diluted share was $0.14 for the 2015 first quarter compared to a net loss from continuing operations of $2.5 million and loss per diluted share of $0.04 for the same period of 2014. The decrease in 2015 is due to lower operating income described above. The decrease in operating income in 2015 was partially offset by the increase in income tax provision for the first three months of 2015.</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Adjusted EBITDA (as defined on page 26) for the three months ended March 31, 2015 was $4.4 million compared with $12.0 million in the same 2014 period. This decrease is the result of lower operating income in the current year period as described above.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Dredging revenues for the three months ended March 31, 2015 were $154.1 million compared to $162.0 million for the same period of 2014. The dredging segment for the three months ended March 31, 2015 included increases in domestic and foreign capital and maintenance revenues which were offset by decreases in coastal protection and rivers &amp; lakes revenues. The current year benefited from a project to widen and deepen the Suez Canal, an LNG project in Texas, several port deepening projects, including PortMiami, a large maintenance project in Georgia and significant harbor work in Florida and North Carolina. Revenues were down in the current year compared to the first quarter of 2014 as the prior year included a larger number of Superstorm Sandy projects as well as a large project in South Carolina that did not repeat during the current year.</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profit margin in the dredging segment was 11.8% for the three months ended March 31, 2015 compared to a gross profit margin of 12.9% for the same period in the prior year. Improved fleet utilization, resulting in greater fixed cost coverage, and strong contract margin on our Suez project partially offset the tightening of margin on some projects due to either mechanical downtime or weather. During the three months ended March 31, 2014, the Company experienced lower utilization in the Middle East which negatively impacted gross profit margin.</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Dredging segment operating income was $7.9 million for the three months ended March 31, 2015 compared to operating income of $7.4 million for the three months ended March 31, 2014. The increase in operating income is result of the change in gross profit, described above, which was offset by a decrease in administrative charges related to labor expenses, legal expenses and technical and consulting expenses.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&amp; remediation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Environmental &amp; remediation revenues for the three months ended March 31, 2015 totaled $21.6 million, compared to $12.7 million for the 2014 first quarter. Environmental &amp; remediation revenues for the first three months of 2015 were up compared to the same period in the prior year due to revenue earned by Magnus which did not become part of the Company until the fourth quarter of 2014.</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environmental &amp; remediation segment had a negative gross profit margin of 35.2% for the three months ended March 31, 2015 and a gross profit margin of 0.4% for the same period in the prior year. The decline in gross profit margin for the three months ended March 31, 2015 was attributable to contract losses on a site redevelopment project and higher operating overhead costs, primarily due to increased personnel costs, compared to the same period in the prior year.</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environmental &amp; remediation segment had an operating loss of $15.1 million for the three months ended March 31, 2015, compared to an operating loss of $4.5 million for the same period of 2014. The change in operating loss is the result of the foregoing decline in gross profit margin for the three months ended March 31, 2015 as well as an increase in amortization expense of $1.5 million, mostly attributable to the Magnus Pacific Corporation acquisition in the fourth quarter of 2014. Further, increases in payroll and benefits of $0.9 million, technical and consulting expenses of $0.4 million and legal and professional fees of $0.2 million negatively impacted operating income for the 2015 first quarter.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reporting segment and type of dredging work, the Company’s backlog as of the dates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Backlog (in thousands)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9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Dredging:</w:t>
            </w: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Capital - U.S.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$212,662</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135,801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$189,450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 foreign</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85,851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131,489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98,849</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Coastal protection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218,552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211,101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76,583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Maintenance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25,108</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38,826</w:t>
            </w:r>
          </w:p>
        </w:tc>
        <w:tc>
          <w:tcPr>
            <w:tcW w:w="0" w:type="dxa"/>
            <w:vAlign w:val="bottom"/>
          </w:tcPr>
          <w:p>
            <w:pPr>
              <w:spacing w:after="0"/>
              <w:rPr>
                <w:sz w:val="1"/>
                <w:szCs w:val="1"/>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Rivers &amp; lakes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93,039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90,708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111,441</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Dredging Backlog</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636,954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594,207</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515,149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Environmental &amp; remediation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104,235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75,349*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77,363</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Backlog</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741,189</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669,556</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592,512</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20" w:right="560" w:hanging="212"/>
        <w:spacing w:after="0" w:line="277"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December 31, 2014 environmental &amp; remediation backlog includes backlog acquired by the Company on November 4, 2014 in connection with the Magnus Pacific Corporation acquisition.</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environmental &amp; remediation contracts, these estimates are based on the time and remaining costs required to complete the project relative to total estimated project costs and project revenues agreed to with the customer. However, these estimates are necessarily subject to variances based upon actual circumstances. Because of these factors, as well as factors affecting the time required to complete each job, backlog is not always indicative of future revenues or profitability. Also, 70% of the Company’s March 31, 2015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domestic dredging bid market for the 2015 first quarter totaled $248.6 million. This represents a decrease of $127.8 million from the first three months of 2014. The bid market for the three months ended March 31, 2015 decreased from the prior year primarily due to award of the Lake Decatur project and Bayport Ship Channel project in the prior year. During the first quarter of 2015, the Company was awarded the Savannah Harbor deepening project. Additionally, the Company was awarded several maintenance projects as well as a coastal protection project in New York. Including these awards, the Company won 100%, or $23.4 million of the coastal protection projects awarded through March 31, 2015. For the contracts released in the current year, the Company won 94% or $136.1 million of the domestic capital projects, 60% or $46.1 million of the maintenance projects and 100% or $2.6 million of the rivers &amp; lakes projects awarded through March 31, 2015. The Company won 84% of the overall domestic bid market through March 31, 2015, which is well above the Company’s prior three year average of 43%. Variability in contract wins from quarter to quarter is not unusual and one quarter’s win rate is generally not indicative of the win rate the Company is likely to achieve for a full year.</w:t>
      </w:r>
    </w:p>
    <w:p>
      <w:pPr>
        <w:spacing w:after="0" w:line="182"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Company’s contracted dredging backlog was $637.0 million at March 31, 2015 compared to $594.2 million of backlog at December 31, 2014. These amounts do not reflect approximately $71.0 million of domestic low bids pending formal award and additional phases (“options”) pending on projects currently in backlog at March 31, 2015. At December 31, 2014 the amount of domestic low bids and options pending award was $113.5 million.</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Domestic capital dredging backlog at March 31, 2015 was $76.9 million higher than at December 31, 2014. During the three months ended March 31, 2015, the Company continued to earn revenue on the PortMiami project as well as the Delaware River deepening project and an LNG project in Texas. Additionally, the Company was awarded the Savannah Harbor deepening project in the 2015 first quarter. In December 2014, President Obama signed the 2015 spending bill which increased the Corps’ budget in 2015. Both the President and Congress continue to put a focus on the importance of our ports to the U.S. economy. Although the President’s proposed fiscal year 2016 budget for dredging is disappointing, the House Appropriations Committee passed a bill which would significantly increase the funding in 2016 for the Corps. The Company believes that this evidences Congress’ commitment to invest in our nation’s infrastructure, including ports and dredging. At the end of 2014, $340 million in projects in Louisiana, including $318 million to restore four barrier islands, were approved as part of the $1 billion to fund early restoration of natural resources injured as a result of the Deepwater Horizon Oil Spill. Despite the significant drop in crude oil prices in 2014 and early 2015 which may lead to a slowdown in the development of LNG export plants, the Company continues to expect that future energy demand will necessitate improvements in the infrastructure base around domestic sources of rich resources.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Foreign capital dredging backlog was down $45.6 million from December 31, 2014. The decline in backlog during the current year is due to revenue earned on the Suez Canal project as well as on projects in the Middle East and Brazil during the first quarter of 2015. Backlog from the Suez Canal project and a project in the Middle East comprised a majority of the balance of backlog at March 31, 2015. The Company was awarded two projects in Brazil during the current quarter which contributed to current year backlog. Reclamation of land to support industry, population growth and tourism is continuing to expand the global need for dredging. The Company will continue pursue ancillary work in Brazil and South America where we have positioned dredges and operate as a reputable regional provider. The Company expects these increases in global dredging to provide a continued source of future international revenue.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Coastal protection dredging backlog at March 31, 2015 was $7.5 million higher than at December 31, 2014. During the first quarter of 2015,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earned revenue on a large project in Florida in addition to several coastal protection projects in New York and New Jersey. The increase in backlog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2015 is mostly attributable to the award of a large coastal protection project in New York during the first quarter of the current year.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expects another large project to repair damaged shorelines in New Jersey be let for bid in late 2015. The announcement of a new coastal community caucus,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release of important coastal studies, like the Corps’ Sandy comprehensive study, should bode well for the long anticipated national discussion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funding for protecting America’s coastline.</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Maintenance dredging backlog was $1.7 million higher at March 31, 2015 than at December 31, 2014. The Company substantially completed its backlog related to two harbor projects as well as a large maintenance project in New York during the first quarter of 2015. Additionally, the Company was awarded projects in Georgia, Louisiana and Maryland during the first three months of 2015 which contributed to backlog at March 31, 2015. The Water Resources Reform and Development Act (“WRRDA”) calls for full use of Harbor Maintenance Trust Fund (HMTF) for maintenance of ports and waterways within ten years. As noted above, President Obama signed the 2015 spending bill which not only increases the Corps’ budget in 2015 but also includes the incremental increase in HMTF funding as called for in WRRDA. With the mandate to utilize the taxes collected on imports to U.S. ports for their intended purpose of maintaining future access to the waterways and ports that support our nation’s economy, the Company expects the Corps to substantially increase the projects let to bid for maintenance projects in the fiscal year 2015.</w:t>
      </w:r>
    </w:p>
    <w:p>
      <w:pPr>
        <w:spacing w:after="0" w:line="179"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Rivers &amp; lakes backlog is $2.3 million higher at March 31, 2015 than at December 31, 2014 primarily due to the award of an option on a project in Mississippi. The Company continued to earn on a lake project in Illinois during the 2015 first quarter. In addition to planned levee repair along the Mississippi River, the Corps’ work plan for 2015 includes several upper Mississippi River projects to open channels that are often clogged by silt and sediment from upstream.</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Environmental &amp; remediation services backlog was $28.9 million higher at March 31, 2015 than at December 31, 2014. The increase was primarily driven by the award of remediation projects in Washington and Louisiana in the first three months of 2015. The Company continued to earn revenue on a remediation project and an abatement project in New Jersey. The Company’s acquisition of Magnus Pacific Corporation expands the geographic footprint of our environmental operations to include the U.S. West Coast and broadens our suite of services to include geotechnical contracting capabilities and other environmental solutions.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 term debt. The Company’s principal uses of cash are to meet debt service requirements, finance capital expenditures, provide working capital and other general corporate purposes.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net cash provided by (used in) operating activities of continuing operations for the three months ended March 31, 2015 and 2014 totaled</w:t>
      </w:r>
    </w:p>
    <w:p>
      <w:pPr>
        <w:spacing w:after="0" w:line="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$(10.6) million and $8.6 million, respectively. Normal increases or decreases in the level of working capital relative to the level of operational activity impact cash flow from operating activities. The decrease in the current year from the three months ended March 31, 2014 is related to a decline in net income during the current year. Further, the Company received a tax refund as well as payment on a project at one of our joint ventures during the 2014 first quarter which did not repeat in the current year.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Company’s net cash flows used in investing activities of continuing operations for the first three months of 2015 and 2014 totaled $20.7 million and</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$24.7 million, respectively. Investing activities in both periods primarily relate to normal course upgrades and capital maintenance of the Company’s dredging fleet. During the three months ended March 31, 2015, the Company spent $6.8 million on construction in progress for a vessel being built to our specifications, compared to $10.1 million in the prior year. Further, during the first three months of 2014, the Company paid $3.1 million related to a vendor performance obligation as a result of a settlement agreement.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net cash flows provided by financing activities of continuing operations for the three months ended March 31, 2015 and 2014 totaled $19.6 million and $2.2 million. The change in net cash flows from financing activities is primarily due to net borrowings on the Company’s revolver during the first three months of 2015 of $20.0 million, compared to $2.0 million for the same period in the prior year. Additionally, the Company made payments on the Term Loan Facility during the 2015 first quarter.</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June 4, 2012, the Company entered into a senior revolving credit agreement (the “Credit Agreement”) with certain financial institutions from time to time party thereto as lenders, Wells Fargo Bank, National Association, as Administrative Agent, Swingline Lender and an Issuing Lender, Bank of America, N.A., as Syndication Agent and PNC Bank, National Association, BMO Harris Bank N.A. and Fifth Third Bank, as Co-Documentation Agents. The Credit Agreement, as subsequently amended, provides for a senior revolving credit facility in an aggregate principal amount of up to $210 million, multicurrency borrowings up to a $50 million sublimit and swingline loans up to a $10 million sublimit. The Credit Agreement also includes an incremental loans feature that will allow the Company to increase the senior revolving credit facility by an aggregate principal amount of up to $15 million. This is subject to lenders providing incremental commitments for such increase, provided that no default or event of default exists, and the Company being in pro forma compliance with the existing financial covenants, both before and after giving effect to the increase, and subject to other standard conditions.</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Depending on the Company’s consolidated leverage ratio (as defined in the Credit Agreement), borrowings under the revolving credit facility will bear interest at the option of the Company of either a LIBOR rate plus a margin of between 1.50% to 2.50% per annum or a base rate plus a margin of between 0.50% to 1.50% per annum.</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credit facility contains affirmative, negative and financial covenants customary for financings of this type. The Credit Agreement also contains customary events of default (including non-payment of principal or interest on any material debt and breaches of covenants) as well as events of default relating to certain actions by the Company’s surety bonding providers. The Credit Agreement requires the Company to maintain a net leverage ratio less than or equal to 4.50 to 1.00 as of the end of each fiscal quarter and a minimum fixed charge coverage ratio of 1.25 to 1.00.</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obligations of Great Lakes under the Credit Agreement are unconditionally guaranteed, on a joint and several basis, by each existing and subsequently acquired or formed material direct and indirect domestic subsidiary of the Company. During a year, the Company frequently borrows and repays amounts under its revolving credit facility. As of March 31, 2015, the Company had $20.0 million of borrowings on the revolver and $125.5 million of letters of credit outstanding, resulting in $64.5 million of availability under the Credit Agreement. Borrowings under the line of credit may be limited based on the Company’s requirements to comply with its covenants. At March 31, 2015, the Company was in compliance with its various covenants under its Credit Agreement.</w:t>
      </w:r>
    </w:p>
    <w:p>
      <w:pPr>
        <w:spacing w:after="0" w:line="19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November 4, 2014, the Company entered into a Term Loan Facility consisting of a term loan in an aggregate principal amount of $50 million, with the lenders party thereto from time to time and Bank of America, N.A., as administrative agent. Pursuant to the term loan, the Company borrowed an aggregate principal amount of $46.8 million. The proceeds from the Term Loan Facility will be used for the working capital and general corporate purposes of the Company, including to repay borrowings under the Credit Agreement made to finance the construction of the Company’s dual mode articulated tug/barge trailing suction hopper dredge.</w:t>
      </w:r>
    </w:p>
    <w:p>
      <w:pPr>
        <w:spacing w:after="0" w:line="18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Term Loan Facility has a term of 5 years. The borrowings under the Term Loan Facility bear interest at a fixed rate of 4.655% per annum. If an event of default occurs under the Loan Agreement, the interest rate will increase by 2.00% per annum during the continuance of such event of default.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Term Loan Facility provides for monthly amortization payments, payable in arrears, commencing on December 4, 2014, at an annual amount of</w:t>
      </w:r>
    </w:p>
    <w:p>
      <w:pPr>
        <w:spacing w:after="0" w:line="35" w:lineRule="exact"/>
        <w:rPr>
          <w:sz w:val="20"/>
          <w:szCs w:val="20"/>
          <w:color w:val="auto"/>
        </w:rPr>
      </w:pPr>
    </w:p>
    <w:p>
      <w:pPr>
        <w:ind w:right="20" w:firstLine="8"/>
        <w:spacing w:after="0" w:line="254"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10% of the principal amount of the Term Loan Facility during the first two years of the term, (ii) approximately 20% of the principal amount of the Term Loan Facility during the third and fourth years of the term, and (iii) approximately 25% of the principal amount of the Term Loan Facility during the final year of the term, with the remainder due on the maturity date of the facility. In addition, the Company may optionally prepay the Term Loan Facility in whole or in part at any time, subject to a minimum prepayment amount.</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Loan Agreement includes customary representations, affirmative and negative covenants and events of default for financings of this type and includes the same financial covenants that are currently set forth in the Credit Agreement.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Performance and bid bonds are customarily required for dredging and marine construction projects, as well as some environmental &amp; remediation projects. The Company has a bonding agreement (the “Zurich Bonding Agreement”) with Zurich American Insurance Company (“Zurich”) under which the Company can obtain performance, bid and payment bonds.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The Company also has outstanding bonds with Travelers Casualty and Surety Company of America. Bid bonds are generally obtained for a percentage of bid value and amounts outstanding typically range from $1 million to $10 million. At March 31, 2015, the Company had outstanding performance bonds totaling at approximately $1,164.3 million, of which $49.0 million relates to projects accounted for in discontinued operations. The revenue value remaining in backlog related to the projects of continuing operations totaled approximately $493.5 million.</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connection with the sale of our historical demolition business, the Company was obligated to keep in place the surety bonds on pending demolition projects for the period required under the respective contract for a project.</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January 2011, the Company issued $250 million in aggregate principal amount of its 7.375% senior notes due February 1, 2019. Approximately $180 million of the net proceeds from the original issuance of the senior notes were used to prepay all of the Company’s 7.75% senior subordinated notes due December 2013, including prepayment premiums and accrued and unpaid interest. In November 2014, the Company issued an additional $25 million in aggregate principal amount of its 7.375% senior notes due February 1, 2019. The proceeds from this issuance was used to repay indebtedness incurred under out senior secured revolving credit facility in connection with the acquisition of Magnus Pacific Corporation, and for general corporate purposes. The indenture governing the senior notes, among other things, limits the ability of the Company and its restricted subsidiaries to (i) pay dividends, or make certain other restricted payments or investments; (ii) incur additional indebtedness and issue disqualified stock; (iii) create liens on its assets; (iv) transfer and sell assets; (v) merge, consolidate or sell all or substantially all of its assets; (vi) enter into certain transactions with affiliates; (vii) create restrictions on dividends or other payments by its restricted subsidiaries and (viii) create guarantees of indebtedness by restricted subsidiaries. These covenants are subject to a number of important limitations and exceptions that are described in the indenture governing the senior notes. The impact of changes in functional currency exchange rates against the U.S. dollar on non-U.S. dollar cash balances, primarily the Brazilian Real and Australian Dollar, is reflected in the cumulative translation adjustment—net within accumulated other comprehensive loss. Cash held in non-U.S. dollar currencies primarily is used for project-related and other operating costs in those currencies reducing the Company’s exposure to future realized exchange gains and losses.</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preparing its consolidated financial statements, the Company follows accounting principles generally accepted in the United States of America which are described in Note 1 to the Company’s December 31, 2013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2014.</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risk of the Company’s financial instruments as of March 31, 2015 has not materially changed since December 31, 2014. The market risk profile of the Company on December 31, 2014 is disclosed in Item 7A. “Quantitative and Qualitative Disclosures about Market Risk” of the Company’s Annual Report on Form 10-K for the year ended December 31,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2015.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a reasonable assurance.</w:t>
      </w:r>
    </w:p>
    <w:p>
      <w:pPr>
        <w:spacing w:after="0" w:line="279"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under the Exchange Act) during the fiscal quarter ended March 31, 2015 that have materially affected, or are reasonably likely to materially affect, our internal control over financial reporting.</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in the future, to obtain bonding or letters of credit for our contracts, our ability to obtain future contracts will be limited, thereby adversely affecting our business, operating results, cash flows or financial condition.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generally required to post bonds in connection with our domestic dredging or remediation contracts and bonds or letters of credit with our foreign dredging contracts to ensure job completion if we ever fail to finish a project. We have entered into the Zurich Bonding Agreement with Zurich American Insurance Company (“Zurich”), pursuant to which Zurich acts as surety, issues bid bonds, performance bonds and payment bonds, and provides guarantees required by us in the day-to-day operations of our dredging business. However, under certain circumstances as specified in the agreement, Zurich is not obligated under the Zurich Bonding Agreement to issue future bonds for us. In April 2015, we entered into additional bonding agreements with ACE Holdings, Inc., Argonaut Insurance Company, Berkley Insurance Company, and Liberty Mutual Insurance Company (collectively, the “Additional Sureties”). The bonding agreements with the Additional Sureties contain similar terms and conditions as the Zurich Bonding Agreement. Historically, we have had a strong bonding capacity, but surety companies issue bonds on a project-by-project basis and can decline to issue bonds at any time or require the posting of collateral as a condition to issuing any bonds. In addition to our bonds outstanding with Zurich and the Additional Sureties, we also have surety bonds outstanding with Travelers Casualty and Surety Company of America. With respect to our foreign dredging business, we generally obtain letters of credit under the Credit Agreement. However, access to our senior credit facility under the Credit Agreement may be limited by failure to meet certain financial requirements or other defined requirements. If we are unable to obtain bonds or letters of credit on terms reasonably acceptable to us, our ability to take on future work would be severely limited.</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sale of our historical demolition business, we were obligated to keep in place the surety bonds on pending demolition projects for the period required under the respective contract for a project. If there should be a default triggered under any of such surety bonds, it could have a material adverse effect on our ability to obtain bonds and on our business, results of operations, cash flows or financial condition.</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 discussion of other potential risks and uncertainties that could materially affect our future performance, please refer to Part I, Item 1A “Risk Factors” included in our Annual Report on Form 10-K for the year ended December 31, 2014.</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740" w:hanging="248"/>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1740" w:hanging="248"/>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1740" w:hanging="248"/>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445"/>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 Dock</w:t>
            </w:r>
          </w:p>
        </w:tc>
      </w:tr>
      <w:tr>
        <w:trPr>
          <w:trHeight w:val="216"/>
        </w:trPr>
        <w:tc>
          <w:tcPr>
            <w:tcW w:w="86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Company, LLC, Great Lakes Environmental &amp; Infrastructure Solutions, LLC, Magnus Pacific, LLC, Terra Contracting, LLC, Terra Fluid</w:t>
            </w:r>
          </w:p>
        </w:tc>
      </w:tr>
      <w:tr>
        <w:trPr>
          <w:trHeight w:val="230"/>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Management, LLC and Liberty Mutual Insurance Company and its subsidiaries and affiliates.*</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10.2</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Agreement of Indemnity, dated as of April 13, 2015, by and among Great Lakes Dredge &amp; Dock Corporation, Great Lakes Dredge &amp; Dock</w:t>
            </w:r>
          </w:p>
        </w:tc>
      </w:tr>
      <w:tr>
        <w:trPr>
          <w:trHeight w:val="216"/>
        </w:trPr>
        <w:tc>
          <w:tcPr>
            <w:tcW w:w="86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Company, LLC, Great Lakes Environmental &amp; Infrastructure Solutions, LLC, Magnus Pacific, LLC, Terra Contracting, LLC, Terra Fluid</w:t>
            </w:r>
          </w:p>
        </w:tc>
      </w:tr>
      <w:tr>
        <w:trPr>
          <w:trHeight w:val="230"/>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Management, LLC and Berkley Insurance Company and/or Berkley Regional Insurance Company.*</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10.3</w:t>
            </w: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 Dock</w:t>
            </w:r>
          </w:p>
        </w:tc>
      </w:tr>
      <w:tr>
        <w:trPr>
          <w:trHeight w:val="216"/>
        </w:trPr>
        <w:tc>
          <w:tcPr>
            <w:tcW w:w="86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Company, LLC, Great Lakes Environmental &amp; Infrastructure Solutions, LLC, Magnus Pacific, LLC, Terra Contracting, LLC, Terra Fluid</w:t>
            </w:r>
          </w:p>
        </w:tc>
      </w:tr>
      <w:tr>
        <w:trPr>
          <w:trHeight w:val="230"/>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Management, LLC and Argonaut Insurance Company.*</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10.4</w:t>
            </w:r>
          </w:p>
        </w:tc>
        <w:tc>
          <w:tcPr>
            <w:tcW w:w="10340" w:type="dxa"/>
            <w:vAlign w:val="bottom"/>
          </w:tcPr>
          <w:p>
            <w:pPr>
              <w:ind w:left="300"/>
              <w:spacing w:after="0"/>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 Dock</w:t>
            </w:r>
          </w:p>
        </w:tc>
      </w:tr>
      <w:tr>
        <w:trPr>
          <w:trHeight w:val="216"/>
        </w:trPr>
        <w:tc>
          <w:tcPr>
            <w:tcW w:w="86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4"/>
              </w:rPr>
              <w:t>Company, LLC, Great Lakes Environmental &amp; Infrastructure Solutions, LLC, Magnus Pacific, LLC, Terra Contracting, LLC, Terra Fluid</w:t>
            </w:r>
          </w:p>
        </w:tc>
      </w:tr>
      <w:tr>
        <w:trPr>
          <w:trHeight w:val="216"/>
        </w:trPr>
        <w:tc>
          <w:tcPr>
            <w:tcW w:w="860" w:type="dxa"/>
            <w:vAlign w:val="bottom"/>
          </w:tcPr>
          <w:p>
            <w:pPr>
              <w:spacing w:after="0"/>
              <w:rPr>
                <w:sz w:val="18"/>
                <w:szCs w:val="18"/>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w w:val="90"/>
              </w:rPr>
              <w:t>Management, LLC and Westchester Fire Insurance Company or any of its affiliates, including any other company that is part of or added to</w:t>
            </w:r>
          </w:p>
        </w:tc>
      </w:tr>
      <w:tr>
        <w:trPr>
          <w:trHeight w:val="230"/>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ACE Holdings, Inc.*</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31.1</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r>
      <w:tr>
        <w:trPr>
          <w:trHeight w:val="230"/>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31.2</w:t>
            </w:r>
          </w:p>
        </w:tc>
        <w:tc>
          <w:tcPr>
            <w:tcW w:w="10340" w:type="dxa"/>
            <w:vAlign w:val="bottom"/>
          </w:tcPr>
          <w:p>
            <w:pPr>
              <w:ind w:left="30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r>
      <w:tr>
        <w:trPr>
          <w:trHeight w:val="230"/>
        </w:trPr>
        <w:tc>
          <w:tcPr>
            <w:tcW w:w="860" w:type="dxa"/>
            <w:vAlign w:val="bottom"/>
          </w:tcPr>
          <w:p>
            <w:pPr>
              <w:spacing w:after="0"/>
              <w:rPr>
                <w:sz w:val="20"/>
                <w:szCs w:val="20"/>
                <w:color w:val="auto"/>
              </w:rPr>
            </w:pPr>
          </w:p>
        </w:tc>
        <w:tc>
          <w:tcPr>
            <w:tcW w:w="10340" w:type="dxa"/>
            <w:vAlign w:val="bottom"/>
          </w:tcPr>
          <w:p>
            <w:pPr>
              <w:ind w:left="300"/>
              <w:spacing w:after="0"/>
              <w:rPr>
                <w:sz w:val="20"/>
                <w:szCs w:val="20"/>
                <w:color w:val="auto"/>
              </w:rPr>
            </w:pPr>
            <w:r>
              <w:rPr>
                <w:rFonts w:ascii="Arial" w:cs="Arial" w:eastAsia="Arial" w:hAnsi="Arial"/>
                <w:sz w:val="18"/>
                <w:szCs w:val="18"/>
                <w:color w:val="auto"/>
              </w:rPr>
              <w:t>Sarbanes-Oxley Act of 2002. *</w:t>
            </w:r>
          </w:p>
        </w:tc>
      </w:tr>
      <w:tr>
        <w:trPr>
          <w:trHeight w:val="324"/>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32.1</w:t>
            </w:r>
          </w:p>
        </w:tc>
        <w:tc>
          <w:tcPr>
            <w:tcW w:w="1034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32.2</w:t>
            </w:r>
          </w:p>
        </w:tc>
        <w:tc>
          <w:tcPr>
            <w:tcW w:w="10340" w:type="dxa"/>
            <w:vAlign w:val="bottom"/>
          </w:tcPr>
          <w:p>
            <w:pPr>
              <w:ind w:left="3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Instance Document.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tabs>
          <w:tab w:leader="none" w:pos="8220" w:val="left"/>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4"/>
          <w:szCs w:val="14"/>
          <w:color w:val="auto"/>
        </w:rPr>
        <w:t>ARK</w:t>
      </w:r>
      <w:r>
        <w:rPr>
          <w:rFonts w:ascii="Arial" w:cs="Arial" w:eastAsia="Arial" w:hAnsi="Arial"/>
          <w:sz w:val="17"/>
          <w:szCs w:val="17"/>
          <w:color w:val="auto"/>
        </w:rPr>
        <w:t xml:space="preserve"> W. M</w:t>
      </w:r>
      <w:r>
        <w:rPr>
          <w:rFonts w:ascii="Arial" w:cs="Arial" w:eastAsia="Arial" w:hAnsi="Arial"/>
          <w:sz w:val="14"/>
          <w:szCs w:val="14"/>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8"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Mark W. Marinko</w:t>
      </w:r>
    </w:p>
    <w:p>
      <w:pPr>
        <w:jc w:val="center"/>
        <w:ind w:left="7220"/>
        <w:spacing w:after="0" w:line="226"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7220"/>
        <w:spacing w:after="0"/>
        <w:rPr>
          <w:sz w:val="20"/>
          <w:szCs w:val="20"/>
          <w:color w:val="auto"/>
        </w:rPr>
      </w:pPr>
      <w:r>
        <w:rPr>
          <w:rFonts w:ascii="Arial" w:cs="Arial" w:eastAsia="Arial" w:hAnsi="Arial"/>
          <w:sz w:val="13"/>
          <w:szCs w:val="13"/>
          <w:b w:val="1"/>
          <w:bCs w:val="1"/>
          <w:color w:val="auto"/>
        </w:rPr>
        <w:t>(Principal Financial and Accounting Officer and Duly Authorized</w:t>
      </w:r>
    </w:p>
    <w:p>
      <w:pPr>
        <w:jc w:val="center"/>
        <w:ind w:left="7220"/>
        <w:spacing w:after="0"/>
        <w:rPr>
          <w:sz w:val="20"/>
          <w:szCs w:val="20"/>
          <w:color w:val="auto"/>
        </w:rPr>
      </w:pPr>
      <w:r>
        <w:rPr>
          <w:rFonts w:ascii="Arial" w:cs="Arial" w:eastAsia="Arial" w:hAnsi="Arial"/>
          <w:sz w:val="14"/>
          <w:szCs w:val="14"/>
          <w:b w:val="1"/>
          <w:bCs w:val="1"/>
          <w:color w:val="auto"/>
        </w:rPr>
        <w:t>Officer)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May 6, 2015</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40"/>
          </w:cols>
          <w:pgMar w:left="240" w:top="459"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41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0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24"/>
                <w:szCs w:val="24"/>
                <w:color w:val="auto"/>
              </w:rPr>
            </w:pPr>
          </w:p>
        </w:tc>
        <w:tc>
          <w:tcPr>
            <w:tcW w:w="10280" w:type="dxa"/>
            <w:vAlign w:val="bottom"/>
            <w:gridSpan w:val="3"/>
          </w:tcPr>
          <w:p>
            <w:pPr>
              <w:ind w:left="4680"/>
              <w:spacing w:after="0"/>
              <w:rPr>
                <w:sz w:val="20"/>
                <w:szCs w:val="20"/>
                <w:color w:val="auto"/>
              </w:rPr>
            </w:pPr>
            <w:r>
              <w:rPr>
                <w:rFonts w:ascii="Arial" w:cs="Arial" w:eastAsia="Arial" w:hAnsi="Arial"/>
                <w:sz w:val="14"/>
                <w:szCs w:val="14"/>
                <w:b w:val="1"/>
                <w:bCs w:val="1"/>
                <w:color w:val="auto"/>
              </w:rPr>
              <w:t>Document Description</w:t>
            </w: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9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 Dock</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4"/>
              </w:rPr>
              <w:t>Company, LLC, Great Lakes Environmental &amp; Infrastructure Solutions, LLC, Magnus Pacific, LLC, Terra Contracting, LLC, Terra Fluid</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Management, LLC and Liberty Mutual Insurance Company and its subsidiaries and affiliates.*</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1"/>
              </w:rPr>
              <w:t>Agreement of Indemnity, dated as of April 13, 2015, by and among Great Lakes Dredge &amp; Dock Corporation, Great Lakes Dredge &amp; Dock</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4"/>
              </w:rPr>
              <w:t>Company, LLC, Great Lakes Environmental &amp; Infrastructure Solutions, LLC, Magnus Pacific, LLC, Terra Contracting, LLC, Terra Fluid</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Management, LLC and Berkley Insurance Company and/or Berkley Regional Insurance Company.*</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 Dock</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4"/>
              </w:rPr>
              <w:t>Company, LLC, Great Lakes Environmental &amp; Infrastructure Solutions, LLC, Magnus Pacific, LLC, Terra Contracting, LLC, Terra Fluid</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Management, LLC and Argonaut Insurance Company.*</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2"/>
              </w:rPr>
              <w:t>Agreement of Indemnity, dated as of April 7, 2015, by and among Great Lakes Dredge &amp; Dock Corporation, Great Lakes Dredge &amp; Dock</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4"/>
              </w:rPr>
              <w:t>Company, LLC, Great Lakes Environmental &amp; Infrastructure Solutions, LLC, Magnus Pacific, LLC, Terra Contracting, LLC, Terra Fluid</w:t>
            </w: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0"/>
              </w:rPr>
              <w:t>Management, LLC and Westchester Fire Insurance Company or any of its affiliates, including any other company that is part of or added to</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ACE Holdings, Inc.*</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Pursuant to Rules 13a-14 and 15d-14 under the Securities Exchange Act of 1934, as Adopted Pursuant to Section 302 of the</w:t>
            </w: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Sarbanes-Oxley Act of 2002. *</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Schema.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Definition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w:t>
            </w:r>
          </w:p>
        </w:tc>
      </w:tr>
      <w:tr>
        <w:trPr>
          <w:trHeight w:val="324"/>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2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Presentation Linkbase.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569085" cy="797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908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 of Indemnity</w:t>
      </w:r>
    </w:p>
    <w:p>
      <w:pPr>
        <w:spacing w:after="0" w:line="22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THIS AGREEMENT of Indemnity, made and entered into this </w:t>
      </w:r>
      <w:r>
        <w:rPr>
          <w:rFonts w:ascii="Arial" w:cs="Arial" w:eastAsia="Arial" w:hAnsi="Arial"/>
          <w:sz w:val="18"/>
          <w:szCs w:val="18"/>
          <w:b w:val="1"/>
          <w:bCs w:val="1"/>
          <w:u w:val="single" w:color="auto"/>
          <w:color w:val="auto"/>
        </w:rPr>
        <w:t>SEVENTH</w:t>
      </w:r>
      <w:r>
        <w:rPr>
          <w:rFonts w:ascii="Arial" w:cs="Arial" w:eastAsia="Arial" w:hAnsi="Arial"/>
          <w:sz w:val="18"/>
          <w:szCs w:val="18"/>
          <w:color w:val="auto"/>
        </w:rPr>
        <w:t xml:space="preserve"> of </w:t>
      </w:r>
      <w:r>
        <w:rPr>
          <w:rFonts w:ascii="Arial" w:cs="Arial" w:eastAsia="Arial" w:hAnsi="Arial"/>
          <w:sz w:val="18"/>
          <w:szCs w:val="18"/>
          <w:b w:val="1"/>
          <w:bCs w:val="1"/>
          <w:color w:val="auto"/>
        </w:rPr>
        <w:t>APRIL, 2015</w:t>
      </w:r>
      <w:r>
        <w:rPr>
          <w:rFonts w:ascii="Arial" w:cs="Arial" w:eastAsia="Arial" w:hAnsi="Arial"/>
          <w:sz w:val="18"/>
          <w:szCs w:val="18"/>
          <w:color w:val="auto"/>
        </w:rPr>
        <w:t xml:space="preserve"> by GREAT LAKES DREDGE &amp; DOCK CORPORATION, GREAT LAKES DREDGE &amp; DOCK COMPANY, LLC, GREAT LAKES ENVIRONMENTAL &amp; INFRASTRUCTURE SOLUTIONS, LLC; MAGNUS PACIFIC, LLC; TERRA CONTRACTING, LLC; TERRA FLUID MANAGEMENT, LLC each individually and collectively “Contractor,” and GREAT LAKES DREDGE &amp; DOCK CORPORATION, GREAT LAKES DREDGE &amp; DOCK COMPANY, LLC, GREAT LAKES ENVIRONMENTAL &amp; INFRASTRUCTURE SOLUTIONS, LLC; MAGNUS PACIFIC LLC; TERRA CONTRACTING, LLC; TERRA FLUID MANAGEMENT, LLC each individually and collectively “Indemnitors,” and LIBERTY MUTUAL INSURANCE COMPANY and any other company that is part of or added to the Liberty Mutual Group, severally not jointly, and its successors and assigns (“Surety”).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WHEREAS, Contractors, in the performance of contracts and the fulfillment of obligations generally, whether in each Contractor’s own name solely or in joint venture with each other or with other Persons, may desire or be required to give or procure Bonds, and to renew, or continue or substitute from time to time the same or new Bonds with the same or different penalties and/or conditions; or the Contractors or Indemnitors may request the Surety to refrain from cancelling said Bonds; and</w:t>
      </w:r>
    </w:p>
    <w:p>
      <w:pPr>
        <w:spacing w:after="0" w:line="18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WHEREAS, at the request of Contractors and Indemnitors and on the express understanding that this Agreement of Indemnity be given, the Surety has executed or procured to be executed, and may from time to time hereafter execute or procure to be executed, said Bonds on behalf of one or more Contractors; and</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WHEREAS, Contractors and Indemnitors have a substantial, material and beneficial interest in the obtaining of the Bonds or in the Surety’s refraining from cancelling said Bonds.</w:t>
      </w:r>
    </w:p>
    <w:p>
      <w:pPr>
        <w:spacing w:after="0" w:line="170"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is hereby acknowledged, Contractors and Indemnitors for themselves, their heirs, executors, administrators, successors and assigns, jointly and severally, hereby covenant and agree with Surety, as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PREMIUMS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FIRST: Contractors and Indemnitors will pay to the Surety, in such manner as may be agreed upon, all premiums and charges of Surety for the Bonds in accordance with Surety’s rate filings or as otherwise agreed upon, until Contractors or Indemnitors shall serve evidence reasonably satisfactory to the Surety of Surety’s discharge or release from the Bonds and all liability by reason of the Bonds.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SECOND: Contractors and Indemnitors shall exonerate, indemnify, and keep indemnified the Surety from and against any and all liability and Loss which the Surety may sustain and incur: (a) by reason of having executed or procured the execution of the Bonds, (b) by reason of the failure of Contractors or Indemnitors to perform or comply with the covenants and conditions of this Agreement or the Equipment Utilization Agreement or (c) in enforcing any of the covenants and conditions of this Agreement or the Equipment Utilization Agreement. Payment by reason of the aforesaid causes shall be made to the Surety by the Contractors and Indemnitors as soon as liability exists or is asserted against the Surety, whether or not the Surety shall have made any payment therefor, provided, however, that in no event shall any Contractor or Indemnitor indemnify or hold and save harmless the Surety against any Loss arising out of the gross negligence, willful misconduct or illegal act of the Surety.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THIRD: The Contractors and Indemnitors will assign, transfer and set over, and do hereby assign, transfer and set over to the Surety the following as collateral, to secure the obligations in any and all of the paragraphs of this Agreement and any other indebtedness and liabilities of Contractors and Indemnitors to the Surety, whether heretofore or hereafter incurred: (a) all the rights of Contractors and/or Indemnitors in, and growing in any manner out of, all contracts referred to in the Bonds, or in, or growing in any manner out of the Bonds; (b) all the rights, title and interest of Contractors and/or Indemnitors in and to all machinery, equipment, plant, tools and materials which are now, or may hereafter be, about or upon the site or sites of any and all of the contractual work referred to in the Bonds, or elsewhere, including materials purchased for or chargeable to any and all contracts referred to in the bonds, materials which may be in process of construction, in storage elsewhere, or in transportation to any and all of said sites, and equipment which may be necessary or proper to perform any contractual work referred to in the Bonds; (c) all rights, title and interest (including the right to use) of Contractors and/or Indemnitors in and to all general intangibles and intellectual property used in or related to any and all contractual work referred to in the Bonds, including, without limitation, any business records, inventions, designs, patents, patent applications, trademarks, trademark applications, trade names, trade secrets, copyrights, any intellectual property, licenses, franchises, customer lists, insurance proceeds, insurance refunds and equivalents, software, computer programs, computer hardware, computer systems, architectural drawings, plans and specifications (d) all the rights, title and interest of Contractors and/or Indemnitors in and to all subcontracts let or to be let in connection with any and all contracts referred to in the Bonds, and in and to all surety bonds supporting such subcontracts; (e) all actions, causes of</w:t>
      </w:r>
    </w:p>
    <w:p>
      <w:pPr>
        <w:sectPr>
          <w:pgSz w:w="11900" w:h="16838" w:orient="portrait"/>
          <w:cols w:equalWidth="0" w:num="1">
            <w:col w:w="11420"/>
          </w:cols>
          <w:pgMar w:left="240" w:top="121" w:right="239" w:bottom="357" w:gutter="0" w:footer="0" w:header="0"/>
        </w:sectPr>
      </w:pPr>
    </w:p>
    <w:bookmarkStart w:id="40" w:name="page41"/>
    <w:bookmarkEnd w:id="40"/>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actions, claims and demands whatsoever which the Contractors and/or Indemnitors may have or acquire against any obligee, any subcontractor, laborer or materialman, or any person furnishing or agreeing to furnish or supply labor, material, supplies, machinery, tools or other equipment in connection with or on account of any and all contracts referred to in the Bonds; and against any surety or sureties of any obligee, subcontractor, laborer, or materialman; (f) any and all percentages retained, receivables and any and all sums that may be due or hereafter become due on account of any and all contracts referred to in the Bonds; and (g) any real or personal property, the improvement of which is secured by any Bond. The assignment in the case of each contract to become effective as of the date of the Bond covering such contract, but shall be triggered only upon the occurrence of an Event of Default.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 FUND</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FOURTH: The Contractors and Indemnitors covenant and agree that all payments received for or on account of contracts covered by the Bonds shall be held as trust funds in which the Surety has an interest, for the payment of obligations incurred in the performance of the contract and for labor, materials, and services furnished in the prosecution of the work provided in the contract or any authorized extension or modification thereof. Further, it is expressly understood and declared that all monies due and to become due under any contracts covered by the Bonds are trust funds, whether in the possession of any Contractor or Indemnitor or otherwise, for the benefit of and for payment of all such obligations in connection with any such contract or contracts for which the Surety would be liable under any Bonds, which trust also inures to the benefit of the Surety for any liability or Loss Surety may have or sustain under any Bonds, and this Agreement and declaration shall also constitute notice of such trust.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UNIFORM COMMERCIAL CODE</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FIFTH: This Agreement shall constitute a Security Agreement to the Surety and also a Financing Statement, both in accordance with the provisions of the Uniform Commercial Code of every jurisdiction wherein such Code is in effect, and may be so used by the Surety, without in any way abrogating, restricting or limiting the rights of the Surety under this Agreement or under law or in equity.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TAKEOVER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SIXTH: Should an Event of Default occur, Surety shall have the right, at its option and in its sole discretion, and is hereby authorized, with or without exercising any other right or option conferred upon it by law or in the terms of this Agreement and/or the Equipment Utilization Agreement, to take possession of any part or all of the work, materials and equipment under any contract or contracts covered by any Bonds and any other materials or equipment which the Surety deems necessary or proper to perform any contractual work referred to in the Bonds, and at the expense of the Contractors and Indemnitors to complete or arrange for the completion of the same. The Contractors and Indemnitors shall promptly on demand pay to the Surety all Loss so incurred; provided, however, that in no event shall any Contractor or Indemnitor indemnify or hold and save harmless the Surety against any Loss arising out of the recklessness, willful misconduct or illegal act of the Surety.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SEVENTH: The Surety is authorized and empowered, without notice to or knowledge of Contractors and/or Indemnitors to assent to any change whatsoever in the Bonds, and/or any contracts referred to in the Bonds, and/or in the general conditions, plans and/or specifications accompanying said contracts, including, but not limited to, any change in the time for the completion of said contracts and to payments or advances thereunder before the same may be due, and to assent to or take any assignment or assignments, to execute or consent to the execution of any continuations, extensions or renewals of the Bonds and to execute any substitute or substitutes therefor, with the same or different conditions, provisions and obligees and with the same or larger or smaller penalties, it being expressly understood and agreed that Contractors and Indemnitors shall remain bound under the terms of this Agreement even though any such assent by the Surety does or might substantially increase the liability of Contractors and Indemnitors.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EIGHTH: The Surety is authorized and empowered to guarantee loans, to advance or lend to any Contactor any money, which the Surety may see fit, for the purpose of any contracts referred to in, or guaranteed by the Bonds. Contractors and Indemnitors shall be responsible for indemnifying Surety for all money expended in the completion of any such contracts by the Surety, or lent or advanced from time to time to any Contractor, or guaranteed by the Surety for the purposes of any such contracts, and all Loss incurred by the Surety in relation to such guarantee, advance or lending, unless repaid with legal interest by that Contractor to the Surety when due, notwithstanding that said money or any part thereof should not be so used by that Contractor.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AND RECORDS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NINTH: At any time, and until such time as the liability of the Surety under any and all Bonds is terminated, the Surety shall have the right to reasonable access to the books, records, and accounts of the Contractors and Indemnitors. Contractors and Indemnitors hereby authorize any bank depository, materialman, supply house, or other person, firm, or corporation, when requested by the Surety, to furnish the Surety any information requested, including but not limited to the status of the work under contracts being performed by any Contractor, the condition of the performance of such contracts, and payments of accounts.</w:t>
      </w:r>
    </w:p>
    <w:p>
      <w:pPr>
        <w:sectPr>
          <w:pgSz w:w="11900" w:h="16838" w:orient="portrait"/>
          <w:cols w:equalWidth="0" w:num="1">
            <w:col w:w="11400"/>
          </w:cols>
          <w:pgMar w:left="240" w:top="274" w:right="2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DECLINE EXECUTION</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TENTH: Surety may decline to execute any Bond and Contractors and Indemnitors agree to make no claim to the contrary in consideration of the Surety’s receiving this Agreement; and if the Surety shall execute a bid or proposal Bond, it shall have the right to decline to execute any and all Bonds that may be required in connection with any award that may be made under the proposal for which the bid or proposal Bond is given, and such declination shall not diminish or alter the liability that may arise by reason of having executed the bid or proposal Bond.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EXECUTION</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ELEVENTH: Contractors and Indemnitors hereby waive notice of the execution of any and all Bonds and all notice of any default or any other act or acts giving rise to any claim under said Bonds, as well as notice of any and all liability of the Surety under such Bonds, and any and all liability on their part hereunder, to the end and effect that the Contractors and Indemnitors shall be and continue liable to Surety under this Agreement, notwithstanding any notice of any kind to which they might have been or be entitled, and notwithstanding any defenses they might have been entitled to make.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TWELFTH: In the event the Surety makes any payment or other determination arising from or related to the Bonds and/or this Agreement, or in the event of settlement, compromise or judgment, Contractors and Indemnitors further agree that in any accounting between the Surety and any Contractor, or between the Surety and the Indemnitors, or either or both of them, the Surety shall be entitled to charge for any and all payments made by the Surety in good faith under the belief that the Surety is or was liable for the sums and amounts paid, or that it was necessary or expedient to make such payments to protect any of the Surety’s rights or to avoid or lessen the Surety’s liability or alleged liability, whether or not such liability, necessity or expediency existed; provided, however, that in no event shall any Contractor or Indemnitor indemnify or hold and save harmless the Surety against any Loss arising out of the gross negligence, willful misconduct or illegal act of the Surety. These payments include the Surety’s costs and expenses and other elements of Loss. Any such payments shall be final, conclusive and binding upon Contractors and Indemnitors; and any Loss which may be sustained or incurred shall be paid by the Contractors and Indemnitors upon written demand by the Surety. In the event of any payment, settlement, compromise or judgment by the Surety, an itemized statement of Loss sworn to by an officer or authorized representative of the Surety or voucher(s) or other documentary evidence of such payment, settlement, compromise or judgment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 and amount of Contractors’ and Indemnitors’ liability to the Surety.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SETTLEMENTS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THIRTEENTH: Surety shall have the absolute and unconditional right to adjust, settle or compromise any claim, demand, suit or judgment upon the Bonds. If Contractors and Indemnitors shall request the Surety to litigate such claim or demand, or to defend such suit, or to appeal from such judgment, then Contractors and Indemnitors shall deposit with the Surety, at the time of such request, cash or collateral satisfactory to the Surety in kind and amount, to be used in paying any judgment or judgments rendered or that may be rendered, with interest, costs, expenses and attorneys’ fees, including those of the Surety, and the Surety shall consider such request.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SURETIES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FOURTEENTH: In the event the Surety procures the execution of the Bonds by other sureties, or executes the Bonds with co-sureties, or reinsures any portion of the Bonds with reinsuring sureties, or reinsures any Bonds executed by others, then all the terms and conditions of this Agreement shall inure to the benefit of such other sureties, co-sureties and reinsuring sureties, as their interests may appear.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FIFTEENTH: Separate suits may be brought hereunder as causes of action accrue, and the bringing of suit or the recovery of judgment upon any cause of action shall not prejudice or bar the bringing of other suits, upon other causes of action, whether theretofore or thereafter arising.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INDEMNITY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SIXTEENTH: Contractors and Indemnitors shall continue to remain bound under the terms of this Agreement even though the Surety may have from time to time before or after the execution of this Agreement, with or without notice to or knowledge of Contractors and Indemnitors, accepted or released other agreements of indemnity or collateral in connection with the execution or procurement of the Bonds, from Contractors or Indemnitors or others, it being expressly understood and agreed by the Contractors and the Indemnitors that any and all other rights which the Surety may have or acquire against the Contractors and the Indemnitors and/or others under any such other or additional agreements of indemnity or collateral shall be in addition to, and not in lieu of, the rights afforded the Surety under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INVALIDITY</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SEVENTEENTH: In case any of the parties mentioned in this Agreement fail to execute the same, or in case the execution hereof by any of the parties be defective or invalid for any reason, such failure, defect or invalidity shall not in any manner affect the validity of this Agreement or the liability hereunder of any of the parties executing the same, but each and every party so executing shall be and remain fully bound and liable hereunder to the same extent as if such failure, defect or invalidity had not existed. It is understood and agreed by the Contractors and Indemnitors that the rights, powers, and remedies given the Surety</w:t>
      </w:r>
    </w:p>
    <w:p>
      <w:pPr>
        <w:sectPr>
          <w:pgSz w:w="11900" w:h="16838" w:orient="portrait"/>
          <w:cols w:equalWidth="0" w:num="1">
            <w:col w:w="11420"/>
          </w:cols>
          <w:pgMar w:left="240" w:top="270" w:right="239" w:bottom="846" w:gutter="0" w:footer="0" w:header="0"/>
        </w:sectPr>
      </w:pPr>
    </w:p>
    <w:bookmarkStart w:id="42" w:name="page43"/>
    <w:bookmarkEnd w:id="42"/>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this Agreement shall be and are in addition to, and not in lieu of, any and all other rights, powers, and remedies which the Surety may have or acquire against the Contractors and Indemnitors or others whether by the terms of any other agreement or by operation of law or otherwise.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ATTORNEY IN FACT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EIGHTEENTH: Contractors and Indemnitors hereby irrevocably nominate, constitute, appoint and designate Surety as their attorney-in-fact, with the right, but not the obligation, to exercise all of the rights of Contractors and Indemnitors assigned, transferred and set over to the Surety in this Agreement, and in the name of Contractors and Indemnitors to make, execute, and deliver any and all additional or other assignments, documents or papers deemed necessary and proper by Surety in order to give full effect not only to the intent and meaning of the assignments in this Agreement, but also to the full protection intended to be given to Surety under all other provisions of this Agreement. Contractors and Indemnitors hereby ratify and confirm all acts and actions taken and done by the Surety as such attorney-in-fact.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NINETEENTH: This Agreement may be terminated by any Contractor or Indemnitor by sending written notice of termination to the Surety via registered mail to the Surety’s home office at Liberty Mutual Surety, 450 Plymouth Road, Suite 400, Plymouth Meeting, PA 19462, Attention: Vice President, National/International Accounts. Such notice of termination shall be effective as to the party sending the notice, ten (10) days from Surety’s receipt of the notice and shall apply all future Bonds and Bond commitments following the effective date. However, any such notice of termination shall not operate to modify, bar, or discharge the party sending as to Bonds and Bond commitments that may have been theretofore issued and/or executed nor shall the notice of termination affect the obligations of any other party to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BONDS FOR OTHER ENTITIES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TWENTIETH: Contractors and Indemnitors hereby agree that their obligations under this Agreement shall apply to any Bonds the Surety executes on behalf of any Subsidiaries or Affiliates of Contractors or Indemnitors, and if requested in writing by GREAT LAKES DREDGE &amp; DOCK CORPORATION or GREAT LAKES DREDGE &amp; DOCK COMPANY, LLC, any other legal entities in which any Contractor or Indemnitor has an ownership interest including, but not limited to, any corporations, partnerships, limited liability companies (LLC) and joint ventures, whether acting alone or in joint venture with others not named in this Agreement. In addition, the Contractors and Indemnitors agree that their obligations under this Agreement shall apply to any Bonds the Surety issues on behalf of any entity upon the written request of GREAT LAKES DREDGE &amp; DOCK CORPORATION or GREAT LAKES DREDGE &amp; DOCK COMPANY, LLC.</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TWENTY-FIRST: NO ORAL MODIFICATION: This Agreement may not be changed or modified orally. No change or modification shall be effective unless made by written endorsement executed to form a part hereof.</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TWENTY-SECOND: PLACE SURETY IN FUNDS: Should an Event of Default occur, or upon determination by Surety, in its sole and absolute discretion, that potential liability exists under any Bond (regardless of whether liability has been established or whether Surety, Contractors or Indemnitors may have defenses to all or any portion of any claim asserted under any Bond), Contractors and Indemnitors shall, upon demand, deposit with Surety cash or other collateral acceptable to Surety in an amount determined by Surety, in its sole discretion, to be sufficient to discharge any claim made against or potential liability of Surety on any Bond or Bonds or under this Agreement. Surety shall not be required to post a reserve prior to or as a condition of Contractors and Indemnitors’ obligation to deposit collateral. This sum may be used by Surety to pay such claim or be held by Surety as collateral against any loss on any Bond or Bonds or under this Agreement. Any remaining sums deposited with Surety after payment of any and all sums due to Surety under this Agreement or otherwise shall be returned to Contractors and Indemnitors upon the complete release and/or discharge of Surety’s obligations and liability under all Bonds. The Surety’s demand for collateral shall be sufficient if sent by registered or certified mail, by facsimile transmission, or by personal service to Contractors and Indemnitors at the addresses stated herein, or at the address last known to the Surety, regardless of whether actually received. deposit collateral with the Surety, immediately upon demand, shall cause irreparable harm to the Surety for which the Surety has no adequate remedy at law. Contractors and Indemnitors agree that the Surety shall be entitled to injunctive relief for specific performance of the obligation to deposit with the Surety the sum demanded as collateral and waive any claims or defenses to the contrary.</w:t>
      </w:r>
    </w:p>
    <w:p>
      <w:pPr>
        <w:spacing w:after="0" w:line="188"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TWENTY-THIRD: Change in Control or Condition: In the event any Change in Control and/or Change in Condition (both as defined in this paragraph) of any Contractor or Indemnitor occurs without the prior written consent of the Surety, then Contractors and Indemnitors will be deemed to be in default under the terms of this Agreement and the Surety will have the right to exercise all of its rights and remedies under this Agreement, at law, or in equity.</w:t>
      </w:r>
    </w:p>
    <w:p>
      <w:pPr>
        <w:spacing w:after="0" w:line="14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TWENTY-FOURTH: Joint and Several. The agreements and covenants herein contained shall be binding upon the undersigned, both jointly and severally, and upon their successors and assigns jointly and severally (including successors by way of merger, acquisition or similar event).</w:t>
      </w:r>
    </w:p>
    <w:p>
      <w:pPr>
        <w:sectPr>
          <w:pgSz w:w="11900" w:h="16838" w:orient="portrait"/>
          <w:cols w:equalWidth="0" w:num="1">
            <w:col w:w="11400"/>
          </w:cols>
          <w:pgMar w:left="240" w:top="274" w:right="259" w:bottom="1440" w:gutter="0" w:footer="0" w:header="0"/>
        </w:sectPr>
      </w:pPr>
    </w:p>
    <w:bookmarkStart w:id="43" w:name="page44"/>
    <w:bookmarkEnd w:id="43"/>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TWENTY-FIFTH: Contractors and Indemnitors release, discharge, and waive any and all claims, demands or causes of action arising from or relating to Surety’s exercise of its rights and remedies pursuant to this Agreement. If Surety demands that Indemnitors perform any obligation under this Agreement including, but not limited to, Contractors’ and/or Indemnitors’ obligation to indemnify or reimburse Surety, to deposit collateral with Surety or to obtain the discharge of Surety under any Bond or Bonds, Contractors’ and Indemnitors’ sole remedy against Surety shall be limited to and capped at the return of any payments made or collateral deposited with Surety pursuant to Surety’s request or demands. Contractors and Indemnitors expressly waive any claim against Surety for consequential damages, extra-contractual damages and/or attorneys’ fees.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TWENTY-SIXTH: This Agreement may be executed in any number of counterparts with separate signature pages, all of which taken together shall constitute the Agreement, and any of the parties hereto may execute this Agreement by signing any such counterpart. This Agreement shall be effective as to each Contractor and Indemnitor when each Contractor and/or Indemnitor has executed it. Contractors and Indemnitors hereby acknowledge that the failure of any one of them to execute this Agreement shall not in any way affect the validity or enforceability of this Agreement as to those Contractors and Indemnitors who have executed the Agreement.</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TWENTY-SEVENTH: Applicable Law. The terms and conditions of this Agreement shall be construed under the laws of New York without regard to its conflicts of laws principles.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When the following terms are used in this General Agreement of Indemnity (this “Agreement”) they shall have the following meanings:</w:t>
      </w:r>
    </w:p>
    <w:p>
      <w:pPr>
        <w:spacing w:after="0" w:line="22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Person, any other Person or group acting in concert with such Person that,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intermediaries, controls, or is controlled by, or is under the common control with such Person. For purposes of this definition, “control” (including, with correlative meanings, the terms “controlled by” and “under common control with”), as used with respect to any Person or group of Persons, shall mean the possession, directly or indirectly, of the power to direct or cause the direction of management and policies of such Person, whether through the ownership of voting securities or by contract or otherwise.</w:t>
      </w:r>
    </w:p>
    <w:p>
      <w:pPr>
        <w:spacing w:after="0" w:line="184"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auto"/>
        </w:rPr>
        <w:t xml:space="preserve">“Bond” </w:t>
      </w:r>
      <w:r>
        <w:rPr>
          <w:rFonts w:ascii="Arial" w:cs="Arial" w:eastAsia="Arial" w:hAnsi="Arial"/>
          <w:sz w:val="16"/>
          <w:szCs w:val="16"/>
          <w:color w:val="auto"/>
        </w:rPr>
        <w:t>means a bond, undertaking, and/or obligation of suretyship or guarantee issued by Surety (whether as sole surety or as co-surety or reinsurer)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any Contractor or issued at the request of GREAT LAKES DREDGE &amp; DOCK CORPORATION or GREAT LAKES DREDGE &amp; DOCK COMPANY, LLC. in accordance with the terms of this Agreement, whether issued prior to or after the execution of this Agreement.</w:t>
      </w:r>
    </w:p>
    <w:p>
      <w:pPr>
        <w:spacing w:after="0" w:line="142"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any of the following without the Surety’s prior written consent: (a) the sale, lease, transfer, conveyance,</w:t>
      </w:r>
      <w:r>
        <w:rPr>
          <w:rFonts w:ascii="Arial" w:cs="Arial" w:eastAsia="Arial" w:hAnsi="Arial"/>
          <w:sz w:val="16"/>
          <w:szCs w:val="16"/>
          <w:b w:val="1"/>
          <w:bCs w:val="1"/>
          <w:color w:val="auto"/>
        </w:rPr>
        <w:t xml:space="preserve"> </w:t>
      </w:r>
      <w:r>
        <w:rPr>
          <w:rFonts w:ascii="Arial" w:cs="Arial" w:eastAsia="Arial" w:hAnsi="Arial"/>
          <w:sz w:val="16"/>
          <w:szCs w:val="16"/>
          <w:color w:val="auto"/>
        </w:rPr>
        <w:t>merger, consolidation or other disposition (“transaction”) (whether one transaction or a series of transactions with any person, entity or group) of all or substantially all of the assets of any Contractor or Indemnitor; (b) the consummation of any transaction (whether one transaction or a series of transactions) the result of which is that any Person becomes the beneficial owner, directly or indirectly, of fifty (50%) percent or more of the voting stock of any Contractor or Indemnitor (measured by voting power rather than number of shares); (c) the acquisition (in one transaction or a series of transactions) by any Contractor or Indemnitor, directly or indirectly, of fifty (50%) percent or more of the beneficial ownership or control in any joint venture, subsidiary, division, affiliate, limited partnership, limited liability partnership, limited liability company or other entity through the issuance of ten (10%) percent or more of the voting power of the total outstanding voting stock of any Contractor or Indemnitor; (d) the adoption of a plan relating to the liquidation or dissolution of any Contractor or Indemnitor or (e) any financial institution, lender, or creditor taking any foreclosure action with respect to any stock or other equity interest in any Contractor or Indemnitor, including but not limited to issuing any notice of or intent to foreclose or otherwise exercising any rights that such Person may have to vote, sell, or otherwise exercise any rights with respect to stock or other equity interest in any Contractor or Indemnitor.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“Change in Condition” </w:t>
      </w:r>
      <w:r>
        <w:rPr>
          <w:rFonts w:ascii="Arial" w:cs="Arial" w:eastAsia="Arial" w:hAnsi="Arial"/>
          <w:sz w:val="16"/>
          <w:szCs w:val="16"/>
          <w:color w:val="auto"/>
        </w:rPr>
        <w:t>means any change in the condition (financial or otherwise) of any Contractor or Indemnitor that, in the opinion of Surety, could have</w:t>
      </w:r>
    </w:p>
    <w:p>
      <w:pPr>
        <w:spacing w:after="0" w:line="50" w:lineRule="exact"/>
        <w:rPr>
          <w:sz w:val="20"/>
          <w:szCs w:val="20"/>
          <w:color w:val="auto"/>
        </w:rPr>
      </w:pPr>
    </w:p>
    <w:p>
      <w:pPr>
        <w:ind w:right="100" w:firstLine="8"/>
        <w:spacing w:after="0" w:line="270" w:lineRule="auto"/>
        <w:tabs>
          <w:tab w:leader="none" w:pos="2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material adverse effect upon the validity, performance, or enforceability of any provisions of this Agreement or any of the transactions contemplated hereby, without the Surety’s prior written consent; (b) a material adverse effect upon the properties, business, prospects, or condition (financial or otherwise) of any Contractor or Indemnitor, which will include but not be limited to (i) the issuance of a “going concern opinion” by the accountants of such Contractor or Indemnitor or (ii) the occurrence of a financial covenant default which occurs under any document relating to financial indebtedness to which any Contractor or Indemnitor is a party, which default is not timely cured in accordance with the terms of that facility; or (c) a material adverse effect upon the ability of any Contractor or Indemnitor to fulfill any obligation under this Agreement or any of the Bonds.</w:t>
      </w:r>
    </w:p>
    <w:p>
      <w:pPr>
        <w:spacing w:after="0" w:line="175"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“Equipment Utilization Agreement” </w:t>
      </w:r>
      <w:r>
        <w:rPr>
          <w:rFonts w:ascii="Arial" w:cs="Arial" w:eastAsia="Arial" w:hAnsi="Arial"/>
          <w:sz w:val="16"/>
          <w:szCs w:val="16"/>
          <w:color w:val="auto"/>
        </w:rPr>
        <w:t>means the Equipment Utilization Agreement dated September 7, 2011, by and among the Surety, the Indemnitors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Bank of America, N.A., as Administrative Agent, as the same may be amended, restated, supplemented, modified or replaced from time to time.</w:t>
      </w:r>
    </w:p>
    <w:p>
      <w:pPr>
        <w:sectPr>
          <w:pgSz w:w="11900" w:h="16838" w:orient="portrait"/>
          <w:cols w:equalWidth="0" w:num="1">
            <w:col w:w="11400"/>
          </w:cols>
          <w:pgMar w:left="240" w:top="27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“Event of Default” </w:t>
      </w:r>
      <w:r>
        <w:rPr>
          <w:rFonts w:ascii="Arial" w:cs="Arial" w:eastAsia="Arial" w:hAnsi="Arial"/>
          <w:sz w:val="18"/>
          <w:szCs w:val="18"/>
          <w:color w:val="auto"/>
        </w:rPr>
        <w:t>means:</w:t>
      </w:r>
    </w:p>
    <w:p>
      <w:pPr>
        <w:spacing w:after="0" w:line="121" w:lineRule="exact"/>
        <w:rPr>
          <w:sz w:val="20"/>
          <w:szCs w:val="20"/>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abandonment, forfeiture, termination, default or breach of any contracts refened to in the Bonds or any breach of any Bond;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by Surety of any claim under any Bond or declaration of default under any Bond;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Surety’s establishment of a reserve;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breach of the provisions of this Agreement or of the Equipment Utilization Agreement;</w:t>
      </w:r>
    </w:p>
    <w:p>
      <w:pPr>
        <w:spacing w:after="0" w:line="117" w:lineRule="exact"/>
        <w:rPr>
          <w:rFonts w:ascii="Arial" w:cs="Arial" w:eastAsia="Arial" w:hAnsi="Arial"/>
          <w:sz w:val="18"/>
          <w:szCs w:val="18"/>
          <w:color w:val="auto"/>
        </w:rPr>
      </w:pPr>
    </w:p>
    <w:p>
      <w:pPr>
        <w:ind w:left="460" w:firstLine="4"/>
        <w:spacing w:after="0" w:line="342" w:lineRule="auto"/>
        <w:tabs>
          <w:tab w:leader="none" w:pos="7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occurrence of any event of default, however described, which occurs under any document relating to financial indebtedness of any Contractor or Indemnitor, in consequence of which that financial indebtedness is or becomes capable of being rendered prematurely due and payable;</w:t>
      </w:r>
    </w:p>
    <w:p>
      <w:pPr>
        <w:spacing w:after="0" w:line="15" w:lineRule="exact"/>
        <w:rPr>
          <w:rFonts w:ascii="Arial" w:cs="Arial" w:eastAsia="Arial" w:hAnsi="Arial"/>
          <w:sz w:val="16"/>
          <w:szCs w:val="16"/>
          <w:color w:val="auto"/>
        </w:rPr>
      </w:pPr>
    </w:p>
    <w:p>
      <w:pPr>
        <w:ind w:left="460" w:right="380" w:firstLine="4"/>
        <w:spacing w:after="0" w:line="277"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assignment by any Contractor or Indemnitor for the benefit of creditors, or the appointment, or of any application for the appointment, of a receiver or trustee for any Contractor or Indemnitor, whether insolvent or not;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Contractor or Indemnitor becoming a debtor in any bankruptcy proceeding (whether voluntarily or involuntarily);</w:t>
      </w:r>
    </w:p>
    <w:p>
      <w:pPr>
        <w:spacing w:after="0" w:line="117" w:lineRule="exact"/>
        <w:rPr>
          <w:rFonts w:ascii="Arial" w:cs="Arial" w:eastAsia="Arial" w:hAnsi="Arial"/>
          <w:sz w:val="18"/>
          <w:szCs w:val="18"/>
          <w:color w:val="auto"/>
        </w:rPr>
      </w:pPr>
    </w:p>
    <w:p>
      <w:pPr>
        <w:ind w:left="460" w:right="120" w:firstLine="4"/>
        <w:spacing w:after="0" w:line="277"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proceeding which deprives any Contractor or Indemnitor and/or Surety of the use of any collateral provided to Surety under this Agreement or of the use of any equipment provided to Surety under the Equipment Utilization Agreement;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Change in Control or a Change in Condition of any Contractor or Indemnitor.</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means all premiums due to Surety and any and all liability, loss, costs, damages, attorneys’ fees and expenses, of whatever kind or nature, whenever</w:t>
      </w:r>
      <w:r>
        <w:rPr>
          <w:rFonts w:ascii="Arial" w:cs="Arial" w:eastAsia="Arial" w:hAnsi="Arial"/>
          <w:sz w:val="16"/>
          <w:szCs w:val="16"/>
          <w:b w:val="1"/>
          <w:bCs w:val="1"/>
          <w:color w:val="auto"/>
        </w:rPr>
        <w:t xml:space="preserve"> </w:t>
      </w:r>
      <w:r>
        <w:rPr>
          <w:rFonts w:ascii="Arial" w:cs="Arial" w:eastAsia="Arial" w:hAnsi="Arial"/>
          <w:sz w:val="16"/>
          <w:szCs w:val="16"/>
          <w:color w:val="auto"/>
        </w:rPr>
        <w:t>sustained or incurred by Surety by reason, or in consequence of its executing or procuring the execution of any Bond (including any claim for additional or extra-contractual damages arising from Surety’s investigation, payment or denial of any claim under any Bond), in making any investigation in relation to any Bond, in defending or prosecuting any action, suit or other proceeding which may be brought in connection with any Bond, in enforcing any of the terms of this Agreement or the Equipment Utilization Agreement, and in obtaining a release from liability under any Bond. Loss includes but is not limited to all amounts paid by Surety for (i) liability, loss, costs, damages, reasonable attorneys’ fees and amounts paid in the investigation, adjustment, settlement or compromise of any Claim or any lawsuits, arbitrations, judgments and/or decisions on those Claims; (ii) court, mediation or arbitration fees, costs and expenses; (iii) interest; (iv) consulting and expert fees, and (v) any other liability, loss, cost or expense which Surety may sustain or incur.</w:t>
      </w:r>
    </w:p>
    <w:p>
      <w:pPr>
        <w:spacing w:after="0" w:line="16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 entity of which a Person has direct or indirect control or owns directly or indirectly more than fifty (50) per cent of the voting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or similar rights of ownership</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 PAGE(S) TO FOLLOW</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remainder of this page is intentionally left blank)</w:t>
      </w:r>
    </w:p>
    <w:p>
      <w:pPr>
        <w:sectPr>
          <w:pgSz w:w="11900" w:h="16838" w:orient="portrait"/>
          <w:cols w:equalWidth="0" w:num="1">
            <w:col w:w="11400"/>
          </w:cols>
          <w:pgMar w:left="240" w:top="270" w:right="259" w:bottom="1440" w:gutter="0" w:footer="0" w:header="0"/>
        </w:sectPr>
      </w:pPr>
    </w:p>
    <w:bookmarkStart w:id="45" w:name="page46"/>
    <w:bookmarkEnd w:id="45"/>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1/we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ATTEST OR WITNESS: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GREAT LAKES DREDGE &amp; DOCK CORPORATION</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2122 York Road, Suite 200 Oak Brook, IL 60523 CONTRACTOR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AND INDEMNITOR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/s/ Katherine M. O’Halloran</w:t>
            </w: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/s/ Mark w. Marinko</w:t>
            </w:r>
          </w:p>
        </w:tc>
        <w:tc>
          <w:tcPr>
            <w:tcW w:w="660" w:type="dxa"/>
            <w:vAlign w:val="bottom"/>
          </w:tcPr>
          <w:p>
            <w:pPr>
              <w:ind w:left="100"/>
              <w:spacing w:after="0"/>
              <w:rPr>
                <w:sz w:val="20"/>
                <w:szCs w:val="20"/>
                <w:color w:val="auto"/>
              </w:rPr>
            </w:pPr>
            <w:r>
              <w:rPr>
                <w:rFonts w:ascii="Arial" w:cs="Arial" w:eastAsia="Arial" w:hAnsi="Arial"/>
                <w:sz w:val="18"/>
                <w:szCs w:val="18"/>
                <w:color w:val="auto"/>
                <w:w w:val="92"/>
              </w:rPr>
              <w:t>(SEAL)</w:t>
            </w:r>
          </w:p>
        </w:tc>
      </w:tr>
      <w:tr>
        <w:trPr>
          <w:trHeight w:val="209"/>
        </w:trPr>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Katherine M. O’Halloran, VP, Corporate Controller, Treasurer, Assistant</w:t>
            </w:r>
          </w:p>
        </w:tc>
        <w:tc>
          <w:tcPr>
            <w:tcW w:w="2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W. Marinko, Senior VP &amp; CFO</w:t>
            </w:r>
          </w:p>
        </w:tc>
        <w:tc>
          <w:tcPr>
            <w:tcW w:w="6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Secretary</w:t>
            </w:r>
          </w:p>
        </w:tc>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STATE OF Illinois</w:t>
            </w:r>
          </w:p>
        </w:tc>
        <w:tc>
          <w:tcPr>
            <w:tcW w:w="3720" w:type="dxa"/>
            <w:vAlign w:val="bottom"/>
          </w:tcPr>
          <w:p>
            <w:pPr>
              <w:ind w:left="260"/>
              <w:spacing w:after="0"/>
              <w:rPr>
                <w:sz w:val="20"/>
                <w:szCs w:val="20"/>
                <w:color w:val="auto"/>
              </w:rPr>
            </w:pPr>
            <w:r>
              <w:rPr>
                <w:rFonts w:ascii="Arial" w:cs="Arial" w:eastAsia="Arial" w:hAnsi="Arial"/>
                <w:sz w:val="18"/>
                <w:szCs w:val="18"/>
                <w:color w:val="auto"/>
              </w:rPr>
              <w:t>County of DuPage</w:t>
            </w: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On this </w:t>
      </w:r>
      <w:r>
        <w:rPr>
          <w:rFonts w:ascii="Arial" w:cs="Arial" w:eastAsia="Arial" w:hAnsi="Arial"/>
          <w:sz w:val="16"/>
          <w:szCs w:val="16"/>
          <w:u w:val="single" w:color="auto"/>
          <w:color w:val="auto"/>
        </w:rPr>
        <w:t>7th</w:t>
      </w:r>
      <w:r>
        <w:rPr>
          <w:rFonts w:ascii="Arial" w:cs="Arial" w:eastAsia="Arial" w:hAnsi="Arial"/>
          <w:sz w:val="16"/>
          <w:szCs w:val="16"/>
          <w:color w:val="auto"/>
        </w:rPr>
        <w:t xml:space="preserve"> day of </w:t>
      </w:r>
      <w:r>
        <w:rPr>
          <w:rFonts w:ascii="Arial" w:cs="Arial" w:eastAsia="Arial" w:hAnsi="Arial"/>
          <w:sz w:val="16"/>
          <w:szCs w:val="16"/>
          <w:u w:val="single" w:color="auto"/>
          <w:color w:val="auto"/>
        </w:rPr>
        <w:t>April 2015</w:t>
      </w:r>
      <w:r>
        <w:rPr>
          <w:rFonts w:ascii="Arial" w:cs="Arial" w:eastAsia="Arial" w:hAnsi="Arial"/>
          <w:sz w:val="16"/>
          <w:szCs w:val="16"/>
          <w:color w:val="auto"/>
        </w:rPr>
        <w:t xml:space="preserve"> before me personally appeared Mark W. Marinko known or proven to me to be the Senior VP &amp; CFO of the entity executing the foregoing instrument (“Entity”) and Katherine M. O’Halloran known or proven to me to be the VP, Corporate Controller, Treasurer, Assistant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ectPr>
          <w:pgSz w:w="11900" w:h="16838" w:orient="portrait"/>
          <w:cols w:equalWidth="0" w:num="1">
            <w:col w:w="11420"/>
          </w:cols>
          <w:pgMar w:left="240" w:top="270" w:right="239" w:bottom="1440" w:gutter="0" w:footer="0" w:header="0"/>
        </w:sectPr>
      </w:pPr>
    </w:p>
    <w:bookmarkStart w:id="46" w:name="page47"/>
    <w:bookmarkEnd w:id="46"/>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1/we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ATTEST OR WITNESS:</w:t>
            </w:r>
          </w:p>
        </w:tc>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GREAT LAKES DREDGE &amp; DOCK COMPANY, LLC</w:t>
            </w:r>
          </w:p>
        </w:tc>
        <w:tc>
          <w:tcPr>
            <w:tcW w:w="6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2122 York Road, Suite 200</w:t>
            </w:r>
          </w:p>
        </w:tc>
        <w:tc>
          <w:tcPr>
            <w:tcW w:w="6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Oak Brook, IL 60523</w:t>
            </w:r>
          </w:p>
        </w:tc>
        <w:tc>
          <w:tcPr>
            <w:tcW w:w="66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CONTRACTOR AND INDEMNITOR</w:t>
            </w:r>
          </w:p>
        </w:tc>
        <w:tc>
          <w:tcPr>
            <w:tcW w:w="660" w:type="dxa"/>
            <w:vAlign w:val="bottom"/>
          </w:tcPr>
          <w:p>
            <w:pPr>
              <w:spacing w:after="0"/>
              <w:rPr>
                <w:sz w:val="20"/>
                <w:szCs w:val="20"/>
                <w:color w:val="auto"/>
              </w:rPr>
            </w:pPr>
          </w:p>
        </w:tc>
      </w:tr>
      <w:tr>
        <w:trPr>
          <w:trHeight w:val="446"/>
        </w:trPr>
        <w:tc>
          <w:tcPr>
            <w:tcW w:w="2060" w:type="dxa"/>
            <w:vAlign w:val="bottom"/>
          </w:tcPr>
          <w:p>
            <w:pPr>
              <w:spacing w:after="0"/>
              <w:rPr>
                <w:sz w:val="20"/>
                <w:szCs w:val="20"/>
                <w:color w:val="auto"/>
              </w:rPr>
            </w:pPr>
            <w:r>
              <w:rPr>
                <w:rFonts w:ascii="Arial" w:cs="Arial" w:eastAsia="Arial" w:hAnsi="Arial"/>
                <w:sz w:val="18"/>
                <w:szCs w:val="18"/>
                <w:color w:val="auto"/>
                <w:w w:val="94"/>
              </w:rPr>
              <w:t>/s/ Katherine M. O’Halloran</w:t>
            </w:r>
          </w:p>
        </w:tc>
        <w:tc>
          <w:tcPr>
            <w:tcW w:w="3300" w:type="dxa"/>
            <w:vAlign w:val="bottom"/>
          </w:tcPr>
          <w:p>
            <w:pPr>
              <w:spacing w:after="0"/>
              <w:rPr>
                <w:sz w:val="24"/>
                <w:szCs w:val="24"/>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/s/ Mark w. Marinko</w:t>
            </w:r>
          </w:p>
        </w:tc>
        <w:tc>
          <w:tcPr>
            <w:tcW w:w="660" w:type="dxa"/>
            <w:vAlign w:val="bottom"/>
          </w:tcPr>
          <w:p>
            <w:pPr>
              <w:ind w:left="100"/>
              <w:spacing w:after="0"/>
              <w:rPr>
                <w:sz w:val="20"/>
                <w:szCs w:val="20"/>
                <w:color w:val="auto"/>
              </w:rPr>
            </w:pPr>
            <w:r>
              <w:rPr>
                <w:rFonts w:ascii="Arial" w:cs="Arial" w:eastAsia="Arial" w:hAnsi="Arial"/>
                <w:sz w:val="18"/>
                <w:szCs w:val="18"/>
                <w:color w:val="auto"/>
                <w:w w:val="92"/>
              </w:rPr>
              <w:t>(SEAL)</w:t>
            </w:r>
          </w:p>
        </w:tc>
      </w:tr>
      <w:tr>
        <w:trPr>
          <w:trHeight w:val="224"/>
        </w:trPr>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Katherine M. O’Halloran, VP, Corporate Controller, Treasurer</w:t>
            </w:r>
          </w:p>
        </w:tc>
        <w:tc>
          <w:tcPr>
            <w:tcW w:w="24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W. Marinko, Senior VP &amp; CFO</w:t>
            </w:r>
          </w:p>
        </w:tc>
        <w:tc>
          <w:tcPr>
            <w:tcW w:w="660" w:type="dxa"/>
            <w:vAlign w:val="bottom"/>
          </w:tcPr>
          <w:p>
            <w:pPr>
              <w:spacing w:after="0"/>
              <w:rPr>
                <w:sz w:val="19"/>
                <w:szCs w:val="19"/>
                <w:color w:val="auto"/>
              </w:rPr>
            </w:pPr>
          </w:p>
        </w:tc>
      </w:tr>
      <w:tr>
        <w:trPr>
          <w:trHeight w:val="431"/>
        </w:trPr>
        <w:tc>
          <w:tcPr>
            <w:tcW w:w="2060" w:type="dxa"/>
            <w:vAlign w:val="bottom"/>
          </w:tcPr>
          <w:p>
            <w:pPr>
              <w:spacing w:after="0"/>
              <w:rPr>
                <w:sz w:val="20"/>
                <w:szCs w:val="20"/>
                <w:color w:val="auto"/>
              </w:rPr>
            </w:pPr>
            <w:r>
              <w:rPr>
                <w:rFonts w:ascii="Arial" w:cs="Arial" w:eastAsia="Arial" w:hAnsi="Arial"/>
                <w:sz w:val="18"/>
                <w:szCs w:val="18"/>
                <w:color w:val="auto"/>
              </w:rPr>
              <w:t>ACKNOWLEDGEMENT</w:t>
            </w: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STATE OF Illinois</w:t>
            </w:r>
          </w:p>
        </w:tc>
        <w:tc>
          <w:tcPr>
            <w:tcW w:w="3300" w:type="dxa"/>
            <w:vAlign w:val="bottom"/>
          </w:tcPr>
          <w:p>
            <w:pPr>
              <w:ind w:left="20"/>
              <w:spacing w:after="0"/>
              <w:rPr>
                <w:sz w:val="20"/>
                <w:szCs w:val="20"/>
                <w:color w:val="auto"/>
              </w:rPr>
            </w:pPr>
            <w:r>
              <w:rPr>
                <w:rFonts w:ascii="Arial" w:cs="Arial" w:eastAsia="Arial" w:hAnsi="Arial"/>
                <w:sz w:val="18"/>
                <w:szCs w:val="18"/>
                <w:color w:val="auto"/>
              </w:rPr>
              <w:t>County of DuPage</w:t>
            </w:r>
          </w:p>
        </w:tc>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On this </w:t>
      </w:r>
      <w:r>
        <w:rPr>
          <w:rFonts w:ascii="Arial" w:cs="Arial" w:eastAsia="Arial" w:hAnsi="Arial"/>
          <w:sz w:val="17"/>
          <w:szCs w:val="17"/>
          <w:u w:val="single" w:color="auto"/>
          <w:color w:val="auto"/>
        </w:rPr>
        <w:t>7th</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April 2015</w:t>
      </w:r>
      <w:r>
        <w:rPr>
          <w:rFonts w:ascii="Arial" w:cs="Arial" w:eastAsia="Arial" w:hAnsi="Arial"/>
          <w:sz w:val="17"/>
          <w:szCs w:val="17"/>
          <w:color w:val="auto"/>
        </w:rPr>
        <w:t xml:space="preserve"> before me personally appeared Mark W. Marinko known or proven to me to be the Senior VP &amp; CFO of the entity executing the foregoing instrument (“Entity”) and Katherine M. O’Halloran known or proven to me to be the VP, Corporate Controller, Treasurer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ectPr>
          <w:pgSz w:w="11900" w:h="16838" w:orient="portrait"/>
          <w:cols w:equalWidth="0" w:num="1">
            <w:col w:w="11420"/>
          </w:cols>
          <w:pgMar w:left="240" w:top="270" w:right="239" w:bottom="1440" w:gutter="0" w:footer="0" w:header="0"/>
        </w:sectPr>
      </w:pPr>
    </w:p>
    <w:bookmarkStart w:id="47" w:name="page48"/>
    <w:bookmarkEnd w:id="47"/>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1/we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ATTEST OR WITNESS:</w:t>
            </w:r>
          </w:p>
        </w:tc>
        <w:tc>
          <w:tcPr>
            <w:tcW w:w="3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w w:val="99"/>
              </w:rPr>
              <w:t>GREAT LAKES ENVIRONMENTAL &amp; INFRASTRUCTURE, LLC</w:t>
            </w:r>
          </w:p>
        </w:tc>
        <w:tc>
          <w:tcPr>
            <w:tcW w:w="660" w:type="dxa"/>
            <w:vAlign w:val="bottom"/>
          </w:tcPr>
          <w:p>
            <w:pPr>
              <w:spacing w:after="0"/>
              <w:rPr>
                <w:sz w:val="24"/>
                <w:szCs w:val="24"/>
                <w:color w:val="auto"/>
              </w:rPr>
            </w:pPr>
          </w:p>
        </w:tc>
      </w:tr>
      <w:tr>
        <w:trPr>
          <w:trHeight w:val="216"/>
        </w:trPr>
        <w:tc>
          <w:tcPr>
            <w:tcW w:w="2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2122 York Road, Suite 200</w:t>
            </w:r>
          </w:p>
        </w:tc>
        <w:tc>
          <w:tcPr>
            <w:tcW w:w="66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Oak Brook, IL 60523</w:t>
            </w:r>
          </w:p>
        </w:tc>
        <w:tc>
          <w:tcPr>
            <w:tcW w:w="66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CONTRACTOR AND INDEMNITOR</w:t>
            </w:r>
          </w:p>
        </w:tc>
        <w:tc>
          <w:tcPr>
            <w:tcW w:w="660" w:type="dxa"/>
            <w:vAlign w:val="bottom"/>
          </w:tcPr>
          <w:p>
            <w:pPr>
              <w:spacing w:after="0"/>
              <w:rPr>
                <w:sz w:val="20"/>
                <w:szCs w:val="20"/>
                <w:color w:val="auto"/>
              </w:rPr>
            </w:pPr>
          </w:p>
        </w:tc>
      </w:tr>
      <w:tr>
        <w:trPr>
          <w:trHeight w:val="446"/>
        </w:trPr>
        <w:tc>
          <w:tcPr>
            <w:tcW w:w="2060" w:type="dxa"/>
            <w:vAlign w:val="bottom"/>
          </w:tcPr>
          <w:p>
            <w:pPr>
              <w:spacing w:after="0"/>
              <w:rPr>
                <w:sz w:val="20"/>
                <w:szCs w:val="20"/>
                <w:color w:val="auto"/>
              </w:rPr>
            </w:pPr>
            <w:r>
              <w:rPr>
                <w:rFonts w:ascii="Arial" w:cs="Arial" w:eastAsia="Arial" w:hAnsi="Arial"/>
                <w:sz w:val="18"/>
                <w:szCs w:val="18"/>
                <w:color w:val="auto"/>
                <w:w w:val="94"/>
              </w:rPr>
              <w:t>/s/ Katherine M. O’Halloran</w:t>
            </w:r>
          </w:p>
        </w:tc>
        <w:tc>
          <w:tcPr>
            <w:tcW w:w="3300" w:type="dxa"/>
            <w:vAlign w:val="bottom"/>
          </w:tcPr>
          <w:p>
            <w:pPr>
              <w:spacing w:after="0"/>
              <w:rPr>
                <w:sz w:val="24"/>
                <w:szCs w:val="24"/>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/s/ Mark w. Marinko</w:t>
            </w:r>
          </w:p>
        </w:tc>
        <w:tc>
          <w:tcPr>
            <w:tcW w:w="660" w:type="dxa"/>
            <w:vAlign w:val="bottom"/>
          </w:tcPr>
          <w:p>
            <w:pPr>
              <w:ind w:left="100"/>
              <w:spacing w:after="0"/>
              <w:rPr>
                <w:sz w:val="20"/>
                <w:szCs w:val="20"/>
                <w:color w:val="auto"/>
              </w:rPr>
            </w:pPr>
            <w:r>
              <w:rPr>
                <w:rFonts w:ascii="Arial" w:cs="Arial" w:eastAsia="Arial" w:hAnsi="Arial"/>
                <w:sz w:val="18"/>
                <w:szCs w:val="18"/>
                <w:color w:val="auto"/>
                <w:w w:val="92"/>
              </w:rPr>
              <w:t>(SEAL)</w:t>
            </w:r>
          </w:p>
        </w:tc>
      </w:tr>
      <w:tr>
        <w:trPr>
          <w:trHeight w:val="224"/>
        </w:trPr>
        <w:tc>
          <w:tcPr>
            <w:tcW w:w="5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Katherine M. O’Halloran, Treasurer</w:t>
            </w:r>
          </w:p>
        </w:tc>
        <w:tc>
          <w:tcPr>
            <w:tcW w:w="24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W. Marinko, Senior Vice President &amp; CFO</w:t>
            </w:r>
          </w:p>
        </w:tc>
        <w:tc>
          <w:tcPr>
            <w:tcW w:w="660" w:type="dxa"/>
            <w:vAlign w:val="bottom"/>
          </w:tcPr>
          <w:p>
            <w:pPr>
              <w:spacing w:after="0"/>
              <w:rPr>
                <w:sz w:val="19"/>
                <w:szCs w:val="19"/>
                <w:color w:val="auto"/>
              </w:rPr>
            </w:pPr>
          </w:p>
        </w:tc>
      </w:tr>
      <w:tr>
        <w:trPr>
          <w:trHeight w:val="431"/>
        </w:trPr>
        <w:tc>
          <w:tcPr>
            <w:tcW w:w="2060" w:type="dxa"/>
            <w:vAlign w:val="bottom"/>
          </w:tcPr>
          <w:p>
            <w:pPr>
              <w:spacing w:after="0"/>
              <w:rPr>
                <w:sz w:val="20"/>
                <w:szCs w:val="20"/>
                <w:color w:val="auto"/>
              </w:rPr>
            </w:pPr>
            <w:r>
              <w:rPr>
                <w:rFonts w:ascii="Arial" w:cs="Arial" w:eastAsia="Arial" w:hAnsi="Arial"/>
                <w:sz w:val="18"/>
                <w:szCs w:val="18"/>
                <w:color w:val="auto"/>
              </w:rPr>
              <w:t>ACKNOWLEDGEMENT</w:t>
            </w: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2060" w:type="dxa"/>
            <w:vAlign w:val="bottom"/>
          </w:tcPr>
          <w:p>
            <w:pPr>
              <w:spacing w:after="0"/>
              <w:rPr>
                <w:sz w:val="20"/>
                <w:szCs w:val="20"/>
                <w:color w:val="auto"/>
              </w:rPr>
            </w:pPr>
            <w:r>
              <w:rPr>
                <w:rFonts w:ascii="Arial" w:cs="Arial" w:eastAsia="Arial" w:hAnsi="Arial"/>
                <w:sz w:val="18"/>
                <w:szCs w:val="18"/>
                <w:color w:val="auto"/>
              </w:rPr>
              <w:t>STATE OF Illinois</w:t>
            </w:r>
          </w:p>
        </w:tc>
        <w:tc>
          <w:tcPr>
            <w:tcW w:w="3300" w:type="dxa"/>
            <w:vAlign w:val="bottom"/>
          </w:tcPr>
          <w:p>
            <w:pPr>
              <w:ind w:left="20"/>
              <w:spacing w:after="0"/>
              <w:rPr>
                <w:sz w:val="20"/>
                <w:szCs w:val="20"/>
                <w:color w:val="auto"/>
              </w:rPr>
            </w:pPr>
            <w:r>
              <w:rPr>
                <w:rFonts w:ascii="Arial" w:cs="Arial" w:eastAsia="Arial" w:hAnsi="Arial"/>
                <w:sz w:val="18"/>
                <w:szCs w:val="18"/>
                <w:color w:val="auto"/>
              </w:rPr>
              <w:t>County of DuPage</w:t>
            </w:r>
          </w:p>
        </w:tc>
        <w:tc>
          <w:tcPr>
            <w:tcW w:w="2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Mark W. Marinko known or proven to me to be the Senior VP &amp; CFO of the entity executing the foregoing instrument (“Entity”) and Katherine M. O’Halloran known or proven to me to be the Treasurer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ectPr>
          <w:pgSz w:w="11900" w:h="16838" w:orient="portrait"/>
          <w:cols w:equalWidth="0" w:num="1">
            <w:col w:w="11420"/>
          </w:cols>
          <w:pgMar w:left="240" w:top="270" w:right="239" w:bottom="1440" w:gutter="0" w:footer="0" w:header="0"/>
        </w:sectPr>
      </w:pPr>
    </w:p>
    <w:bookmarkStart w:id="48" w:name="page49"/>
    <w:bookmarkEnd w:id="48"/>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1/we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ATTEST OR WITNESS: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MAGNUS PACIFIC, LLC</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2122 York Road, Suite 200</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Oak Brook, IL 60523</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CONTRACTOR AND INDEMNITOR</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Arial" w:cs="Arial" w:eastAsia="Arial" w:hAnsi="Arial"/>
                <w:sz w:val="18"/>
                <w:szCs w:val="18"/>
                <w:color w:val="auto"/>
                <w:w w:val="99"/>
              </w:rPr>
              <w:t>/s/ Ellen Parker Burke</w:t>
            </w:r>
          </w:p>
        </w:tc>
        <w:tc>
          <w:tcPr>
            <w:tcW w:w="3480" w:type="dxa"/>
            <w:vAlign w:val="bottom"/>
          </w:tcPr>
          <w:p>
            <w:pPr>
              <w:spacing w:after="0"/>
              <w:rPr>
                <w:sz w:val="20"/>
                <w:szCs w:val="20"/>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/s/ Katherine M. O’Halloran</w:t>
            </w:r>
          </w:p>
        </w:tc>
        <w:tc>
          <w:tcPr>
            <w:tcW w:w="1000" w:type="dxa"/>
            <w:vAlign w:val="bottom"/>
          </w:tcPr>
          <w:p>
            <w:pPr>
              <w:ind w:left="120"/>
              <w:spacing w:after="0"/>
              <w:rPr>
                <w:sz w:val="20"/>
                <w:szCs w:val="20"/>
                <w:color w:val="auto"/>
              </w:rPr>
            </w:pPr>
            <w:r>
              <w:rPr>
                <w:rFonts w:ascii="Arial" w:cs="Arial" w:eastAsia="Arial" w:hAnsi="Arial"/>
                <w:sz w:val="18"/>
                <w:szCs w:val="18"/>
                <w:color w:val="auto"/>
                <w:w w:val="95"/>
              </w:rPr>
              <w:t>(NO SEAL)</w:t>
            </w:r>
          </w:p>
        </w:tc>
      </w:tr>
      <w:tr>
        <w:trPr>
          <w:trHeight w:val="224"/>
        </w:trPr>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Ellen Parker Burke, Assistant Secretary</w:t>
            </w:r>
          </w:p>
        </w:tc>
        <w:tc>
          <w:tcPr>
            <w:tcW w:w="26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Katherine M. O’Halloran, Assistant Treasurer</w:t>
            </w:r>
          </w:p>
        </w:tc>
        <w:tc>
          <w:tcPr>
            <w:tcW w:w="1000" w:type="dxa"/>
            <w:vAlign w:val="bottom"/>
          </w:tcPr>
          <w:p>
            <w:pPr>
              <w:spacing w:after="0"/>
              <w:rPr>
                <w:sz w:val="19"/>
                <w:szCs w:val="19"/>
                <w:color w:val="auto"/>
              </w:rPr>
            </w:pPr>
          </w:p>
        </w:tc>
      </w:tr>
      <w:tr>
        <w:trPr>
          <w:trHeight w:val="417"/>
        </w:trPr>
        <w:tc>
          <w:tcPr>
            <w:tcW w:w="524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STATE OF Illinois</w:t>
            </w:r>
          </w:p>
        </w:tc>
        <w:tc>
          <w:tcPr>
            <w:tcW w:w="3480" w:type="dxa"/>
            <w:vAlign w:val="bottom"/>
          </w:tcPr>
          <w:p>
            <w:pPr>
              <w:ind w:left="140"/>
              <w:spacing w:after="0"/>
              <w:rPr>
                <w:sz w:val="20"/>
                <w:szCs w:val="20"/>
                <w:color w:val="auto"/>
              </w:rPr>
            </w:pPr>
            <w:r>
              <w:rPr>
                <w:rFonts w:ascii="Arial" w:cs="Arial" w:eastAsia="Arial" w:hAnsi="Arial"/>
                <w:sz w:val="18"/>
                <w:szCs w:val="18"/>
                <w:color w:val="auto"/>
              </w:rPr>
              <w:t>County of DuPage</w:t>
            </w:r>
          </w:p>
        </w:tc>
        <w:tc>
          <w:tcPr>
            <w:tcW w:w="2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Katherine M. O’Halloran known or proven to me to be the Assistant Treasurer of the entity executing the foregoing instrument (“Entity”) and Ellen Parker Burke known or proven to me to be the Assistant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ectPr>
          <w:pgSz w:w="11900" w:h="16838" w:orient="portrait"/>
          <w:cols w:equalWidth="0" w:num="1">
            <w:col w:w="11420"/>
          </w:cols>
          <w:pgMar w:left="240" w:top="270" w:right="239" w:bottom="1440" w:gutter="0" w:footer="0" w:header="0"/>
        </w:sectPr>
      </w:pPr>
    </w:p>
    <w:bookmarkStart w:id="49" w:name="page50"/>
    <w:bookmarkEnd w:id="49"/>
    <w:p>
      <w:pPr>
        <w:ind w:right="40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1/we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Instructions: If the entity is: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ATTEST OR WITNESS:</w:t>
            </w: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2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TERRA CONTRACTING, LLC</w:t>
            </w:r>
          </w:p>
        </w:tc>
        <w:tc>
          <w:tcPr>
            <w:tcW w:w="100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2122 York Road, Suite 200</w:t>
            </w:r>
          </w:p>
        </w:tc>
        <w:tc>
          <w:tcPr>
            <w:tcW w:w="1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Oak Brook, IL 60523</w:t>
            </w:r>
          </w:p>
        </w:tc>
        <w:tc>
          <w:tcPr>
            <w:tcW w:w="100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CONTRACTOR AND INDEMNITOR</w:t>
            </w:r>
          </w:p>
        </w:tc>
        <w:tc>
          <w:tcPr>
            <w:tcW w:w="1000" w:type="dxa"/>
            <w:vAlign w:val="bottom"/>
          </w:tcPr>
          <w:p>
            <w:pPr>
              <w:spacing w:after="0"/>
              <w:rPr>
                <w:sz w:val="20"/>
                <w:szCs w:val="20"/>
                <w:color w:val="auto"/>
              </w:rPr>
            </w:pPr>
          </w:p>
        </w:tc>
      </w:tr>
      <w:tr>
        <w:trPr>
          <w:trHeight w:val="446"/>
        </w:trPr>
        <w:tc>
          <w:tcPr>
            <w:tcW w:w="2000" w:type="dxa"/>
            <w:vAlign w:val="bottom"/>
          </w:tcPr>
          <w:p>
            <w:pPr>
              <w:spacing w:after="0"/>
              <w:rPr>
                <w:sz w:val="20"/>
                <w:szCs w:val="20"/>
                <w:color w:val="auto"/>
              </w:rPr>
            </w:pPr>
            <w:r>
              <w:rPr>
                <w:rFonts w:ascii="Arial" w:cs="Arial" w:eastAsia="Arial" w:hAnsi="Arial"/>
                <w:sz w:val="18"/>
                <w:szCs w:val="18"/>
                <w:color w:val="auto"/>
              </w:rPr>
              <w:t>/s/ Ellen Parker Burke</w:t>
            </w:r>
          </w:p>
        </w:tc>
        <w:tc>
          <w:tcPr>
            <w:tcW w:w="32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/s/ Katherine M. O’Halloran</w:t>
            </w:r>
          </w:p>
        </w:tc>
        <w:tc>
          <w:tcPr>
            <w:tcW w:w="1000" w:type="dxa"/>
            <w:vAlign w:val="bottom"/>
          </w:tcPr>
          <w:p>
            <w:pPr>
              <w:ind w:left="120"/>
              <w:spacing w:after="0"/>
              <w:rPr>
                <w:sz w:val="20"/>
                <w:szCs w:val="20"/>
                <w:color w:val="auto"/>
              </w:rPr>
            </w:pPr>
            <w:r>
              <w:rPr>
                <w:rFonts w:ascii="Arial" w:cs="Arial" w:eastAsia="Arial" w:hAnsi="Arial"/>
                <w:sz w:val="18"/>
                <w:szCs w:val="18"/>
                <w:color w:val="auto"/>
                <w:w w:val="95"/>
              </w:rPr>
              <w:t>(NO SEAL)</w:t>
            </w:r>
          </w:p>
        </w:tc>
      </w:tr>
      <w:tr>
        <w:trPr>
          <w:trHeight w:val="224"/>
        </w:trPr>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Ellen Parker Burke, Assistant Secretary</w:t>
            </w:r>
          </w:p>
        </w:tc>
        <w:tc>
          <w:tcPr>
            <w:tcW w:w="26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Katherine M. O’Halloran, Assistant Treasurer</w:t>
            </w:r>
          </w:p>
        </w:tc>
        <w:tc>
          <w:tcPr>
            <w:tcW w:w="1000" w:type="dxa"/>
            <w:vAlign w:val="bottom"/>
          </w:tcPr>
          <w:p>
            <w:pPr>
              <w:spacing w:after="0"/>
              <w:rPr>
                <w:sz w:val="19"/>
                <w:szCs w:val="19"/>
                <w:color w:val="auto"/>
              </w:rPr>
            </w:pPr>
          </w:p>
        </w:tc>
      </w:tr>
      <w:tr>
        <w:trPr>
          <w:trHeight w:val="431"/>
        </w:trPr>
        <w:tc>
          <w:tcPr>
            <w:tcW w:w="2000" w:type="dxa"/>
            <w:vAlign w:val="bottom"/>
          </w:tcPr>
          <w:p>
            <w:pPr>
              <w:spacing w:after="0"/>
              <w:rPr>
                <w:sz w:val="20"/>
                <w:szCs w:val="20"/>
                <w:color w:val="auto"/>
              </w:rPr>
            </w:pPr>
            <w:r>
              <w:rPr>
                <w:rFonts w:ascii="Arial" w:cs="Arial" w:eastAsia="Arial" w:hAnsi="Arial"/>
                <w:sz w:val="18"/>
                <w:szCs w:val="18"/>
                <w:color w:val="auto"/>
              </w:rPr>
              <w:t>ACKNOWLEDGEMENT</w:t>
            </w: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2000" w:type="dxa"/>
            <w:vAlign w:val="bottom"/>
          </w:tcPr>
          <w:p>
            <w:pPr>
              <w:spacing w:after="0"/>
              <w:rPr>
                <w:sz w:val="20"/>
                <w:szCs w:val="20"/>
                <w:color w:val="auto"/>
              </w:rPr>
            </w:pPr>
            <w:r>
              <w:rPr>
                <w:rFonts w:ascii="Arial" w:cs="Arial" w:eastAsia="Arial" w:hAnsi="Arial"/>
                <w:sz w:val="18"/>
                <w:szCs w:val="18"/>
                <w:color w:val="auto"/>
              </w:rPr>
              <w:t>STATE OF Illinois</w:t>
            </w:r>
          </w:p>
        </w:tc>
        <w:tc>
          <w:tcPr>
            <w:tcW w:w="3240" w:type="dxa"/>
            <w:vAlign w:val="bottom"/>
          </w:tcPr>
          <w:p>
            <w:pPr>
              <w:ind w:left="80"/>
              <w:spacing w:after="0"/>
              <w:rPr>
                <w:sz w:val="20"/>
                <w:szCs w:val="20"/>
                <w:color w:val="auto"/>
              </w:rPr>
            </w:pPr>
            <w:r>
              <w:rPr>
                <w:rFonts w:ascii="Arial" w:cs="Arial" w:eastAsia="Arial" w:hAnsi="Arial"/>
                <w:sz w:val="18"/>
                <w:szCs w:val="18"/>
                <w:color w:val="auto"/>
              </w:rPr>
              <w:t>County of DuPage</w:t>
            </w:r>
          </w:p>
        </w:tc>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Katherine M. O’Halloran known or proven to me to be the Treasurer of the entity executing the foregoing instrument (“Entity”) and Ellen Parker Burke known or proven to me to be the Assistant Secretary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ectPr>
          <w:pgSz w:w="11900" w:h="16838" w:orient="portrait"/>
          <w:cols w:equalWidth="0" w:num="1">
            <w:col w:w="11400"/>
          </w:cols>
          <w:pgMar w:left="240" w:top="270" w:right="259" w:bottom="1440" w:gutter="0" w:footer="0" w:header="0"/>
        </w:sectPr>
      </w:pPr>
    </w:p>
    <w:bookmarkStart w:id="50" w:name="page51"/>
    <w:bookmarkEnd w:id="50"/>
    <w:p>
      <w:pPr>
        <w:ind w:right="40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1/we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Instructions: If the entity is: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ATTEST OR WITNESS:</w:t>
            </w: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8"/>
        </w:trPr>
        <w:tc>
          <w:tcPr>
            <w:tcW w:w="20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TERRA FLUID MANAGEMENT, LLC</w:t>
            </w:r>
          </w:p>
        </w:tc>
        <w:tc>
          <w:tcPr>
            <w:tcW w:w="100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2122 York Road, Suite 200</w:t>
            </w:r>
          </w:p>
        </w:tc>
        <w:tc>
          <w:tcPr>
            <w:tcW w:w="1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Oak Brook, IL 60523</w:t>
            </w:r>
          </w:p>
        </w:tc>
        <w:tc>
          <w:tcPr>
            <w:tcW w:w="100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CONTRACTOR AND INDEMNITOR</w:t>
            </w:r>
          </w:p>
        </w:tc>
        <w:tc>
          <w:tcPr>
            <w:tcW w:w="1000" w:type="dxa"/>
            <w:vAlign w:val="bottom"/>
          </w:tcPr>
          <w:p>
            <w:pPr>
              <w:spacing w:after="0"/>
              <w:rPr>
                <w:sz w:val="20"/>
                <w:szCs w:val="20"/>
                <w:color w:val="auto"/>
              </w:rPr>
            </w:pPr>
          </w:p>
        </w:tc>
      </w:tr>
      <w:tr>
        <w:trPr>
          <w:trHeight w:val="446"/>
        </w:trPr>
        <w:tc>
          <w:tcPr>
            <w:tcW w:w="2000" w:type="dxa"/>
            <w:vAlign w:val="bottom"/>
          </w:tcPr>
          <w:p>
            <w:pPr>
              <w:spacing w:after="0"/>
              <w:rPr>
                <w:sz w:val="20"/>
                <w:szCs w:val="20"/>
                <w:color w:val="auto"/>
              </w:rPr>
            </w:pPr>
            <w:r>
              <w:rPr>
                <w:rFonts w:ascii="Arial" w:cs="Arial" w:eastAsia="Arial" w:hAnsi="Arial"/>
                <w:sz w:val="18"/>
                <w:szCs w:val="18"/>
                <w:color w:val="auto"/>
              </w:rPr>
              <w:t>/s/ Ellen Parker Burke</w:t>
            </w:r>
          </w:p>
        </w:tc>
        <w:tc>
          <w:tcPr>
            <w:tcW w:w="324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/s/ Katherine M. O’Halloran</w:t>
            </w:r>
          </w:p>
        </w:tc>
        <w:tc>
          <w:tcPr>
            <w:tcW w:w="1000" w:type="dxa"/>
            <w:vAlign w:val="bottom"/>
          </w:tcPr>
          <w:p>
            <w:pPr>
              <w:ind w:left="120"/>
              <w:spacing w:after="0"/>
              <w:rPr>
                <w:sz w:val="20"/>
                <w:szCs w:val="20"/>
                <w:color w:val="auto"/>
              </w:rPr>
            </w:pPr>
            <w:r>
              <w:rPr>
                <w:rFonts w:ascii="Arial" w:cs="Arial" w:eastAsia="Arial" w:hAnsi="Arial"/>
                <w:sz w:val="18"/>
                <w:szCs w:val="18"/>
                <w:color w:val="auto"/>
                <w:w w:val="95"/>
              </w:rPr>
              <w:t>(NO SEAL)</w:t>
            </w:r>
          </w:p>
        </w:tc>
      </w:tr>
      <w:tr>
        <w:trPr>
          <w:trHeight w:val="224"/>
        </w:trPr>
        <w:tc>
          <w:tcPr>
            <w:tcW w:w="5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Ellen Parker Burker, Secretary &amp; Assistant Treasurer</w:t>
            </w:r>
          </w:p>
        </w:tc>
        <w:tc>
          <w:tcPr>
            <w:tcW w:w="26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Katherine M. O’Halloran, Treasurer</w:t>
            </w:r>
          </w:p>
        </w:tc>
        <w:tc>
          <w:tcPr>
            <w:tcW w:w="1000" w:type="dxa"/>
            <w:vAlign w:val="bottom"/>
          </w:tcPr>
          <w:p>
            <w:pPr>
              <w:spacing w:after="0"/>
              <w:rPr>
                <w:sz w:val="19"/>
                <w:szCs w:val="19"/>
                <w:color w:val="auto"/>
              </w:rPr>
            </w:pPr>
          </w:p>
        </w:tc>
      </w:tr>
      <w:tr>
        <w:trPr>
          <w:trHeight w:val="431"/>
        </w:trPr>
        <w:tc>
          <w:tcPr>
            <w:tcW w:w="2000" w:type="dxa"/>
            <w:vAlign w:val="bottom"/>
          </w:tcPr>
          <w:p>
            <w:pPr>
              <w:spacing w:after="0"/>
              <w:rPr>
                <w:sz w:val="20"/>
                <w:szCs w:val="20"/>
                <w:color w:val="auto"/>
              </w:rPr>
            </w:pPr>
            <w:r>
              <w:rPr>
                <w:rFonts w:ascii="Arial" w:cs="Arial" w:eastAsia="Arial" w:hAnsi="Arial"/>
                <w:sz w:val="18"/>
                <w:szCs w:val="18"/>
                <w:color w:val="auto"/>
              </w:rPr>
              <w:t>ACKNOWLEDGEMENT</w:t>
            </w: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2000" w:type="dxa"/>
            <w:vAlign w:val="bottom"/>
          </w:tcPr>
          <w:p>
            <w:pPr>
              <w:spacing w:after="0"/>
              <w:rPr>
                <w:sz w:val="20"/>
                <w:szCs w:val="20"/>
                <w:color w:val="auto"/>
              </w:rPr>
            </w:pPr>
            <w:r>
              <w:rPr>
                <w:rFonts w:ascii="Arial" w:cs="Arial" w:eastAsia="Arial" w:hAnsi="Arial"/>
                <w:sz w:val="18"/>
                <w:szCs w:val="18"/>
                <w:color w:val="auto"/>
              </w:rPr>
              <w:t>STATE OF Illinois</w:t>
            </w:r>
          </w:p>
        </w:tc>
        <w:tc>
          <w:tcPr>
            <w:tcW w:w="3240" w:type="dxa"/>
            <w:vAlign w:val="bottom"/>
          </w:tcPr>
          <w:p>
            <w:pPr>
              <w:ind w:left="80"/>
              <w:spacing w:after="0"/>
              <w:rPr>
                <w:sz w:val="20"/>
                <w:szCs w:val="20"/>
                <w:color w:val="auto"/>
              </w:rPr>
            </w:pPr>
            <w:r>
              <w:rPr>
                <w:rFonts w:ascii="Arial" w:cs="Arial" w:eastAsia="Arial" w:hAnsi="Arial"/>
                <w:sz w:val="18"/>
                <w:szCs w:val="18"/>
                <w:color w:val="auto"/>
              </w:rPr>
              <w:t>County of DuPage</w:t>
            </w:r>
          </w:p>
        </w:tc>
        <w:tc>
          <w:tcPr>
            <w:tcW w:w="2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On this </w:t>
      </w:r>
      <w:r>
        <w:rPr>
          <w:rFonts w:ascii="Arial" w:cs="Arial" w:eastAsia="Arial" w:hAnsi="Arial"/>
          <w:sz w:val="17"/>
          <w:szCs w:val="17"/>
          <w:u w:val="single" w:color="auto"/>
          <w:color w:val="auto"/>
        </w:rPr>
        <w:t>7th</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April 2015</w:t>
      </w:r>
      <w:r>
        <w:rPr>
          <w:rFonts w:ascii="Arial" w:cs="Arial" w:eastAsia="Arial" w:hAnsi="Arial"/>
          <w:sz w:val="17"/>
          <w:szCs w:val="17"/>
          <w:color w:val="auto"/>
        </w:rPr>
        <w:t xml:space="preserve"> before me personally appeared Katherine M. O’Halloran known or proven to me to be the Treasurer of the entity executing the foregoing instrument (“Entity”) and Ellen Parker Burker known or proven to me to be the Secretary &amp; Assistant Treasurer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intentionally left blank)</w:t>
      </w:r>
    </w:p>
    <w:p>
      <w:pPr>
        <w:sectPr>
          <w:pgSz w:w="11900" w:h="16838" w:orient="portrait"/>
          <w:cols w:equalWidth="0" w:num="1">
            <w:col w:w="11400"/>
          </w:cols>
          <w:pgMar w:left="240" w:top="270" w:right="25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724025" cy="660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240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 OF INDEMNITY</w:t>
      </w:r>
    </w:p>
    <w:p>
      <w:pPr>
        <w:spacing w:after="0" w:line="2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THIS AGREEMENT of Indemnity, made and entered into this </w:t>
      </w:r>
      <w:r>
        <w:rPr>
          <w:rFonts w:ascii="Arial" w:cs="Arial" w:eastAsia="Arial" w:hAnsi="Arial"/>
          <w:sz w:val="17"/>
          <w:szCs w:val="17"/>
          <w:b w:val="1"/>
          <w:bCs w:val="1"/>
          <w:u w:val="single" w:color="auto"/>
          <w:color w:val="auto"/>
        </w:rPr>
        <w:t>13</w:t>
      </w:r>
      <w:r>
        <w:rPr>
          <w:rFonts w:ascii="Arial" w:cs="Arial" w:eastAsia="Arial" w:hAnsi="Arial"/>
          <w:sz w:val="17"/>
          <w:szCs w:val="17"/>
          <w:color w:val="auto"/>
        </w:rPr>
        <w:t xml:space="preserve"> day of </w:t>
      </w:r>
      <w:r>
        <w:rPr>
          <w:rFonts w:ascii="Arial" w:cs="Arial" w:eastAsia="Arial" w:hAnsi="Arial"/>
          <w:sz w:val="17"/>
          <w:szCs w:val="17"/>
          <w:b w:val="1"/>
          <w:bCs w:val="1"/>
          <w:u w:val="single" w:color="auto"/>
          <w:color w:val="auto"/>
        </w:rPr>
        <w:t>April</w:t>
      </w:r>
      <w:r>
        <w:rPr>
          <w:rFonts w:ascii="Arial" w:cs="Arial" w:eastAsia="Arial" w:hAnsi="Arial"/>
          <w:sz w:val="17"/>
          <w:szCs w:val="17"/>
          <w:color w:val="auto"/>
        </w:rPr>
        <w:t xml:space="preserve">, </w:t>
      </w:r>
      <w:r>
        <w:rPr>
          <w:rFonts w:ascii="Arial" w:cs="Arial" w:eastAsia="Arial" w:hAnsi="Arial"/>
          <w:sz w:val="17"/>
          <w:szCs w:val="17"/>
          <w:b w:val="1"/>
          <w:bCs w:val="1"/>
          <w:color w:val="auto"/>
        </w:rPr>
        <w:t>2015</w:t>
      </w:r>
      <w:r>
        <w:rPr>
          <w:rFonts w:ascii="Arial" w:cs="Arial" w:eastAsia="Arial" w:hAnsi="Arial"/>
          <w:sz w:val="17"/>
          <w:szCs w:val="17"/>
          <w:color w:val="auto"/>
        </w:rPr>
        <w:t xml:space="preserve"> by GREAT LAKES DREDGE &amp; DOCK CORPORATION, GREAT LAKES DREDGE &amp; DOCK COMPANY, LLC, GREAT LAKES ENVIRONMENTAL &amp; INFRASTRUCTURE SOLUTIONS, LLC, MAGNUS PACIFIC, LLC, TERRA CONTRACTING SERVICES, LLC, and TERRA FLUID MANAGEMENT, LLC, each individually and collectively “Contractor,” and</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GREAT LAKES DREDGE &amp; DOCK CORPORATION, GREAT LAKES DREDGE &amp; DOCK COMPANY, LLC, GREAT LAKES ENVIRONMENTAL &amp; INFRASTRUCTURE SOLUTIONS, LLC, MAGNUS PACIFIC, LLC, TERRA CONTRACTING SERVICES, LLC, and TERRA FLUID MANAGEMENT, LLC, each individually and collectively “Indemnitors,” and BERKLEY INSURANCE COMPANY and/or BERKLEY REGIONAL INSURANCE COMPANY, their respective successors and assigns (“Surety”).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Contractors, in the performance of contracts and the fulfillment of obligations generally, whether in each Contractor’s own name solely or in joint venture with each other or with other Persons, may desire or be required to give or procure Bonds, and to renew, or continue or substitute from time to time the same or new Bonds with the same or different penalties and/or conditions; or the Contractors or Indemnitors may request the Surety to refrain from cancelling said Bonds; and</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WHEREAS, at the request of Contractors and Indemnitors and on the express understanding that this Agreement of Indemnity be given, the Surety has executed or procured to be executed, and may from time to time hereafter execute or procure to be executed, said Bonds on behalf of one or more Contractors; and</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Contractors and Indemnitors have a substantial, material and beneficial interest in the obtaining of the Bonds or in the Surety’s refraining from cancelling said Bonds.</w:t>
      </w:r>
    </w:p>
    <w:p>
      <w:pPr>
        <w:spacing w:after="0" w:line="170"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is hereby acknowledged, Contractors and Indemnitors for themselves, their heirs, executors, administrators, successors and assigns, jointly and severally, hereby covenant and agree with Surety, as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PREMIUMS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FIRST: Contractors and Indemnitors will pay to the Surety, in such manner as may be agreed upon, all premiums and charges of Surety for the Bonds in accordance with Surety’s rate filings or as otherwise agreed upon, until Contractors or Indemnitors shall serve evidence reasonably satisfactory to the Surety of Surety’s discharge or release from the Bonds and all liability by reason of the Bonds.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SECOND: Contractors and Indemnitors shall exonerate, indemnify, and keep indemnified the Surety from and against any and all liability and Loss which the Surety may sustain and incur: (a) by reason of having executed or procured the execution of the Bonds, (b) by reason of the failure of Contractors or Indemnitors to perform or comply with the covenants and conditions of this Agreement or (c) in enforcing any of the covenants and conditions of this Agreement. Payment by reason of the aforesaid causes shall be made to the Surety by the Contractors and Indemnitors as soon as liability exists or is asserted against the Surety, whether or not the Surety shall have made any payment therefor, provided, however, that in no event shall any Contractor or Indemnitor indemnify or hold and save harmless the Surety against any Loss arising out of the gross negligence, willful misconduct or illegal act of the Surety.</w:t>
      </w:r>
    </w:p>
    <w:p>
      <w:pPr>
        <w:sectPr>
          <w:pgSz w:w="11900" w:h="16838" w:orient="portrait"/>
          <w:cols w:equalWidth="0" w:num="1">
            <w:col w:w="11420"/>
          </w:cols>
          <w:pgMar w:left="240" w:top="121" w:right="23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THIRD: The Contractors and Indemnitors will assign, transfer and set over, and do hereby assign, transfer and set over to the Surety the following as collateral, to secure the obligations in any and all of the paragraphs of this Agreement and any other indebtedness and liabilities of Contractors and Indemnitors to the Surety, whether heretofore or hereafter incurred: (a) all the rights of Contractors and/or Indemnitors in, and growing in any manner out of, all contracts referred to in the Bonds, or in, or growing in any manner out of the Bonds; (b) all the rights, title and interest of Contractors and/or Indemnitors in and to all machinery, equipment, plant, tools and materials which are now, or may hereafter be, about or upon the site or sites of any and all of the contractual work referred to in the Bonds, or elsewhere, including materials purchased for or chargeable to any and all contracts referred to in the bonds, materials which may be in process of construction, in storage elsewhere, or in transportation to any and all of said sites, and equipment which may be necessary or proper to perform any contractual work referred to in the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320"/>
          </w:cols>
          <w:pgMar w:left="240" w:top="121" w:right="339" w:bottom="1440" w:gutter="0" w:footer="0" w:header="0"/>
        </w:sectPr>
      </w:pPr>
    </w:p>
    <w:bookmarkStart w:id="53" w:name="page54"/>
    <w:bookmarkEnd w:id="53"/>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Bonds; (c) all rights, title and interest (including the right to use) of Contractors and/or Indemnitors in and to all general intangibles and intellectual property used in or related to any and all contractual work referred to in the Bonds, including, without limitation, any business records, inventions, designs, patents, patent applications, trademarks, trademark applications, trade names, trade secrets, copyrights, any intellectual property, licenses, franchises, customer lists, insurance proceeds, insurance refunds and equivalents, software, computer programs, computer hardware, computer systems, architectural drawings, plans and specifications (d) all the rights, title and interest of Contractors and/or Indemnitors in and to all subcontracts let or to be let in connection with any and all contracts referred to in the Bonds, and in and to all surety bonds supporting such subcontracts; (e) all actions, causes of actions, claims and demands whatsoever which the Contractors and/or Indemnitors may have or acquire against any obligee, any subcontractor, laborer or materialman, or any person furnishing or agreeing to furnish or supply labor, material, supplies, machinery, tools or other equipment in connection with or on account of any and all contracts referred to in the Bonds; and against any surety or sureties of any obligee, subcontractor, laborer, or materialman; (f) any and all percentages retained, receivables and any and all sums that may be due or hereafter become due on account of any and all contracts referred to in the Bonds; and (g) any real or personal property, the improvement of which is secured by any Bond. The assignment in the case of each contract to become effective as of the date of the Bond covering such contract, but only on Event of Default.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TRUST FUND</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FOURTH: The Contractors and Indemnitors covenant and agree that all payments received for or on account of contracts covered by the Bonds shall be held as trust funds in which the Surety has an interest, for the payment of obligations incurred in the performance of the contract and for labor, materials, and services furnished in the prosecution of the work provided in the contract or any authorized extension or modification thereof. Further, it is expressly understood and declared that all monies due and to become due under any contracts covered by the Bonds are trust funds, whether in the possession of any Contractor or Indemnitor or otherwise, for the benefit of and for payment of all such obligations in connection with any such contract or contracts for which the Surety would be liable under any Bonds, which trust also inures to the benefit of the Surety for any liability or Loss Surety may have or sustain under any Bonds, and this Agreement and declaration shall also constitute notice of such trust.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UNIFORM COMMERCIAL CODE</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FIFTH: This Agreement shall constitute a Security Agreement to the Surety and also a Financing Statement, both in accordance with the provisions of the Uniform Commercial Code of every jurisdiction wherein such Code is in effect, and may be so used by the Surety, without in any way abrogating, restricting or limiting the rights of the Surety under this Agreement or under law or in equity.</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TAKEOVER</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SIXTH: Should an Event of Default occur, Surety shall have the right, at its option and in its sole discretion, and is hereby authorized, with or without exercising any other right or option conferred upon it by law or in the terms of this Agreement, to take possession of any part or all of the work, materials and equipment under any contract or contracts covered by any Bonds and any other materials or equipment which the Surety deems necessary or proper to perform any contractual work referred to in the Bonds, and at the expense of the Contractors and Indemnitors to complete or arrange for the completion of the same. The Contractors and Indemnitors shall promptly on demand pay to the Surety all Loss so incurred; provided, however, that in no event shall any Contractor or Indemnitor indemnify or hold and save harmless the Surety against any Loss arising out of the gross negligence, willful misconduct or illegal act of the Surety.</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CHANGES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SEVENTH: The Surety is authorized and empowered, without notice to or knowledge of Contractors and/or Indemnitors to assent to any change whatsoever in the Bonds, and/or any contracts referred to in the Bonds, and/or in the general conditions, plans and/or specifications accompanying said contracts, including, but not limited to, any change in the time for the completion of said contracts and to payments or advances thereunder before the same may be due, and to assent to or take any assignment or assignments, to execute or consent to the execution of any continuations, extensions or renewals of the Bonds and to execute any substitute or substitutes therefor, with the same or different conditions, provisions and obligees and with the same or larger or smaller penalties, it being expressly understood and agreed that Contractors and Indemnitors shall remain bound under the terms of this Agreement even though any such assent by the Surety does or might substantially increase the liability of Contractors and Indemnitors.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jc w:val="both"/>
        <w:ind w:right="120" w:firstLine="456"/>
        <w:spacing w:after="0" w:line="297" w:lineRule="auto"/>
        <w:rPr>
          <w:sz w:val="20"/>
          <w:szCs w:val="20"/>
          <w:color w:val="auto"/>
        </w:rPr>
      </w:pPr>
      <w:r>
        <w:rPr>
          <w:rFonts w:ascii="Arial" w:cs="Arial" w:eastAsia="Arial" w:hAnsi="Arial"/>
          <w:sz w:val="16"/>
          <w:szCs w:val="16"/>
          <w:color w:val="auto"/>
        </w:rPr>
        <w:t>EIGHTH: The Surety is authorized and empowered to guarantee loans, to advance or lend to any Contractor any money, which the Surety may see fit, for the purpose of any contracts referred to in, or guaranteed by the Bonds. Contractors and Indemnitors shall be responsible for indemnifying Surety for all money expended in the completion of any such contracts by the Surety, or lent or advanced from time to time to any Contractor, or guaranteed by the Surety for the purposes of any such contracts, and all Loss incurred by the Surety in relation to such guarantee, advance or lending, unless repaid with legal interest by that Contractor to the Surety when due, notwithstanding that said money or any part thereof should not be so used by that Contractor.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00"/>
          </w:cols>
          <w:pgMar w:left="240" w:top="274"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BOOKS AND RECORDS</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NINTH: At any time, and until such time as the liability of the Surety under any and all Bonds is terminated, the Surety shall have the right to reasonable access to the books, records, and accounts of the Contractors and Indemnitors. Contractors and Indemnitors hereby authorize any bank depository, materialman, supply house, or other person, firm, or corporation, when requested by the Surety, to furnish the Surety any information requested, including but not limited to the status of the work under contracts being performed by any Contractor, the condition of the performance of such contracts, and payments of accounts.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DECLINE EXECUTION</w:t>
      </w:r>
    </w:p>
    <w:p>
      <w:pPr>
        <w:spacing w:after="0" w:line="22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TENTH: Surety may decline to execute any Bond and Contractors and Indemnitors agree to make no claim to the contrary in consideration of the Surety’s receiving this Agreement; and if the Surety shall execute a bid or proposal Bond, it shall have the right to decline to execute any and all Bonds that may be required in connection with any award that may be made under the proposal for which the bid or proposal Bond is given, and such declination shall not diminish or alter the liability that may arise by reason of having executed the bid or proposal Bond.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EXECUTION</w:t>
      </w:r>
    </w:p>
    <w:p>
      <w:pPr>
        <w:spacing w:after="0" w:line="229"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ELEVENTH: Contractors and Indemnitors hereby waive notice of the execution of any and all Bonds and all notice of any default or any other act or acts giving rise to any claim under said Bonds, as well as notice of any and all liability of the Surety under such Bonds, and any and all liability on their part hereunder, to the end and effect that the Contractors and Indemnitors shall be and continue liable to Surety under this Agreement, notwithstanding any notice of any kind to which they might have been or be entitled, and notwithstanding any defenses they might have been entitled to make.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TWELFTH: In the event the Surety makes any payment or other determination arising from or related to the Bonds and/or this Agreement, or in the event of settlement, compromise or judgment, Contractors and Indemnitors further agree that in any accounting between the Surety and any Contractor, or between the Surety and the Indemnitors, or either or both of them, the Surety shall be entitled to charge for any and all payments made by the Surety in good faith under the belief that the Surety is or was liable for the sums and amounts paid, or that it was necessary or expedient to make such payments to protect any of the Surety’s rights or to avoid or lessen the Surety’s liability or alleged liability, whether or not such liability, necessity or expediency existed; provided, however, that in no event shall any Contractor or Indemnitor indemnify or hold and save harmless the Surety against any Loss arising out of the gross negligence, willful misconduct or illegal act of the Surety. These payments include the Surety’s costs and expenses and other elements of Loss. Any such payments shall be final, conclusive and binding upon Contractors and Indemnitors; and any Loss which may be sustained or incurred shall be paid by the Contractors and Indemnitors upon written demand by the Surety. In the event of any payment, settlement, compromise or judgment by the Surety, an itemized statement of Loss sworn to by an officer or authorized representative of the Surety or voucher(s) or other documentary evidence of such payment, settlement, compromise or judgment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 and amount of Contractors’ and Indemnitors’ liability to the Surety.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SETTLEMENTS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THIRTEENTH: Surety shall have the absolute and unconditional right to adjust, settle or compromise any claim, demand, suit or judgment upon the Bonds. If Contractors and Indemnitors shall request the Surety to litigate such claim or demand, or to defend such suit, or to appeal from such judgment, then Contractors and Indemnitors shall deposit with the Surety, at the time of such request, cash or collateral satisfactory to the Surety in kind and amount, to be used in paying any judgment or judgments rendered or that may be rendered, with interest, costs, expenses and attorneys’ fees, including those of the Surety, and the Surety shall consider such request.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SURETIES</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FOURTEENTH: In the event the Surety procures the execution of the Bonds by other sureties, or executes the Bonds with co-sureties, or reinsures any portion of the Bonds with reinsuring sureties, or reinsures any Bonds executed by others, then all the terms and conditions of this Agreement shall inure to the benefit of such other sureties, co-sureties and reinsuring sureties, as their interests may appear.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SUITS</w:t>
      </w:r>
    </w:p>
    <w:p>
      <w:pPr>
        <w:spacing w:after="0" w:line="22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FIFTEENTH: Separate suits may be brought hereunder as causes of action accrue, and the bringing of suit or the recovery of judgment upon any cause of action shall not prejudice or bar the bringing of other suits, upon other causes of action, whether theretofore or thereafter arising.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INDEMNITY</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SIXTEENTH: Contractors and Indemnitors shall continue to remain bound under the terms of this Agreement even though the Surety may have from time to time before or after the execution of this Agreement, with or without notice to or knowledge of Contractors and Indemnitors, accepted or released other agreements of indemnity or collateral in connection with the execution or procurement of the Bonds, from Contractors or Indemnitors or others, it being expressly understood and agreed by the Contractors and the Indemnitors that any and all other rights which the Surety may have or acquire against the Contractors and the Indemnitors and/or others under any such other or additional agreements of indemnity or collateral shall be in addition to, and not in lieu of, the rights afforded the Surety under this Agreement.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20"/>
          </w:cols>
          <w:pgMar w:left="240" w:top="270" w:right="239" w:bottom="86" w:gutter="0" w:footer="0" w:header="0"/>
        </w:sectPr>
      </w:pPr>
    </w:p>
    <w:bookmarkStart w:id="55" w:name="page56"/>
    <w:bookmarkEnd w:id="5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INVALIDITY</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SEVENTEENTH: In case any of the parties mentioned in this Agreement fail to execute the same, or in case the execution hereof by any of the parties be defective or invalid for any reason, such failure, defect or invalidity shall not in any manner affect the validity of this Agreement or the liability hereunder of any of the parties executing the same, but each and every party so executing shall be and remain fully bound and liable hereunder to the same extent as if such failure, defect or invalidity had not existed. It is understood and agreed by the Contractors and Indemnitors that the rights, powers, and remedies given the Surety under this Agreement shall be and are in addition to, and not in lieu of, any and all other rights, powers, and remedies which the Surety may have or acquire against the Contractors and Indemnitors or others whether by the terms of any other agreement or by operation of law or otherwise.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ATTORNEY IN FACT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EIGHTEENTH: Contractors and Indemnitors hereby irrevocably nominate, constitute, appoint and designate Surety as their attorney-in-fact, with the right, but not the obligation, to exercise all of the rights of Contractors and Indemnitors assigned, transferred and set over to the Surety in this Agreement, and in the name of Contractors and Indemnitors to make, execute, and deliver any and all additional or other assignments, documents or papers deemed necessary and proper by Surety in order to give full effect not only to the intent and meaning of the assignments in this Agreement, but also to the full protection intended to be given to Surety under all other provisions of this Agreement. Contractors and Indemnitors hereby ratify and confirm all acts and actions taken and done by the Surety as such attorney-in-fact.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NINETEENTH: This Agreement may be terminated by any Contractor or Indemnitor by sending written notice of termination to the Surety via certified mail or registered with a global overnight package delivery service to the Surety’s home office at Berkley Surety Group, 412 Mount Kemble Ave., Suite 310N, Morristown, NJ 07960. Such notice of termination shall be effective as to the party sending the notice, ten (10) days from Surety’s receipt of the notice and shall apply all future Bonds and Bond commitments following the effective date. However, any such notice of termination shall not operate to modify, bar, or discharge the party sending as to Bonds and Bond commitments that may have been theretofore issued and/or executed, nor shall the notice of termination affect the obligations of any other party to this Agreement.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BONDS FOR OTHER ENTITIES</w:t>
      </w:r>
    </w:p>
    <w:p>
      <w:pPr>
        <w:spacing w:after="0" w:line="22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TWENTIETH: Contractors and Indemnitors hereby agree that their obligations under this Agreement shall apply to any Bonds the Surety executes on behalf of any Subsidiaries or Affiliates of Contractors or Indemnitors, and if requested in writing by GREAT LAKES DREDGE &amp; DOCK CORPORATION or GREAT LAKES DREDGE &amp; DOCK COMPANY, LLC, any other legal entities in which any Contractor or Indemnitor has an ownership interest including, but not limited to, any corporations, partnerships, limited liability companies (LLC) and joint ventures, whether acting alone or in joint venture with others not named in this Agreement. In addition, the Contractors and Indemnitors agree that their obligations under this Agreement shall apply to any Bonds the Surety issues on behalf of any entity upon the written request of GREAT LAKES DREDGE &amp; DOCK CORPORATION or GREAT LAKES DREDGE &amp; DOCK COMPANY, LLC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TWENTY-FIRST: NO ORAL MODIFICATION: This Agreement may not be changed or modified orally. No change or modification shall be effective unless made by written endorsement executed to form a part hereof.</w:t>
      </w:r>
    </w:p>
    <w:p>
      <w:pPr>
        <w:spacing w:after="0" w:line="170" w:lineRule="exact"/>
        <w:rPr>
          <w:sz w:val="20"/>
          <w:szCs w:val="20"/>
          <w:color w:val="auto"/>
        </w:rPr>
      </w:pPr>
    </w:p>
    <w:p>
      <w:pPr>
        <w:ind w:firstLine="357"/>
        <w:spacing w:after="0" w:line="268" w:lineRule="auto"/>
        <w:rPr>
          <w:sz w:val="20"/>
          <w:szCs w:val="20"/>
          <w:color w:val="auto"/>
        </w:rPr>
      </w:pPr>
      <w:r>
        <w:rPr>
          <w:rFonts w:ascii="Arial" w:cs="Arial" w:eastAsia="Arial" w:hAnsi="Arial"/>
          <w:sz w:val="17"/>
          <w:szCs w:val="17"/>
          <w:color w:val="auto"/>
        </w:rPr>
        <w:t>TWENTY-SECOND: PLACE SURETY IN FUNDS: Should an Event of Default occur, or upon determination by Surety, in its sole and absolute discretion, that potential liability exists under any Bond (regardless of whether liability has been established or whether Surety, Contractors or Indemnitors may have defenses to all or any portion of any claim asserted under any Bond), Contractors and Indemnitors shall, upon demand, deposit with Surety cash or other collateral acceptable to Surety in an amount determined by Surety, in its sole discretion, to be sufficient to discharge any claim made against or potential liability of Surety on any Bond or Bonds or under this Agreement. Surety shall not be required to post a reserve prior to or as a condition of Contractors and Indemnitors’ obligation to deposit collateral. This sum may be used by Surety to pay such claim or be held by Surety as collateral against any loss on any Bond or Bonds or under this Agreement. Any remaining sums deposited with Surety after payment of any and all sums due to Surety under this Agreement or otherwise shall be returned to Contractors and Indemnitors upon the complete release and/or discharge of Surety’s obligations and liability under all Bonds. The Surety’s demand for collateral shall be sufficient if sent by registered or certified mail, by facsimile transmission, or by personal service to Contractors and Indemnitors at the addresses stated herein, or at the address last known to the Surety, regardless of whether actually received. Contractors and Indemnitors acknowledge that the failure of Contractors and/or Indemnitors, collectively or individually, to deposit collateral with the Surety, immediately upon demand, shall cause irreparable harm to the Surety for which the Surety has no adequate remedy at law. Contractors and Indemnitors agree that the Surety shall be entitled to injunctive relief for specific performance of the obligation to deposit with the Surety the sum demanded as collateral and waive any claims or defenses to the contrary.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00"/>
          </w:cols>
          <w:pgMar w:left="240" w:top="270" w:right="259" w:bottom="1440" w:gutter="0" w:footer="0" w:header="0"/>
        </w:sectPr>
      </w:pPr>
    </w:p>
    <w:bookmarkStart w:id="56" w:name="page57"/>
    <w:bookmarkEnd w:id="56"/>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TWENTY-THIRD: Change in Control or Condition: In the event any Change in Control and/or Change in Condition (both as defined in this paragraph) of any Contractor or Indemnitor occurs without the prior written consent of the Surety, then Contractors and Indemnitors will be deemed to be in default under the terms of this Agreement and the Surety will have the right to exercise all of its rights and remedies under this Agreement, at law, or in equity.</w:t>
      </w:r>
    </w:p>
    <w:p>
      <w:pPr>
        <w:spacing w:after="0" w:line="147"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TWENTY-FOURTH: Joint and Several. The agreements and covenants herein contained shall be binding upon the undersigned, both jointly and severally, and upon their successors and assigns jointly and severally (including successors by way of merger, acquisition or similar event).</w:t>
      </w:r>
    </w:p>
    <w:p>
      <w:pPr>
        <w:spacing w:after="0" w:line="14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TWENTY-FIFTH: Contractors and Indemnitors release, discharge, and waive any and all claims, demands or causes of action arising from or relating to Surety’s exercise of its rights and remedies pursuant to this Agreement. If Surety demands that Indemnitors perform any obligation under this Agreement including, but not limited to, Contractors’ and/or Indemnitors’ obligation to indemnify or reimburse Surety, to deposit collateral with Surety or to obtain the discharge of Surety under any Bond or Bonds, Contractors’ and Indemnitors’ sole remedy against Surety shall be limited to and capped at the return of any payments made or collateral deposited with Surety pursuant to Surety’s request or demands. Contractors and Indemnitors expressly waive any claim against Surety for consequential damages, extra-contractual damages and/or attorneys’ fees.</w:t>
      </w:r>
    </w:p>
    <w:p>
      <w:pPr>
        <w:spacing w:after="0" w:line="17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TWENTY-SIXTH: This Agreement may be executed in any number of counterparts with separate signature pages, all of which taken together shall constitute the Agreement, and any of the parties hereto may execute this Agreement by signing any such counterpart. This Agreement shall be effective as to each Contractor and Indemnitor when each Contractor and/or Indemnitor has executed it. Contractors and Indemnitors hereby acknowledge that the failure of any one of them to execute this Agreement shall not in any way affect the validity or enforceability of this Agreement as to those Contractors and Indemnitors who have executed the Agreement.</w:t>
      </w:r>
    </w:p>
    <w:p>
      <w:pPr>
        <w:spacing w:after="0" w:line="188"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TWENTY-SEVENTH: Applicable Law. The terms and conditions of this Agreement shall be construed under the laws of New York without regard to its conflicts of laws principles.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When the following terms are used in this General Agreement of Indemnity (this “Agreement”) they shall have the following meanings:</w:t>
      </w:r>
    </w:p>
    <w:p>
      <w:pPr>
        <w:spacing w:after="0" w:line="221"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Person, any other Person or group acting in concert with such Person that, directly or indirectly,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intermediaries, controls, or is controlled by, or is under the common control with such Person. For purposes of this definition, “control” (including, with correlative meanings, the terms “controlled by” and “under common control with”), as used with respect to any Person or group of Persons, shall mean the possession, directly or indirectly, of the power to direct or cause the direction of management and policies of such Person, whether through the ownership of voting securities or by contract or otherwise.</w:t>
      </w:r>
    </w:p>
    <w:p>
      <w:pPr>
        <w:spacing w:after="0" w:line="184" w:lineRule="exact"/>
        <w:rPr>
          <w:sz w:val="20"/>
          <w:szCs w:val="20"/>
          <w:color w:val="auto"/>
        </w:rPr>
      </w:pPr>
    </w:p>
    <w:p>
      <w:pPr>
        <w:ind w:right="300" w:firstLine="913"/>
        <w:spacing w:after="0" w:line="314" w:lineRule="auto"/>
        <w:rPr>
          <w:sz w:val="20"/>
          <w:szCs w:val="20"/>
          <w:color w:val="auto"/>
        </w:rPr>
      </w:pPr>
      <w:r>
        <w:rPr>
          <w:rFonts w:ascii="Arial" w:cs="Arial" w:eastAsia="Arial" w:hAnsi="Arial"/>
          <w:sz w:val="16"/>
          <w:szCs w:val="16"/>
          <w:b w:val="1"/>
          <w:bCs w:val="1"/>
          <w:color w:val="auto"/>
        </w:rPr>
        <w:t xml:space="preserve">“Bond” </w:t>
      </w:r>
      <w:r>
        <w:rPr>
          <w:rFonts w:ascii="Arial" w:cs="Arial" w:eastAsia="Arial" w:hAnsi="Arial"/>
          <w:sz w:val="16"/>
          <w:szCs w:val="16"/>
          <w:color w:val="auto"/>
        </w:rPr>
        <w:t>means a bond, undertaking, and/or obligation of suretyship or guarantee issued by Surety (whether as sole surety or as co-surety or</w:t>
      </w:r>
      <w:r>
        <w:rPr>
          <w:rFonts w:ascii="Arial" w:cs="Arial" w:eastAsia="Arial" w:hAnsi="Arial"/>
          <w:sz w:val="16"/>
          <w:szCs w:val="16"/>
          <w:b w:val="1"/>
          <w:bCs w:val="1"/>
          <w:color w:val="auto"/>
        </w:rPr>
        <w:t xml:space="preserve"> </w:t>
      </w:r>
      <w:r>
        <w:rPr>
          <w:rFonts w:ascii="Arial" w:cs="Arial" w:eastAsia="Arial" w:hAnsi="Arial"/>
          <w:sz w:val="16"/>
          <w:szCs w:val="16"/>
          <w:color w:val="auto"/>
        </w:rPr>
        <w:t>reinsurer) on behalf of any Contractor or issued at the request of GREAT LAKES DREDGE &amp; DOCK CORPORATION or GREAT LAKES DREDGE &amp; DOCK COMPANY, LLC. in accordance with the terms of this Agreement, whether issued prior to or after the execution of this Agreement.</w:t>
      </w:r>
    </w:p>
    <w:p>
      <w:pPr>
        <w:spacing w:after="0" w:line="14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any of the following without the Surety’s prior written consent: (a) the sale, lease,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conveyance, merger, consolidation or other disposition (“transaction”) (whether one transaction or a series of transactions with any person, entity or group) of all or substantially all of the assets of any Contractor or Indemnitor; (b) the consummation of any transaction (whether one transaction or a series of transactions) the result of which is that any Person becomes the beneficial owner, directly or indirectly, of fifty (50%) percent or more of the voting stock of any Contractor or Indemnitor (measured by voting power rather than number of shares); (c) the acquisition (in one transaction or a series of transactions) by any Contractor or Indemnitor, directly or indirectly, of fifty (50%) percent or more of the beneficial ownership or control in any joint venture, subsidiary, division, affiliate, limited partnership, limited liability partnership, limited liability company or other entity through the issuance of ten (10%) percent or more of the voting power of the total outstanding voting stock of any Contractor or Indemnitor; (d) the adoption of a plan relating to the liquidation or dissolution of any Contractor or Indemnitor or (e) any financial institution, lender, or creditor taking any foreclosure action with respect to any stock or other equity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00"/>
          </w:cols>
          <w:pgMar w:left="240" w:top="274" w:right="259" w:bottom="1440" w:gutter="0" w:footer="0" w:header="0"/>
        </w:sectPr>
      </w:pPr>
    </w:p>
    <w:bookmarkStart w:id="57" w:name="page58"/>
    <w:bookmarkEnd w:id="57"/>
    <w:p>
      <w:pPr>
        <w:ind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in any Contractor or Indemnitor, including but not limited to issuing any notice of or intent to foreclose or otherwise exercising any rights that such Person may have to vote, sell, or otherwise exercise any rights with respect to stock or other equity interest in any Contractor or Indemnitor.</w:t>
      </w:r>
    </w:p>
    <w:p>
      <w:pPr>
        <w:spacing w:after="0" w:line="143"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b w:val="1"/>
          <w:bCs w:val="1"/>
          <w:color w:val="auto"/>
        </w:rPr>
        <w:t xml:space="preserve">“Change in Condition” </w:t>
      </w:r>
      <w:r>
        <w:rPr>
          <w:rFonts w:ascii="Arial" w:cs="Arial" w:eastAsia="Arial" w:hAnsi="Arial"/>
          <w:sz w:val="17"/>
          <w:szCs w:val="17"/>
          <w:color w:val="auto"/>
        </w:rPr>
        <w:t>means any change in the condition (financial or otherwise) of any Contractor or Indemnitor that, in the opinion of</w:t>
      </w:r>
      <w:r>
        <w:rPr>
          <w:rFonts w:ascii="Arial" w:cs="Arial" w:eastAsia="Arial" w:hAnsi="Arial"/>
          <w:sz w:val="17"/>
          <w:szCs w:val="17"/>
          <w:b w:val="1"/>
          <w:bCs w:val="1"/>
          <w:color w:val="auto"/>
        </w:rPr>
        <w:t xml:space="preserve"> </w:t>
      </w:r>
      <w:r>
        <w:rPr>
          <w:rFonts w:ascii="Arial" w:cs="Arial" w:eastAsia="Arial" w:hAnsi="Arial"/>
          <w:sz w:val="17"/>
          <w:szCs w:val="17"/>
          <w:color w:val="auto"/>
        </w:rPr>
        <w:t>Surety, could have (a) a material adverse effect upon the validity, performance, or enforceability of any provisions of this Agreement or any of the transactions contemplated hereby, without the Surety’s prior written consent; (b) a material adverse effect upon the properties, business, prospects, or condition (financial or otherwise) of any Contractor or Indemnitor, which will include but not be limited to (i) the issuance of a “going concern opinion” by the accountants of such Contractor or Indemnitor or (ii) the occurrence of a financial covenant default which occurs under any document relating to financial indebtedness to which any Contractor or Indemnitor is a party, which default is not timely cured in accordance with the terms of that facility; or (c) a material adverse effect upon the ability of any Contractor or Indemnitor to fulfill any obligation under this Agreement or any of the Bonds.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w:t>
      </w:r>
    </w:p>
    <w:p>
      <w:pPr>
        <w:spacing w:after="0" w:line="135" w:lineRule="exact"/>
        <w:rPr>
          <w:sz w:val="20"/>
          <w:szCs w:val="20"/>
          <w:color w:val="auto"/>
        </w:rPr>
      </w:pPr>
    </w:p>
    <w:p>
      <w:pPr>
        <w:ind w:left="1920" w:hanging="440"/>
        <w:spacing w:after="0"/>
        <w:tabs>
          <w:tab w:leader="none" w:pos="1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abandonment, forfeiture, termination, default or breach of any contracts referred to in the Bonds or any breach of any Bond;</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receipt by Surety of any claim under any Bond or declaration of default under any Bond;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Surety’s establishment of a reserve;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breach of the provisions of this Agreement;</w:t>
      </w:r>
    </w:p>
    <w:p>
      <w:pPr>
        <w:spacing w:after="0" w:line="130" w:lineRule="exact"/>
        <w:rPr>
          <w:rFonts w:ascii="Arial" w:cs="Arial" w:eastAsia="Arial" w:hAnsi="Arial"/>
          <w:sz w:val="18"/>
          <w:szCs w:val="18"/>
          <w:color w:val="auto"/>
        </w:rPr>
      </w:pPr>
    </w:p>
    <w:p>
      <w:pPr>
        <w:ind w:left="1920" w:right="140" w:hanging="440"/>
        <w:spacing w:after="0" w:line="264"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occurrence of any event of default, however described, which occurs under any document relating to financial indebtedness of any Contractor or Indemnitor, in consequence of which that financial indebtedness is or becomes capable of being rendered prematurely due and payable;</w:t>
      </w:r>
    </w:p>
    <w:p>
      <w:pPr>
        <w:spacing w:after="0" w:line="86" w:lineRule="exact"/>
        <w:rPr>
          <w:rFonts w:ascii="Arial" w:cs="Arial" w:eastAsia="Arial" w:hAnsi="Arial"/>
          <w:sz w:val="18"/>
          <w:szCs w:val="18"/>
          <w:color w:val="auto"/>
        </w:rPr>
      </w:pPr>
    </w:p>
    <w:p>
      <w:pPr>
        <w:ind w:left="1920" w:right="500" w:hanging="440"/>
        <w:spacing w:after="0" w:line="308" w:lineRule="auto"/>
        <w:tabs>
          <w:tab w:leader="none" w:pos="1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assignment by any Contractor or Indemnitor for the benefit of creditors, or the appointment, or of any application for the appointment, of a receiver or trustee for any Contractor or Indemnitor, whether insolvent or not;</w:t>
      </w:r>
    </w:p>
    <w:p>
      <w:pPr>
        <w:spacing w:after="0" w:line="51" w:lineRule="exact"/>
        <w:rPr>
          <w:rFonts w:ascii="Arial" w:cs="Arial" w:eastAsia="Arial" w:hAnsi="Arial"/>
          <w:sz w:val="17"/>
          <w:szCs w:val="17"/>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Contractor or Indemnitor becoming a debtor in any bankruptcy proceeding (whether voluntarily or involuntarily);</w:t>
      </w:r>
    </w:p>
    <w:p>
      <w:pPr>
        <w:spacing w:after="0" w:line="130" w:lineRule="exact"/>
        <w:rPr>
          <w:rFonts w:ascii="Arial" w:cs="Arial" w:eastAsia="Arial" w:hAnsi="Arial"/>
          <w:sz w:val="18"/>
          <w:szCs w:val="18"/>
          <w:color w:val="auto"/>
        </w:rPr>
      </w:pPr>
    </w:p>
    <w:p>
      <w:pPr>
        <w:ind w:left="1920" w:right="280" w:hanging="440"/>
        <w:spacing w:after="0" w:line="277"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proceeding which deprives any Contractor or Indemnitor and/or Surety of the use of any collateral provided to Surety under this Agreement;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Change in Control or a Change in Condition of any Contractor or Indemnitor.</w:t>
      </w:r>
    </w:p>
    <w:p>
      <w:pPr>
        <w:spacing w:after="0" w:line="22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means all premiums due to Surety and any and all liability, loss, costs, damages, attorneys’ fees and expenses, of whatever kind or nature,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sustained or incurred by Surety by reason, or in consequence of its executing or procuring the execution of any Bond (including any claim for additional or extra-contractual damages arising from Surety’s investigation, payment or denial of any claim under any Bond), in making any investigation in relation to any Bond, in defending or prosecuting any action, suit or other proceeding which may be brought in connection with any Bond, in enforcing any of the terms of this Agreement or the, and in obtaining a release from liability under any Bond. Loss includes but is not limited to all amounts paid by Surety for</w:t>
      </w:r>
    </w:p>
    <w:p>
      <w:pPr>
        <w:spacing w:after="0" w:line="2" w:lineRule="exact"/>
        <w:rPr>
          <w:sz w:val="20"/>
          <w:szCs w:val="20"/>
          <w:color w:val="auto"/>
        </w:rPr>
      </w:pPr>
    </w:p>
    <w:p>
      <w:pPr>
        <w:ind w:right="80" w:firstLine="8"/>
        <w:spacing w:after="0" w:line="255" w:lineRule="auto"/>
        <w:tabs>
          <w:tab w:leader="none" w:pos="21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liability, loss, costs, damages, reasonable attorneys’ fees and amounts paid in the investigation, adjustment, settlement or compromise of any Claim or any lawsuits, arbitrations, judgments and/or decisions on those Claims; (ii) court, mediation or arbitration fees, costs and expenses; (iii) interest; (iv) consulting and expert fees, and (v) any other liability, loss, cost or expense which Surety may sustain or incur.</w:t>
      </w:r>
    </w:p>
    <w:p>
      <w:pPr>
        <w:spacing w:after="0" w:line="186"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 entity of which a Person has direct or indirect control or owns directly or indirectly more than fifty (50) per cent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voting capital or similar rights of ownership.</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TO FOLLOW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remainder of this page is intentionally left blank)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20"/>
          </w:cols>
          <w:pgMar w:left="240" w:top="274" w:right="239" w:bottom="1440" w:gutter="0" w:footer="0" w:header="0"/>
        </w:sectPr>
      </w:pPr>
    </w:p>
    <w:bookmarkStart w:id="58" w:name="page59"/>
    <w:bookmarkEnd w:id="58"/>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Katherine M O’Halloran</w:t>
            </w:r>
            <w:r>
              <w:rPr>
                <w:rFonts w:ascii="Arial" w:cs="Arial" w:eastAsia="Arial" w:hAnsi="Arial"/>
                <w:sz w:val="18"/>
                <w:szCs w:val="18"/>
                <w:color w:val="auto"/>
              </w:rPr>
              <w:t>, Vice President, Corporate Controller,</w:t>
            </w:r>
          </w:p>
        </w:tc>
        <w:tc>
          <w:tcPr>
            <w:tcW w:w="6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GREAT LAKES DREDGE &amp; DOCK CORPORATION</w:t>
            </w: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Treasurer and Assistant Secretary</w:t>
            </w:r>
          </w:p>
        </w:tc>
        <w:tc>
          <w:tcPr>
            <w:tcW w:w="6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92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Oak Brook, IL 60523</w:t>
            </w:r>
          </w:p>
        </w:tc>
        <w:tc>
          <w:tcPr>
            <w:tcW w:w="1920" w:type="dxa"/>
            <w:vAlign w:val="bottom"/>
          </w:tcPr>
          <w:p>
            <w:pPr>
              <w:spacing w:after="0"/>
              <w:rPr>
                <w:sz w:val="20"/>
                <w:szCs w:val="20"/>
                <w:color w:val="auto"/>
              </w:rPr>
            </w:pPr>
          </w:p>
        </w:tc>
      </w:tr>
      <w:tr>
        <w:trPr>
          <w:trHeight w:val="458"/>
        </w:trPr>
        <w:tc>
          <w:tcPr>
            <w:tcW w:w="20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w w:val="98"/>
              </w:rPr>
              <w:t>Mark W. Marinko</w:t>
            </w:r>
            <w:r>
              <w:rPr>
                <w:rFonts w:ascii="Arial" w:cs="Arial" w:eastAsia="Arial" w:hAnsi="Arial"/>
                <w:sz w:val="18"/>
                <w:szCs w:val="18"/>
                <w:color w:val="auto"/>
                <w:w w:val="98"/>
              </w:rPr>
              <w:t>, Senior Vice President and Chief Financial Officer</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ATTEST OR WITNESS</w:t>
            </w: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920" w:type="dxa"/>
            <w:vAlign w:val="bottom"/>
          </w:tcPr>
          <w:p>
            <w:pPr>
              <w:spacing w:after="0"/>
              <w:rPr>
                <w:sz w:val="20"/>
                <w:szCs w:val="20"/>
                <w:color w:val="auto"/>
              </w:rPr>
            </w:pPr>
          </w:p>
        </w:tc>
      </w:tr>
      <w:tr>
        <w:trPr>
          <w:trHeight w:val="43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Katherine M. O’Halloran</w:t>
            </w:r>
          </w:p>
        </w:tc>
        <w:tc>
          <w:tcPr>
            <w:tcW w:w="33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Marinko</w:t>
            </w:r>
          </w:p>
        </w:tc>
        <w:tc>
          <w:tcPr>
            <w:tcW w:w="1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(SEAL)</w:t>
            </w:r>
          </w:p>
        </w:tc>
      </w:tr>
      <w:tr>
        <w:trPr>
          <w:trHeight w:val="425"/>
        </w:trPr>
        <w:tc>
          <w:tcPr>
            <w:tcW w:w="2060" w:type="dxa"/>
            <w:vAlign w:val="bottom"/>
          </w:tcPr>
          <w:p>
            <w:pPr>
              <w:spacing w:after="0"/>
              <w:rPr>
                <w:sz w:val="20"/>
                <w:szCs w:val="20"/>
                <w:color w:val="auto"/>
              </w:rPr>
            </w:pPr>
            <w:r>
              <w:rPr>
                <w:rFonts w:ascii="Arial" w:cs="Arial" w:eastAsia="Arial" w:hAnsi="Arial"/>
                <w:sz w:val="18"/>
                <w:szCs w:val="18"/>
                <w:color w:val="auto"/>
              </w:rPr>
              <w:t>ACKNOWLEDGEMENT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STATE OF Illinois</w:t>
            </w:r>
          </w:p>
        </w:tc>
        <w:tc>
          <w:tcPr>
            <w:tcW w:w="3320" w:type="dxa"/>
            <w:vAlign w:val="bottom"/>
          </w:tcPr>
          <w:p>
            <w:pPr>
              <w:ind w:left="20"/>
              <w:spacing w:after="0"/>
              <w:rPr>
                <w:sz w:val="20"/>
                <w:szCs w:val="20"/>
                <w:color w:val="auto"/>
              </w:rPr>
            </w:pPr>
            <w:r>
              <w:rPr>
                <w:rFonts w:ascii="Arial" w:cs="Arial" w:eastAsia="Arial" w:hAnsi="Arial"/>
                <w:sz w:val="18"/>
                <w:szCs w:val="18"/>
                <w:color w:val="auto"/>
              </w:rPr>
              <w:t>County of DuPage</w:t>
            </w:r>
          </w:p>
        </w:tc>
        <w:tc>
          <w:tcPr>
            <w:tcW w:w="6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w:t>
      </w:r>
      <w:r>
        <w:rPr>
          <w:rFonts w:ascii="Arial" w:cs="Arial" w:eastAsia="Arial" w:hAnsi="Arial"/>
          <w:sz w:val="18"/>
          <w:szCs w:val="18"/>
          <w:b w:val="1"/>
          <w:bCs w:val="1"/>
          <w:color w:val="auto"/>
        </w:rPr>
        <w:t>Mark W. Marinko</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Senior Vice President</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b w:val="1"/>
          <w:bCs w:val="1"/>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Vice President</w:t>
      </w:r>
      <w:r>
        <w:rPr>
          <w:rFonts w:ascii="Arial" w:cs="Arial" w:eastAsia="Arial" w:hAnsi="Arial"/>
          <w:sz w:val="18"/>
          <w:szCs w:val="18"/>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20"/>
          </w:cols>
          <w:pgMar w:left="240" w:top="270" w:right="239" w:bottom="1440" w:gutter="0" w:footer="0" w:header="0"/>
        </w:sectPr>
      </w:pPr>
    </w:p>
    <w:bookmarkStart w:id="59" w:name="page60"/>
    <w:bookmarkEnd w:id="59"/>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Katherine M O’Halloran</w:t>
            </w:r>
            <w:r>
              <w:rPr>
                <w:rFonts w:ascii="Arial" w:cs="Arial" w:eastAsia="Arial" w:hAnsi="Arial"/>
                <w:sz w:val="18"/>
                <w:szCs w:val="18"/>
                <w:color w:val="auto"/>
              </w:rPr>
              <w:t>, Vice President, Corporate Controller and</w:t>
            </w:r>
          </w:p>
        </w:tc>
        <w:tc>
          <w:tcPr>
            <w:tcW w:w="68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GREAT LAKES DREDGE &amp; DOCK COMPANY, LLC</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Treasurer</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92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Oak Brook, IL 60523</w:t>
            </w:r>
          </w:p>
        </w:tc>
        <w:tc>
          <w:tcPr>
            <w:tcW w:w="1920" w:type="dxa"/>
            <w:vAlign w:val="bottom"/>
          </w:tcPr>
          <w:p>
            <w:pPr>
              <w:spacing w:after="0"/>
              <w:rPr>
                <w:sz w:val="20"/>
                <w:szCs w:val="20"/>
                <w:color w:val="auto"/>
              </w:rPr>
            </w:pPr>
          </w:p>
        </w:tc>
      </w:tr>
      <w:tr>
        <w:trPr>
          <w:trHeight w:val="459"/>
        </w:trPr>
        <w:tc>
          <w:tcPr>
            <w:tcW w:w="20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w w:val="98"/>
              </w:rPr>
              <w:t>Mark W. Marinko</w:t>
            </w:r>
            <w:r>
              <w:rPr>
                <w:rFonts w:ascii="Arial" w:cs="Arial" w:eastAsia="Arial" w:hAnsi="Arial"/>
                <w:sz w:val="18"/>
                <w:szCs w:val="18"/>
                <w:color w:val="auto"/>
                <w:w w:val="98"/>
              </w:rPr>
              <w:t>, Senior Vice President and Chief Financial Officer</w:t>
            </w:r>
          </w:p>
        </w:tc>
      </w:tr>
      <w:tr>
        <w:trPr>
          <w:trHeight w:val="446"/>
        </w:trPr>
        <w:tc>
          <w:tcPr>
            <w:tcW w:w="2060" w:type="dxa"/>
            <w:vAlign w:val="bottom"/>
          </w:tcPr>
          <w:p>
            <w:pPr>
              <w:spacing w:after="0"/>
              <w:rPr>
                <w:sz w:val="20"/>
                <w:szCs w:val="20"/>
                <w:color w:val="auto"/>
              </w:rPr>
            </w:pPr>
            <w:r>
              <w:rPr>
                <w:rFonts w:ascii="Arial" w:cs="Arial" w:eastAsia="Arial" w:hAnsi="Arial"/>
                <w:sz w:val="18"/>
                <w:szCs w:val="18"/>
                <w:color w:val="auto"/>
              </w:rPr>
              <w:t>ATTEST OR WITNESS:</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920" w:type="dxa"/>
            <w:vAlign w:val="bottom"/>
          </w:tcPr>
          <w:p>
            <w:pPr>
              <w:spacing w:after="0"/>
              <w:rPr>
                <w:sz w:val="24"/>
                <w:szCs w:val="24"/>
                <w:color w:val="auto"/>
              </w:rPr>
            </w:pPr>
          </w:p>
        </w:tc>
      </w:tr>
      <w:tr>
        <w:trPr>
          <w:trHeight w:val="43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Katherine M. O’Halloran</w:t>
            </w:r>
          </w:p>
        </w:tc>
        <w:tc>
          <w:tcPr>
            <w:tcW w:w="33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Marinko</w:t>
            </w:r>
          </w:p>
        </w:tc>
        <w:tc>
          <w:tcPr>
            <w:tcW w:w="1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(SEAL)</w:t>
            </w:r>
          </w:p>
        </w:tc>
      </w:tr>
      <w:tr>
        <w:trPr>
          <w:trHeight w:val="425"/>
        </w:trPr>
        <w:tc>
          <w:tcPr>
            <w:tcW w:w="2060" w:type="dxa"/>
            <w:vAlign w:val="bottom"/>
          </w:tcPr>
          <w:p>
            <w:pPr>
              <w:spacing w:after="0"/>
              <w:rPr>
                <w:sz w:val="20"/>
                <w:szCs w:val="20"/>
                <w:color w:val="auto"/>
              </w:rPr>
            </w:pPr>
            <w:r>
              <w:rPr>
                <w:rFonts w:ascii="Arial" w:cs="Arial" w:eastAsia="Arial" w:hAnsi="Arial"/>
                <w:sz w:val="18"/>
                <w:szCs w:val="18"/>
                <w:color w:val="auto"/>
              </w:rPr>
              <w:t>ACKNOWLEDGEMENT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STATE OF Illinois</w:t>
            </w:r>
          </w:p>
        </w:tc>
        <w:tc>
          <w:tcPr>
            <w:tcW w:w="3320" w:type="dxa"/>
            <w:vAlign w:val="bottom"/>
          </w:tcPr>
          <w:p>
            <w:pPr>
              <w:ind w:left="20"/>
              <w:spacing w:after="0"/>
              <w:rPr>
                <w:sz w:val="20"/>
                <w:szCs w:val="20"/>
                <w:color w:val="auto"/>
              </w:rPr>
            </w:pPr>
            <w:r>
              <w:rPr>
                <w:rFonts w:ascii="Arial" w:cs="Arial" w:eastAsia="Arial" w:hAnsi="Arial"/>
                <w:sz w:val="18"/>
                <w:szCs w:val="18"/>
                <w:color w:val="auto"/>
              </w:rPr>
              <w:t>County of DuPage</w:t>
            </w:r>
          </w:p>
        </w:tc>
        <w:tc>
          <w:tcPr>
            <w:tcW w:w="6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w:t>
      </w:r>
      <w:r>
        <w:rPr>
          <w:rFonts w:ascii="Arial" w:cs="Arial" w:eastAsia="Arial" w:hAnsi="Arial"/>
          <w:sz w:val="18"/>
          <w:szCs w:val="18"/>
          <w:b w:val="1"/>
          <w:bCs w:val="1"/>
          <w:color w:val="auto"/>
        </w:rPr>
        <w:t>Mark M Marinko</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Senior Vice President</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b w:val="1"/>
          <w:bCs w:val="1"/>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Vice President</w:t>
      </w:r>
      <w:r>
        <w:rPr>
          <w:rFonts w:ascii="Arial" w:cs="Arial" w:eastAsia="Arial" w:hAnsi="Arial"/>
          <w:sz w:val="18"/>
          <w:szCs w:val="18"/>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20"/>
          </w:cols>
          <w:pgMar w:left="240" w:top="270" w:right="239" w:bottom="1440" w:gutter="0" w:footer="0" w:header="0"/>
        </w:sectPr>
      </w:pPr>
    </w:p>
    <w:bookmarkStart w:id="60" w:name="page61"/>
    <w:bookmarkEnd w:id="60"/>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Katherine M O’Halloran</w:t>
            </w:r>
            <w:r>
              <w:rPr>
                <w:rFonts w:ascii="Arial" w:cs="Arial" w:eastAsia="Arial" w:hAnsi="Arial"/>
                <w:sz w:val="18"/>
                <w:szCs w:val="18"/>
                <w:color w:val="auto"/>
              </w:rPr>
              <w:t>, Treasurer</w:t>
            </w:r>
          </w:p>
        </w:tc>
        <w:tc>
          <w:tcPr>
            <w:tcW w:w="6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GREAT LAKES ENVIRONMENTAL &amp; INFRASTRUCTURE</w:t>
            </w:r>
          </w:p>
        </w:tc>
      </w:tr>
      <w:tr>
        <w:trPr>
          <w:trHeight w:val="220"/>
        </w:trPr>
        <w:tc>
          <w:tcPr>
            <w:tcW w:w="20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SOLUTIONS, LLC</w:t>
            </w:r>
          </w:p>
        </w:tc>
        <w:tc>
          <w:tcPr>
            <w:tcW w:w="1920" w:type="dxa"/>
            <w:vAlign w:val="bottom"/>
          </w:tcPr>
          <w:p>
            <w:pPr>
              <w:spacing w:after="0"/>
              <w:rPr>
                <w:sz w:val="19"/>
                <w:szCs w:val="19"/>
                <w:color w:val="auto"/>
              </w:rPr>
            </w:pPr>
          </w:p>
        </w:tc>
      </w:tr>
      <w:tr>
        <w:trPr>
          <w:trHeight w:val="216"/>
        </w:trPr>
        <w:tc>
          <w:tcPr>
            <w:tcW w:w="2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92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Oak Brook, IL 60523</w:t>
            </w:r>
          </w:p>
        </w:tc>
        <w:tc>
          <w:tcPr>
            <w:tcW w:w="1920" w:type="dxa"/>
            <w:vAlign w:val="bottom"/>
          </w:tcPr>
          <w:p>
            <w:pPr>
              <w:spacing w:after="0"/>
              <w:rPr>
                <w:sz w:val="20"/>
                <w:szCs w:val="20"/>
                <w:color w:val="auto"/>
              </w:rPr>
            </w:pPr>
          </w:p>
        </w:tc>
      </w:tr>
      <w:tr>
        <w:trPr>
          <w:trHeight w:val="458"/>
        </w:trPr>
        <w:tc>
          <w:tcPr>
            <w:tcW w:w="20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b w:val="1"/>
                <w:bCs w:val="1"/>
                <w:color w:val="auto"/>
                <w:w w:val="98"/>
              </w:rPr>
              <w:t>Mark W. Marinko</w:t>
            </w:r>
            <w:r>
              <w:rPr>
                <w:rFonts w:ascii="Arial" w:cs="Arial" w:eastAsia="Arial" w:hAnsi="Arial"/>
                <w:sz w:val="18"/>
                <w:szCs w:val="18"/>
                <w:color w:val="auto"/>
                <w:w w:val="98"/>
              </w:rPr>
              <w:t>, Senior Vice President and Chief Financial Officer</w:t>
            </w: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ATTEST OR WITNESS:</w:t>
            </w: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920" w:type="dxa"/>
            <w:vAlign w:val="bottom"/>
          </w:tcPr>
          <w:p>
            <w:pPr>
              <w:spacing w:after="0"/>
              <w:rPr>
                <w:sz w:val="20"/>
                <w:szCs w:val="20"/>
                <w:color w:val="auto"/>
              </w:rPr>
            </w:pPr>
          </w:p>
        </w:tc>
      </w:tr>
      <w:tr>
        <w:trPr>
          <w:trHeight w:val="43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Katherine M. O’Halloran</w:t>
            </w:r>
          </w:p>
        </w:tc>
        <w:tc>
          <w:tcPr>
            <w:tcW w:w="33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Marinko</w:t>
            </w:r>
          </w:p>
        </w:tc>
        <w:tc>
          <w:tcPr>
            <w:tcW w:w="19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(SEAL)</w:t>
            </w:r>
          </w:p>
        </w:tc>
      </w:tr>
      <w:tr>
        <w:trPr>
          <w:trHeight w:val="425"/>
        </w:trPr>
        <w:tc>
          <w:tcPr>
            <w:tcW w:w="2060" w:type="dxa"/>
            <w:vAlign w:val="bottom"/>
          </w:tcPr>
          <w:p>
            <w:pPr>
              <w:spacing w:after="0"/>
              <w:rPr>
                <w:sz w:val="20"/>
                <w:szCs w:val="20"/>
                <w:color w:val="auto"/>
              </w:rPr>
            </w:pPr>
            <w:r>
              <w:rPr>
                <w:rFonts w:ascii="Arial" w:cs="Arial" w:eastAsia="Arial" w:hAnsi="Arial"/>
                <w:sz w:val="18"/>
                <w:szCs w:val="18"/>
                <w:color w:val="auto"/>
              </w:rPr>
              <w:t>ACKNOWLEDGEMENT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STATE OF Illinois</w:t>
            </w:r>
          </w:p>
        </w:tc>
        <w:tc>
          <w:tcPr>
            <w:tcW w:w="3320" w:type="dxa"/>
            <w:vAlign w:val="bottom"/>
          </w:tcPr>
          <w:p>
            <w:pPr>
              <w:ind w:left="20"/>
              <w:spacing w:after="0"/>
              <w:rPr>
                <w:sz w:val="20"/>
                <w:szCs w:val="20"/>
                <w:color w:val="auto"/>
              </w:rPr>
            </w:pPr>
            <w:r>
              <w:rPr>
                <w:rFonts w:ascii="Arial" w:cs="Arial" w:eastAsia="Arial" w:hAnsi="Arial"/>
                <w:sz w:val="18"/>
                <w:szCs w:val="18"/>
                <w:color w:val="auto"/>
              </w:rPr>
              <w:t>County of DuPage</w:t>
            </w:r>
          </w:p>
        </w:tc>
        <w:tc>
          <w:tcPr>
            <w:tcW w:w="6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w:t>
      </w:r>
      <w:r>
        <w:rPr>
          <w:rFonts w:ascii="Arial" w:cs="Arial" w:eastAsia="Arial" w:hAnsi="Arial"/>
          <w:sz w:val="18"/>
          <w:szCs w:val="18"/>
          <w:b w:val="1"/>
          <w:bCs w:val="1"/>
          <w:color w:val="auto"/>
        </w:rPr>
        <w:t>Mark W. Marinko</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Senior Vice President</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b w:val="1"/>
          <w:bCs w:val="1"/>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Treasurer</w:t>
      </w:r>
      <w:r>
        <w:rPr>
          <w:rFonts w:ascii="Arial" w:cs="Arial" w:eastAsia="Arial" w:hAnsi="Arial"/>
          <w:sz w:val="18"/>
          <w:szCs w:val="18"/>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20"/>
          </w:cols>
          <w:pgMar w:left="240" w:top="270" w:right="239" w:bottom="1440" w:gutter="0" w:footer="0" w:header="0"/>
        </w:sectPr>
      </w:pPr>
    </w:p>
    <w:bookmarkStart w:id="61" w:name="page62"/>
    <w:bookmarkEnd w:id="61"/>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Ellen Parker Burke</w:t>
            </w:r>
            <w:r>
              <w:rPr>
                <w:rFonts w:ascii="Arial" w:cs="Arial" w:eastAsia="Arial" w:hAnsi="Arial"/>
                <w:sz w:val="18"/>
                <w:szCs w:val="18"/>
                <w:color w:val="auto"/>
              </w:rPr>
              <w:t>, Assistant Secretary</w:t>
            </w:r>
          </w:p>
        </w:tc>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rPr>
              <w:t>MAGNUS PACIFIC, LLC</w:t>
            </w:r>
          </w:p>
        </w:tc>
        <w:tc>
          <w:tcPr>
            <w:tcW w:w="1840" w:type="dxa"/>
            <w:vAlign w:val="bottom"/>
          </w:tcPr>
          <w:p>
            <w:pPr>
              <w:spacing w:after="0"/>
              <w:rPr>
                <w:sz w:val="19"/>
                <w:szCs w:val="19"/>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84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Oak Brook, IL 60523</w:t>
            </w:r>
          </w:p>
        </w:tc>
        <w:tc>
          <w:tcPr>
            <w:tcW w:w="1840" w:type="dxa"/>
            <w:vAlign w:val="bottom"/>
          </w:tcPr>
          <w:p>
            <w:pPr>
              <w:spacing w:after="0"/>
              <w:rPr>
                <w:sz w:val="20"/>
                <w:szCs w:val="20"/>
                <w:color w:val="auto"/>
              </w:rPr>
            </w:pPr>
          </w:p>
        </w:tc>
      </w:tr>
      <w:tr>
        <w:trPr>
          <w:trHeight w:val="459"/>
        </w:trPr>
        <w:tc>
          <w:tcPr>
            <w:tcW w:w="2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b w:val="1"/>
                <w:bCs w:val="1"/>
                <w:color w:val="auto"/>
                <w:w w:val="98"/>
              </w:rPr>
              <w:t>Katherine M O’Halloran</w:t>
            </w:r>
            <w:r>
              <w:rPr>
                <w:rFonts w:ascii="Arial" w:cs="Arial" w:eastAsia="Arial" w:hAnsi="Arial"/>
                <w:sz w:val="18"/>
                <w:szCs w:val="18"/>
                <w:color w:val="auto"/>
                <w:w w:val="98"/>
              </w:rPr>
              <w:t>, Assistant Treasurer</w:t>
            </w:r>
          </w:p>
        </w:tc>
        <w:tc>
          <w:tcPr>
            <w:tcW w:w="1840" w:type="dxa"/>
            <w:vAlign w:val="bottom"/>
          </w:tcPr>
          <w:p>
            <w:pPr>
              <w:spacing w:after="0"/>
              <w:rPr>
                <w:sz w:val="24"/>
                <w:szCs w:val="24"/>
                <w:color w:val="auto"/>
              </w:rPr>
            </w:pPr>
          </w:p>
        </w:tc>
      </w:tr>
      <w:tr>
        <w:trPr>
          <w:trHeight w:val="446"/>
        </w:trPr>
        <w:tc>
          <w:tcPr>
            <w:tcW w:w="2000" w:type="dxa"/>
            <w:vAlign w:val="bottom"/>
          </w:tcPr>
          <w:p>
            <w:pPr>
              <w:spacing w:after="0"/>
              <w:rPr>
                <w:sz w:val="20"/>
                <w:szCs w:val="20"/>
                <w:color w:val="auto"/>
              </w:rPr>
            </w:pPr>
            <w:r>
              <w:rPr>
                <w:rFonts w:ascii="Arial" w:cs="Arial" w:eastAsia="Arial" w:hAnsi="Arial"/>
                <w:sz w:val="18"/>
                <w:szCs w:val="18"/>
                <w:color w:val="auto"/>
              </w:rPr>
              <w:t>ATTEST OR WITNESS:</w:t>
            </w: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840" w:type="dxa"/>
            <w:vAlign w:val="bottom"/>
          </w:tcPr>
          <w:p>
            <w:pPr>
              <w:spacing w:after="0"/>
              <w:rPr>
                <w:sz w:val="24"/>
                <w:szCs w:val="24"/>
                <w:color w:val="auto"/>
              </w:rPr>
            </w:pPr>
          </w:p>
        </w:tc>
      </w:tr>
      <w:tr>
        <w:trPr>
          <w:trHeight w:val="432"/>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Parker Burke</w:t>
            </w:r>
          </w:p>
        </w:tc>
        <w:tc>
          <w:tcPr>
            <w:tcW w:w="3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M. O’Halloran</w:t>
            </w:r>
          </w:p>
        </w:tc>
        <w:tc>
          <w:tcPr>
            <w:tcW w:w="1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 SEAL)</w:t>
            </w:r>
          </w:p>
        </w:tc>
      </w:tr>
      <w:tr>
        <w:trPr>
          <w:trHeight w:val="425"/>
        </w:trPr>
        <w:tc>
          <w:tcPr>
            <w:tcW w:w="2000" w:type="dxa"/>
            <w:vAlign w:val="bottom"/>
          </w:tcPr>
          <w:p>
            <w:pPr>
              <w:spacing w:after="0"/>
              <w:rPr>
                <w:sz w:val="20"/>
                <w:szCs w:val="20"/>
                <w:color w:val="auto"/>
              </w:rPr>
            </w:pPr>
            <w:r>
              <w:rPr>
                <w:rFonts w:ascii="Arial" w:cs="Arial" w:eastAsia="Arial" w:hAnsi="Arial"/>
                <w:sz w:val="18"/>
                <w:szCs w:val="18"/>
                <w:color w:val="auto"/>
              </w:rPr>
              <w:t>ACKNOWLEDGEMENT</w:t>
            </w: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STATE OF Illinois</w:t>
            </w:r>
          </w:p>
        </w:tc>
        <w:tc>
          <w:tcPr>
            <w:tcW w:w="3380" w:type="dxa"/>
            <w:vAlign w:val="bottom"/>
          </w:tcPr>
          <w:p>
            <w:pPr>
              <w:ind w:left="80"/>
              <w:spacing w:after="0"/>
              <w:rPr>
                <w:sz w:val="20"/>
                <w:szCs w:val="20"/>
                <w:color w:val="auto"/>
              </w:rPr>
            </w:pPr>
            <w:r>
              <w:rPr>
                <w:rFonts w:ascii="Arial" w:cs="Arial" w:eastAsia="Arial" w:hAnsi="Arial"/>
                <w:sz w:val="18"/>
                <w:szCs w:val="18"/>
                <w:color w:val="auto"/>
              </w:rPr>
              <w:t>County of DuPage</w:t>
            </w:r>
          </w:p>
        </w:tc>
        <w:tc>
          <w:tcPr>
            <w:tcW w:w="5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On this </w:t>
      </w:r>
      <w:r>
        <w:rPr>
          <w:rFonts w:ascii="Arial" w:cs="Arial" w:eastAsia="Arial" w:hAnsi="Arial"/>
          <w:sz w:val="17"/>
          <w:szCs w:val="17"/>
          <w:u w:val="single" w:color="auto"/>
          <w:color w:val="auto"/>
        </w:rPr>
        <w:t>13</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April 2015</w:t>
      </w:r>
      <w:r>
        <w:rPr>
          <w:rFonts w:ascii="Arial" w:cs="Arial" w:eastAsia="Arial" w:hAnsi="Arial"/>
          <w:sz w:val="17"/>
          <w:szCs w:val="17"/>
          <w:color w:val="auto"/>
        </w:rPr>
        <w:t xml:space="preserve"> before me personally appeared </w:t>
      </w:r>
      <w:r>
        <w:rPr>
          <w:rFonts w:ascii="Arial" w:cs="Arial" w:eastAsia="Arial" w:hAnsi="Arial"/>
          <w:sz w:val="17"/>
          <w:szCs w:val="17"/>
          <w:b w:val="1"/>
          <w:bCs w:val="1"/>
          <w:color w:val="auto"/>
        </w:rPr>
        <w:t>Katherine M O’Halloran</w:t>
      </w:r>
      <w:r>
        <w:rPr>
          <w:rFonts w:ascii="Arial" w:cs="Arial" w:eastAsia="Arial" w:hAnsi="Arial"/>
          <w:sz w:val="17"/>
          <w:szCs w:val="17"/>
          <w:color w:val="auto"/>
        </w:rPr>
        <w:t xml:space="preserve"> known or proven to me to be the </w:t>
      </w:r>
      <w:r>
        <w:rPr>
          <w:rFonts w:ascii="Arial" w:cs="Arial" w:eastAsia="Arial" w:hAnsi="Arial"/>
          <w:sz w:val="17"/>
          <w:szCs w:val="17"/>
          <w:b w:val="1"/>
          <w:bCs w:val="1"/>
          <w:color w:val="auto"/>
        </w:rPr>
        <w:t>Assistant Treasurer</w:t>
      </w:r>
      <w:r>
        <w:rPr>
          <w:rFonts w:ascii="Arial" w:cs="Arial" w:eastAsia="Arial" w:hAnsi="Arial"/>
          <w:sz w:val="17"/>
          <w:szCs w:val="17"/>
          <w:color w:val="auto"/>
        </w:rPr>
        <w:t xml:space="preserve"> of the entity executing the foregoing instrument (“Entity”) and </w:t>
      </w:r>
      <w:r>
        <w:rPr>
          <w:rFonts w:ascii="Arial" w:cs="Arial" w:eastAsia="Arial" w:hAnsi="Arial"/>
          <w:sz w:val="17"/>
          <w:szCs w:val="17"/>
          <w:b w:val="1"/>
          <w:bCs w:val="1"/>
          <w:color w:val="auto"/>
        </w:rPr>
        <w:t>Ellen Parker Burke</w:t>
      </w:r>
      <w:r>
        <w:rPr>
          <w:rFonts w:ascii="Arial" w:cs="Arial" w:eastAsia="Arial" w:hAnsi="Arial"/>
          <w:sz w:val="17"/>
          <w:szCs w:val="17"/>
          <w:color w:val="auto"/>
        </w:rPr>
        <w:t xml:space="preserve"> known or proven to me to be the </w:t>
      </w:r>
      <w:r>
        <w:rPr>
          <w:rFonts w:ascii="Arial" w:cs="Arial" w:eastAsia="Arial" w:hAnsi="Arial"/>
          <w:sz w:val="17"/>
          <w:szCs w:val="17"/>
          <w:b w:val="1"/>
          <w:bCs w:val="1"/>
          <w:color w:val="auto"/>
        </w:rPr>
        <w:t>Assistant Secretary</w:t>
      </w:r>
      <w:r>
        <w:rPr>
          <w:rFonts w:ascii="Arial" w:cs="Arial" w:eastAsia="Arial" w:hAnsi="Arial"/>
          <w:sz w:val="17"/>
          <w:szCs w:val="17"/>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19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20"/>
          </w:cols>
          <w:pgMar w:left="240" w:top="270" w:right="239" w:bottom="1440" w:gutter="0" w:footer="0" w:header="0"/>
        </w:sectPr>
      </w:pPr>
    </w:p>
    <w:bookmarkStart w:id="62" w:name="page63"/>
    <w:bookmarkEnd w:id="62"/>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Ellen Parker Burke</w:t>
            </w:r>
            <w:r>
              <w:rPr>
                <w:rFonts w:ascii="Arial" w:cs="Arial" w:eastAsia="Arial" w:hAnsi="Arial"/>
                <w:sz w:val="18"/>
                <w:szCs w:val="18"/>
                <w:color w:val="auto"/>
              </w:rPr>
              <w:t>, Assistant Secretary</w:t>
            </w:r>
          </w:p>
        </w:tc>
        <w:tc>
          <w:tcPr>
            <w:tcW w:w="6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TERRA CONTRACTING SERVICES, LLC</w:t>
            </w:r>
          </w:p>
        </w:tc>
        <w:tc>
          <w:tcPr>
            <w:tcW w:w="1720" w:type="dxa"/>
            <w:vAlign w:val="bottom"/>
          </w:tcPr>
          <w:p>
            <w:pPr>
              <w:spacing w:after="0"/>
              <w:rPr>
                <w:sz w:val="19"/>
                <w:szCs w:val="19"/>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72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Oak Brook, IL 60523</w:t>
            </w:r>
          </w:p>
        </w:tc>
        <w:tc>
          <w:tcPr>
            <w:tcW w:w="1720" w:type="dxa"/>
            <w:vAlign w:val="bottom"/>
          </w:tcPr>
          <w:p>
            <w:pPr>
              <w:spacing w:after="0"/>
              <w:rPr>
                <w:sz w:val="20"/>
                <w:szCs w:val="20"/>
                <w:color w:val="auto"/>
              </w:rPr>
            </w:pPr>
          </w:p>
        </w:tc>
      </w:tr>
      <w:tr>
        <w:trPr>
          <w:trHeight w:val="459"/>
        </w:trPr>
        <w:tc>
          <w:tcPr>
            <w:tcW w:w="2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b w:val="1"/>
                <w:bCs w:val="1"/>
                <w:color w:val="auto"/>
              </w:rPr>
              <w:t>Katherine M O’Halloran</w:t>
            </w:r>
            <w:r>
              <w:rPr>
                <w:rFonts w:ascii="Arial" w:cs="Arial" w:eastAsia="Arial" w:hAnsi="Arial"/>
                <w:sz w:val="18"/>
                <w:szCs w:val="18"/>
                <w:color w:val="auto"/>
              </w:rPr>
              <w:t>, Treasurer</w:t>
            </w:r>
          </w:p>
        </w:tc>
        <w:tc>
          <w:tcPr>
            <w:tcW w:w="1720" w:type="dxa"/>
            <w:vAlign w:val="bottom"/>
          </w:tcPr>
          <w:p>
            <w:pPr>
              <w:spacing w:after="0"/>
              <w:rPr>
                <w:sz w:val="24"/>
                <w:szCs w:val="24"/>
                <w:color w:val="auto"/>
              </w:rPr>
            </w:pPr>
          </w:p>
        </w:tc>
      </w:tr>
      <w:tr>
        <w:trPr>
          <w:trHeight w:val="446"/>
        </w:trPr>
        <w:tc>
          <w:tcPr>
            <w:tcW w:w="2000" w:type="dxa"/>
            <w:vAlign w:val="bottom"/>
          </w:tcPr>
          <w:p>
            <w:pPr>
              <w:spacing w:after="0"/>
              <w:rPr>
                <w:sz w:val="20"/>
                <w:szCs w:val="20"/>
                <w:color w:val="auto"/>
              </w:rPr>
            </w:pPr>
            <w:r>
              <w:rPr>
                <w:rFonts w:ascii="Arial" w:cs="Arial" w:eastAsia="Arial" w:hAnsi="Arial"/>
                <w:sz w:val="18"/>
                <w:szCs w:val="18"/>
                <w:color w:val="auto"/>
              </w:rPr>
              <w:t>ATTEST OR WITNESS:</w:t>
            </w: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720" w:type="dxa"/>
            <w:vAlign w:val="bottom"/>
          </w:tcPr>
          <w:p>
            <w:pPr>
              <w:spacing w:after="0"/>
              <w:rPr>
                <w:sz w:val="24"/>
                <w:szCs w:val="24"/>
                <w:color w:val="auto"/>
              </w:rPr>
            </w:pPr>
          </w:p>
        </w:tc>
      </w:tr>
      <w:tr>
        <w:trPr>
          <w:trHeight w:val="432"/>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Parker Burke</w:t>
            </w:r>
          </w:p>
        </w:tc>
        <w:tc>
          <w:tcPr>
            <w:tcW w:w="3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M. O’Halloran</w:t>
            </w:r>
          </w:p>
        </w:tc>
        <w:tc>
          <w:tcPr>
            <w:tcW w:w="1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 SEAL)</w:t>
            </w:r>
          </w:p>
        </w:tc>
      </w:tr>
      <w:tr>
        <w:trPr>
          <w:trHeight w:val="425"/>
        </w:trPr>
        <w:tc>
          <w:tcPr>
            <w:tcW w:w="2000" w:type="dxa"/>
            <w:vAlign w:val="bottom"/>
          </w:tcPr>
          <w:p>
            <w:pPr>
              <w:spacing w:after="0"/>
              <w:rPr>
                <w:sz w:val="20"/>
                <w:szCs w:val="20"/>
                <w:color w:val="auto"/>
              </w:rPr>
            </w:pPr>
            <w:r>
              <w:rPr>
                <w:rFonts w:ascii="Arial" w:cs="Arial" w:eastAsia="Arial" w:hAnsi="Arial"/>
                <w:sz w:val="18"/>
                <w:szCs w:val="18"/>
                <w:color w:val="auto"/>
              </w:rPr>
              <w:t>ACKNOWLEDGEMENT</w:t>
            </w: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STATE OF Illinois</w:t>
            </w:r>
          </w:p>
        </w:tc>
        <w:tc>
          <w:tcPr>
            <w:tcW w:w="3380" w:type="dxa"/>
            <w:vAlign w:val="bottom"/>
          </w:tcPr>
          <w:p>
            <w:pPr>
              <w:ind w:left="80"/>
              <w:spacing w:after="0"/>
              <w:rPr>
                <w:sz w:val="20"/>
                <w:szCs w:val="20"/>
                <w:color w:val="auto"/>
              </w:rPr>
            </w:pPr>
            <w:r>
              <w:rPr>
                <w:rFonts w:ascii="Arial" w:cs="Arial" w:eastAsia="Arial" w:hAnsi="Arial"/>
                <w:sz w:val="18"/>
                <w:szCs w:val="18"/>
                <w:color w:val="auto"/>
              </w:rPr>
              <w:t>County of DuPage</w:t>
            </w:r>
          </w:p>
        </w:tc>
        <w:tc>
          <w:tcPr>
            <w:tcW w:w="6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198" w:lineRule="exact"/>
        <w:rPr>
          <w:sz w:val="20"/>
          <w:szCs w:val="20"/>
          <w:color w:val="auto"/>
        </w:rPr>
      </w:pPr>
    </w:p>
    <w:p>
      <w:pPr>
        <w:jc w:val="both"/>
        <w:ind w:right="120"/>
        <w:spacing w:after="0" w:line="258"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w:t>
      </w:r>
      <w:r>
        <w:rPr>
          <w:rFonts w:ascii="Arial" w:cs="Arial" w:eastAsia="Arial" w:hAnsi="Arial"/>
          <w:sz w:val="18"/>
          <w:szCs w:val="18"/>
          <w:b w:val="1"/>
          <w:bCs w:val="1"/>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Treasurer</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b w:val="1"/>
          <w:bCs w:val="1"/>
          <w:color w:val="auto"/>
        </w:rPr>
        <w:t>Ellen Parker Burke</w:t>
      </w:r>
      <w:r>
        <w:rPr>
          <w:rFonts w:ascii="Arial" w:cs="Arial" w:eastAsia="Arial" w:hAnsi="Arial"/>
          <w:sz w:val="18"/>
          <w:szCs w:val="18"/>
          <w:color w:val="auto"/>
        </w:rPr>
        <w:t xml:space="preserve"> known or proven to me to be the Assistant </w:t>
      </w:r>
      <w:r>
        <w:rPr>
          <w:rFonts w:ascii="Arial" w:cs="Arial" w:eastAsia="Arial" w:hAnsi="Arial"/>
          <w:sz w:val="18"/>
          <w:szCs w:val="18"/>
          <w:b w:val="1"/>
          <w:bCs w:val="1"/>
          <w:color w:val="auto"/>
        </w:rPr>
        <w:t>Secretary</w:t>
      </w:r>
      <w:r>
        <w:rPr>
          <w:rFonts w:ascii="Arial" w:cs="Arial" w:eastAsia="Arial" w:hAnsi="Arial"/>
          <w:sz w:val="18"/>
          <w:szCs w:val="18"/>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20"/>
          </w:cols>
          <w:pgMar w:left="240" w:top="270" w:right="239" w:bottom="1440" w:gutter="0" w:footer="0" w:header="0"/>
        </w:sectPr>
      </w:pPr>
    </w:p>
    <w:bookmarkStart w:id="63" w:name="page64"/>
    <w:bookmarkEnd w:id="63"/>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Ellen Parker Burke</w:t>
            </w:r>
            <w:r>
              <w:rPr>
                <w:rFonts w:ascii="Arial" w:cs="Arial" w:eastAsia="Arial" w:hAnsi="Arial"/>
                <w:sz w:val="18"/>
                <w:szCs w:val="18"/>
                <w:color w:val="auto"/>
              </w:rPr>
              <w:t>, Secretary and Assistant Treasurer</w:t>
            </w:r>
          </w:p>
        </w:tc>
        <w:tc>
          <w:tcPr>
            <w:tcW w:w="6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TERRA FLUID MANAGEMENT, LLC</w:t>
            </w:r>
          </w:p>
        </w:tc>
        <w:tc>
          <w:tcPr>
            <w:tcW w:w="1880" w:type="dxa"/>
            <w:vAlign w:val="bottom"/>
          </w:tcPr>
          <w:p>
            <w:pPr>
              <w:spacing w:after="0"/>
              <w:rPr>
                <w:sz w:val="19"/>
                <w:szCs w:val="19"/>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88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Oak Brook, IL 60523</w:t>
            </w:r>
          </w:p>
        </w:tc>
        <w:tc>
          <w:tcPr>
            <w:tcW w:w="1880" w:type="dxa"/>
            <w:vAlign w:val="bottom"/>
          </w:tcPr>
          <w:p>
            <w:pPr>
              <w:spacing w:after="0"/>
              <w:rPr>
                <w:sz w:val="20"/>
                <w:szCs w:val="20"/>
                <w:color w:val="auto"/>
              </w:rPr>
            </w:pPr>
          </w:p>
        </w:tc>
      </w:tr>
      <w:tr>
        <w:trPr>
          <w:trHeight w:val="459"/>
        </w:trPr>
        <w:tc>
          <w:tcPr>
            <w:tcW w:w="2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b w:val="1"/>
                <w:bCs w:val="1"/>
                <w:color w:val="auto"/>
              </w:rPr>
              <w:t>Katherine M O’Halloran</w:t>
            </w:r>
            <w:r>
              <w:rPr>
                <w:rFonts w:ascii="Arial" w:cs="Arial" w:eastAsia="Arial" w:hAnsi="Arial"/>
                <w:sz w:val="18"/>
                <w:szCs w:val="18"/>
                <w:color w:val="auto"/>
              </w:rPr>
              <w:t>, Treasurer</w:t>
            </w:r>
          </w:p>
        </w:tc>
        <w:tc>
          <w:tcPr>
            <w:tcW w:w="1880" w:type="dxa"/>
            <w:vAlign w:val="bottom"/>
          </w:tcPr>
          <w:p>
            <w:pPr>
              <w:spacing w:after="0"/>
              <w:rPr>
                <w:sz w:val="24"/>
                <w:szCs w:val="24"/>
                <w:color w:val="auto"/>
              </w:rPr>
            </w:pPr>
          </w:p>
        </w:tc>
      </w:tr>
      <w:tr>
        <w:trPr>
          <w:trHeight w:val="446"/>
        </w:trPr>
        <w:tc>
          <w:tcPr>
            <w:tcW w:w="2000" w:type="dxa"/>
            <w:vAlign w:val="bottom"/>
          </w:tcPr>
          <w:p>
            <w:pPr>
              <w:spacing w:after="0"/>
              <w:rPr>
                <w:sz w:val="20"/>
                <w:szCs w:val="20"/>
                <w:color w:val="auto"/>
              </w:rPr>
            </w:pPr>
            <w:r>
              <w:rPr>
                <w:rFonts w:ascii="Arial" w:cs="Arial" w:eastAsia="Arial" w:hAnsi="Arial"/>
                <w:sz w:val="18"/>
                <w:szCs w:val="18"/>
                <w:color w:val="auto"/>
              </w:rPr>
              <w:t>ATTEST OR WITNESS:</w:t>
            </w: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880" w:type="dxa"/>
            <w:vAlign w:val="bottom"/>
          </w:tcPr>
          <w:p>
            <w:pPr>
              <w:spacing w:after="0"/>
              <w:rPr>
                <w:sz w:val="24"/>
                <w:szCs w:val="24"/>
                <w:color w:val="auto"/>
              </w:rPr>
            </w:pPr>
          </w:p>
        </w:tc>
      </w:tr>
      <w:tr>
        <w:trPr>
          <w:trHeight w:val="432"/>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Parker Burke</w:t>
            </w:r>
          </w:p>
        </w:tc>
        <w:tc>
          <w:tcPr>
            <w:tcW w:w="3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M. O’Halloran</w:t>
            </w:r>
          </w:p>
        </w:tc>
        <w:tc>
          <w:tcPr>
            <w:tcW w:w="1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(NO SEAL)</w:t>
            </w:r>
          </w:p>
        </w:tc>
      </w:tr>
      <w:tr>
        <w:trPr>
          <w:trHeight w:val="425"/>
        </w:trPr>
        <w:tc>
          <w:tcPr>
            <w:tcW w:w="2000" w:type="dxa"/>
            <w:vAlign w:val="bottom"/>
          </w:tcPr>
          <w:p>
            <w:pPr>
              <w:spacing w:after="0"/>
              <w:rPr>
                <w:sz w:val="20"/>
                <w:szCs w:val="20"/>
                <w:color w:val="auto"/>
              </w:rPr>
            </w:pPr>
            <w:r>
              <w:rPr>
                <w:rFonts w:ascii="Arial" w:cs="Arial" w:eastAsia="Arial" w:hAnsi="Arial"/>
                <w:sz w:val="18"/>
                <w:szCs w:val="18"/>
                <w:color w:val="auto"/>
              </w:rPr>
              <w:t>ACKNOWLEDGEMENT</w:t>
            </w: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STATE OF Illinois</w:t>
            </w:r>
          </w:p>
        </w:tc>
        <w:tc>
          <w:tcPr>
            <w:tcW w:w="3380" w:type="dxa"/>
            <w:vAlign w:val="bottom"/>
          </w:tcPr>
          <w:p>
            <w:pPr>
              <w:ind w:left="80"/>
              <w:spacing w:after="0"/>
              <w:rPr>
                <w:sz w:val="20"/>
                <w:szCs w:val="20"/>
                <w:color w:val="auto"/>
              </w:rPr>
            </w:pPr>
            <w:r>
              <w:rPr>
                <w:rFonts w:ascii="Arial" w:cs="Arial" w:eastAsia="Arial" w:hAnsi="Arial"/>
                <w:sz w:val="18"/>
                <w:szCs w:val="18"/>
                <w:color w:val="auto"/>
              </w:rPr>
              <w:t>County of DuPage</w:t>
            </w:r>
          </w:p>
        </w:tc>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19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w:t>
      </w:r>
      <w:r>
        <w:rPr>
          <w:rFonts w:ascii="Arial" w:cs="Arial" w:eastAsia="Arial" w:hAnsi="Arial"/>
          <w:sz w:val="18"/>
          <w:szCs w:val="18"/>
          <w:b w:val="1"/>
          <w:bCs w:val="1"/>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Treasurer</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b w:val="1"/>
          <w:bCs w:val="1"/>
          <w:color w:val="auto"/>
        </w:rPr>
        <w:t>Ellen Parker Burke</w:t>
      </w:r>
      <w:r>
        <w:rPr>
          <w:rFonts w:ascii="Arial" w:cs="Arial" w:eastAsia="Arial" w:hAnsi="Arial"/>
          <w:sz w:val="18"/>
          <w:szCs w:val="18"/>
          <w:color w:val="auto"/>
        </w:rPr>
        <w:t xml:space="preserve"> known or proven to me to be the </w:t>
      </w:r>
      <w:r>
        <w:rPr>
          <w:rFonts w:ascii="Arial" w:cs="Arial" w:eastAsia="Arial" w:hAnsi="Arial"/>
          <w:sz w:val="18"/>
          <w:szCs w:val="18"/>
          <w:b w:val="1"/>
          <w:bCs w:val="1"/>
          <w:color w:val="auto"/>
        </w:rPr>
        <w:t>Secretary</w:t>
      </w:r>
      <w:r>
        <w:rPr>
          <w:rFonts w:ascii="Arial" w:cs="Arial" w:eastAsia="Arial" w:hAnsi="Arial"/>
          <w:sz w:val="18"/>
          <w:szCs w:val="18"/>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w:t>
      </w:r>
    </w:p>
    <w:p>
      <w:pPr>
        <w:sectPr>
          <w:pgSz w:w="11900" w:h="16838" w:orient="portrait"/>
          <w:cols w:equalWidth="0" w:num="1">
            <w:col w:w="11420"/>
          </w:cols>
          <w:pgMar w:left="240" w:top="27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ARGONAUT INSURANCE COMPANY</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GENERAL INDEMNITY AGREEMENT</w:t>
      </w:r>
    </w:p>
    <w:p>
      <w:pPr>
        <w:spacing w:after="0" w:line="2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THIS AGREEMENT of Indemnity, made and entered into this </w:t>
      </w:r>
      <w:r>
        <w:rPr>
          <w:rFonts w:ascii="Arial" w:cs="Arial" w:eastAsia="Arial" w:hAnsi="Arial"/>
          <w:sz w:val="18"/>
          <w:szCs w:val="18"/>
          <w:b w:val="1"/>
          <w:bCs w:val="1"/>
          <w:u w:val="single" w:color="auto"/>
          <w:color w:val="auto"/>
        </w:rPr>
        <w:t>SEVENTH</w:t>
      </w:r>
      <w:r>
        <w:rPr>
          <w:rFonts w:ascii="Arial" w:cs="Arial" w:eastAsia="Arial" w:hAnsi="Arial"/>
          <w:sz w:val="18"/>
          <w:szCs w:val="18"/>
          <w:color w:val="auto"/>
        </w:rPr>
        <w:t xml:space="preserve"> day of </w:t>
      </w:r>
      <w:r>
        <w:rPr>
          <w:rFonts w:ascii="Arial" w:cs="Arial" w:eastAsia="Arial" w:hAnsi="Arial"/>
          <w:sz w:val="18"/>
          <w:szCs w:val="18"/>
          <w:b w:val="1"/>
          <w:bCs w:val="1"/>
          <w:u w:val="single" w:color="auto"/>
          <w:color w:val="auto"/>
        </w:rPr>
        <w:t>APRIL</w:t>
      </w:r>
      <w:r>
        <w:rPr>
          <w:rFonts w:ascii="Arial" w:cs="Arial" w:eastAsia="Arial" w:hAnsi="Arial"/>
          <w:sz w:val="18"/>
          <w:szCs w:val="18"/>
          <w:color w:val="auto"/>
        </w:rPr>
        <w:t xml:space="preserve">, </w:t>
      </w:r>
      <w:r>
        <w:rPr>
          <w:rFonts w:ascii="Arial" w:cs="Arial" w:eastAsia="Arial" w:hAnsi="Arial"/>
          <w:sz w:val="18"/>
          <w:szCs w:val="18"/>
          <w:b w:val="1"/>
          <w:bCs w:val="1"/>
          <w:color w:val="auto"/>
        </w:rPr>
        <w:t>2015</w:t>
      </w:r>
      <w:r>
        <w:rPr>
          <w:rFonts w:ascii="Arial" w:cs="Arial" w:eastAsia="Arial" w:hAnsi="Arial"/>
          <w:sz w:val="18"/>
          <w:szCs w:val="18"/>
          <w:color w:val="auto"/>
        </w:rPr>
        <w:t xml:space="preserve"> by GREAT LAKES DREDGE &amp; DOCK CORPORATION, GREAT LAKES DREDGE &amp; DOCK COMPANY, LLC, GREAT LAKES ENVIRONMENTAL &amp; INFRASTRUCTURE SOLUTIONS, LLC, MAGNUS PACIFIC, LLC, TERRA CONTRACTING SERVICES, LLC, and TERRA FLUID MANAGEMENT, LLC, each individually and collectively “Contractor,” and GREAT LAKES DREDGE &amp; DOCK CORPORATION, GREAT LAKES DREDGE &amp; DOCK COMPANY, LLC, GREAT LAKES ENVIRONMENTAL &amp; INFRASTRUCTURE SOLUTIONS, LLC, MAGNUS PACIFIC, LLC, TERRA CONTRACTING SERVICES, LLC, and TERRA FLUID MANAGEMENT, LLC, each individually and collectively “Indemnitors,” and ARGONAUT INSURANCE COMPANY, its respective successors and assigns (“Surety”).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WHEREAS, Contractors, in the performance of contracts and the fulfillment of obligations generally, whether in each Contractor’s own name solely or in joint venture with each other or with other Persons, may desire or be required to give or procure Bonds, and to renew, or continue or substitute from time to time the same or new Bonds with the same or different penalties and/or conditions; or the Contractors or Indemnitors may request the Surety to refrain from cancelling said Bonds; and</w:t>
      </w:r>
    </w:p>
    <w:p>
      <w:pPr>
        <w:spacing w:after="0" w:line="18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WHEREAS, at the request of Contractors and Indemnitors and on the express understanding that this Agreement of Indemnity be given, the Surety has executed or procured to be executed, and may from time to time hereafter execute or procure to be executed, said Bonds on behalf of one or more Contractors; and</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WHEREAS, Contractors and Indemnitors have a substantial, material and beneficial interest in the obtaining of the Bonds or in the Surety’s refraining from cancelling said Bonds.</w:t>
      </w:r>
    </w:p>
    <w:p>
      <w:pPr>
        <w:spacing w:after="0" w:line="170"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is hereby acknowledged, Contractors and Indemnitors for themselves, their heirs, executors, administrators, successors and assigns, jointly and severally, hereby covenant and agree with Surety, as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PREMIUMS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FIRST: Contractors and Indemnitors will pay to the Surety, in such manner as may be agreed upon, all premiums and charges of Surety for the Bonds in accordance with Surety’s rate filings or as otherwise agreed upon, until Contractors or Indemnitors shall serve evidence reasonably satisfactory to the Surety of Surety’s discharge or release from the Bonds and all liability by reason of the Bonds.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SECOND: Contractors and Indemnitors shall exonerate, indemnify, and keep indemnified the Surety from and against any and all liability and Loss which the Surety may sustain and incur: (a) by reason of having executed or procured the execution of the Bonds, (b) by reason of the failure of Contractors or Indemnitors to perform or comply with the covenants and conditions of this Agreement or the Equipment Utilization Agreement or (c) in enforcing any of the covenants and conditions of this Agreement or the Equipment Utilization Agreement. Payment by reason of the aforesaid causes shall be made to the Surety by the Contractors and Indemnitors as soon as liability exists or is asserted against the Surety, whether or not the Surety shall have made any payment therefor, provided, however, that in no event shall any Contractor or Indemnitor indemnify or hold and save harmless the Surety against any Loss arising out of the gross negligence, willful misconduct or illegal act of the Surety.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THIRD: The Contractors and Indemnitors will assign, transfer and set over, and do hereby assign, transfer and set over to the Surety the following as collateral, to secure the obligations in any and all of the paragraphs of this Agreement and any other indebtedness and liabilities of Contractors and Indemnitors to the Surety, whether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Page 1 of 10</w:t>
      </w:r>
    </w:p>
    <w:p>
      <w:pPr>
        <w:sectPr>
          <w:pgSz w:w="11900" w:h="16838" w:orient="portrait"/>
          <w:cols w:equalWidth="0" w:num="1">
            <w:col w:w="11420"/>
          </w:cols>
          <w:pgMar w:left="240" w:top="121" w:right="239" w:bottom="1440" w:gutter="0" w:footer="0" w:header="0"/>
        </w:sectPr>
      </w:pPr>
    </w:p>
    <w:bookmarkStart w:id="65" w:name="page66"/>
    <w:bookmarkEnd w:id="65"/>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heretofore or hereafter incurred: (a) all the rights of Contractors and/or Indemnitors in, and growing in any manner out of, all contracts referred to in the Bonds, or in, or growing in any manner out of the Bonds; (b) all the rights, title and interest of Contractors and/or Indemnitors in and to all machinery, equipment, plant, tools and materials which are now, or may hereafter be, about or upon the site or sites of any and all of the contractual work referred to in the Bonds, or elsewhere, including materials purchased for or chargeable to any and all contracts referred to in the bonds, materials which may be in process of construction, in storage elsewhere, or in transportation to any and all of said sites, and equipment which may be necessary or proper to perform any contractual work referred to in the Bonds; (c) all rights, title and interest (including the right to use) of Contractors and/or Indemnitors in and to all general intangibles and intellectual property used in or related to any and all contractual work referred to in the Bonds, including, without limitation, any business records, inventions, designs, patents, patent applications, trademarks, trademark applications, trade names, trade secrets, copyrights, any intellectual property, licenses, franchises, customer lists, insurance proceeds, insurance refunds and equivalents, software, computer programs, computer hardware, computer systems, architectural drawings, plans and specifications (d) all the rights, title and interest of Contractors and/or Indemnitors in and to all subcontracts let or to be let in connection with any and all contracts referred to in the Bonds, and in and to all surety bonds supporting such subcontracts; (e) all actions, causes of actions, claims and demands whatsoever which the Contractors and/or Indemnitors may have or acquire against any obligee, any subcontractor, laborer or materialman, or any person furnishing or agreeing to furnish or supply labor, material, supplies, machinery, tools or other equipment in connection with or on account of any and all contracts referred to in the Bonds; and against any surety or sureties of any obligee, subcontractor, laborer, or materialman; (f) any and all percentages retained, receivables and any and all sums that may be due or hereafter become due on account of any and all contracts referred to in the Bonds; and (g) any real or personal property, the improvement of which is secured by any Bond. The assignment in the case of each contract to become effective as of the date of the Bond covering such contract, but shall be triggered only upon the occurrence of an Event of Default.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 FUND</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FOURTH: The Contractors and Indemnitors covenant and agree that all payments received for or on account of contracts covered by the Bonds shall be held as trust funds in which the Surety has an interest, for the payment of obligations incurred in the performance of the contract and for labor, materials, and services furnished in the prosecution of the work provided in the contract or any authorized extension or modification thereof. Further, it is expressly understood and declared that all monies due and to become due under any contracts covered by the Bonds are trust funds, whether in the possession of any Contractor or Indemnitor or otherwise, for the benefit of and for payment of all such obligations in connection with any such contract or contracts for which the Surety would be liable under any Bonds, which trust also inures to the benefit of the Surety for any liability or Loss Surety may have or sustain under any Bonds, and this Agreement and declaration shall also constitute notice of such trust.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UNIFORM COMMERCIAL CODE</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FIFTH: This Agreement shall constitute a Security Agreement to the Surety and also a Financing Statement, both in accordance with the provisions of the Uniform Commercial Code of every jurisdiction wherein such Code is in effect, and may be so used by the Surety, without in any way abrogating, restricting or limiting the rights of the Surety under this Agreement or under law or in equity.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TAKEOVER</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SIXTH: Should an Event of Default occur, Surety shall have the right, at its option and in its sole discretion, and is hereby authorized, with or without exercising any other right or option conferred upon it by law or in the terms of this Agreement and/or the Equipment Utilization Agreement, to take possession of any part or all of the work, materials and equipment under any contract or contracts covered by any Bonds and any other materials or equipment which the Surety deems necessary or proper to perform any contractual work referred to in the Bonds, and at the expense of the Contractors and Indemnitors to complete or arrange for the completion of the same. The Contractors and Indemnitors shall promptly on demand pay to the Surety all Loss so incurred; provided, however, that in no event shall any Contractor or Indemnitor indemnify or hold and save harmless the Surety against any Loss arising out of the gross negligence, willful misconduct or illegal act of the Surety.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Page 2 of 10</w:t>
      </w:r>
    </w:p>
    <w:p>
      <w:pPr>
        <w:sectPr>
          <w:pgSz w:w="11900" w:h="16838" w:orient="portrait"/>
          <w:cols w:equalWidth="0" w:num="1">
            <w:col w:w="11400"/>
          </w:cols>
          <w:pgMar w:left="240" w:top="274" w:right="25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SEVENTH: The Surety is authorized and empowered, without notice to or knowledge of Contractors and/or Indemnitors to assent to any change whatsoever in the Bonds, and/or any contracts referred to in the Bonds, and/or in the general conditions, plans and/or specifications accompanying said contracts, including, but not limited to, any change in the time for the completion of said contracts and to payments or advances thereunder before the same may be due, and to assent to or take any assignment or assignments, to execute or consent to the execution of any continuations, extensions or renewals of the Bonds and to execute any substitute or substitutes therefor, with the same or different conditions, provisions and obligees and with the same or larger or smaller penalties, it being expressly understood and agreed that Contractors and Indemnitors shall remain bound under the terms of this Agreement even though any such assent by the Surety does or might substantially increase the liability of Contractors and Indemnitors.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EIGHTH: The Surety is authorized and empowered to guarantee loans, to advance or lend to any Contactor any money, which the Surety may see fit, for the purpose of any contracts referred to in, or guaranteed by the Bonds. Contractors and Indemnitors shall be responsible for indemnifying Surety for all money expended in the completion of any such contracts by the Surety, or lent or advanced from time to time to any Contractor, or guaranteed by the Surety for the purposes of any such contracts, and all Loss incurred by the Surety in relation to such guarantee, advance or lending, unless repaid with legal interest by that Contractor to the Surety when due, notwithstanding that said money or any part thereof should not be so used by that Contractor.</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BOOKS AND RECORDS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NINTH: At any time, and until such time as the liability of the Surety under any and all Bonds is terminated, the Surety shall have the right to reasonable access to the books, records, and accounts of the Contractors and Indemnitors. Contractors and Indemnitors hereby authorize any bank depository, materialman, supply house, or other person, firm, or corporation, when requested by the Surety, to furnish the Surety any information requested, including but not limited to the status of the work under contracts being performed by any Contractor, the condition of the performance of such contracts, and payments of accounts.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DECLINE EXECUTION</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TENTH: Surety may decline to execute any Bond and Contractors and Indemnitors agree to make no claim to the contrary in consideration of the Surety’s receiving this Agreement; and if the Surety shall execute a bid or proposal Bond, it shall have the right to decline to execute any and all Bonds that may be required in connection with any award that may be made under the proposal for which the bid or proposal Bond is given, and such declination shall not diminish or alter the liability that may arise by reason of having executed the bid or proposal Bond.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EXECUTION</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ELEVENTH: Contractors and Indemnitors hereby waive notice of the execution of any and all Bonds and all notice of any default or any other act or acts giving rise to any claim under said Bonds, as well as notice of any and all liability of the Surety under such Bonds, and any and all liability on their part hereunder, to the end and effect that the Contractors and Indemnitors shall be and continue liable to Surety under this Agreement, notwithstanding any notice of any kind to which they might have been or be entitled, and notwithstanding any defenses they might have been entitled to make.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TWELFTH: In the event the Surety makes any payment or other determination arising from or related to the Bonds and/or this Agreement, or in the event of settlement, compromise or judgment, Contractors and Indemnitors further agree that in any accounting between the Surety and any Contractor, or between the Surety and the Indemnitors, or either or both of them, the Surety shall be entitled to charge for any and all payments made by the Surety in good faith under the belief that the Surety is or was liable for the sums and amounts paid, or that it was necessary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Page 3 of 10</w:t>
      </w:r>
    </w:p>
    <w:p>
      <w:pPr>
        <w:sectPr>
          <w:pgSz w:w="11900" w:h="16838" w:orient="portrait"/>
          <w:cols w:equalWidth="0" w:num="1">
            <w:col w:w="11400"/>
          </w:cols>
          <w:pgMar w:left="240" w:top="270" w:right="259" w:bottom="1440" w:gutter="0" w:footer="0" w:header="0"/>
        </w:sectPr>
      </w:pPr>
    </w:p>
    <w:bookmarkStart w:id="67" w:name="page68"/>
    <w:bookmarkEnd w:id="67"/>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expedient to make such payments to protect any of the Surety’s rights or to avoid or lessen the Surety’s liability or alleged liability, whether or not such liability, necessity or expediency existed; provided, however, that in no event shall any Contractor or Indemnitor indemnify or hold and save harmless the Surety against any Loss arising out of the gross negligence, willful misconduct or illegal act of the Surety. These payments include the Surety’s costs and expenses and other elements of Loss. Any such payments shall be final, conclusive and binding upon Contractors and Indemnitors; and any Loss which may be sustained or incurred shall be paid by the Contractors and Indemnitors upon written demand by the Surety. In the event of any payment, settlement, compromise or judgment by the Surety, an itemized statement of Loss sworn to by an officer or authorized representative of the Surety or voucher(s) or other documentary evidence of such payment, settlement, compromise or judgment shall be prima facie evidence of the fact and amount of Contractors’ and Indemnitors’ liability to the Surety.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SETTLEMENTS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THIRTEENTH: Surety shall have the absolute and unconditional right to adjust, settle or compromise any claim, demand, suit or judgment upon the Bonds. If Contractors and Indemnitors shall request the Surety to litigate such claim or demand, or to defend such suit, or to appeal from such judgment, then Contractors and Indemnitors shall deposit with the Surety, at the time of such request, cash or collateral satisfactory to the Surety in kind and amount, to be used in paying any judgment or judgments rendered or that may be rendered, with interest, costs, expenses and attorneys’ fees, including those of the Surety, and the Surety shall consider such request.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SURETIES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FOURTEENTH: In the event the Surety procures the execution of the Bonds by other sureties, or executes the Bonds with co-sureties, or reinsures any portion of the Bonds with reinsuring sureties, or reinsures any Bonds executed by others, then all the terms and conditions of this Agreement shall inure to the benefit of such other sureties, co-sureties and reinsuring sureties, as their interests may appear.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FIFTEENTH: Separate suits may be brought hereunder as causes of action accrue, and the bringing of suit or the recovery of judgment upon any cause of action shall not prejudice or bar the bringing of other suits, upon other causes of action, whether theretofore or thereafter arising.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INDEMNITY</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SIXTEENTH: Contractors and Indemnitors shall continue to remain bound under the terms of this Agreement even though the Surety may have from time to time before or after the execution of this Agreement, with or without notice to or knowledge of Contractors and Indemnitors, accepted or released other agreements of indemnity or collateral in connection with the execution or procurement of the Bonds, from Contractors or Indemnitors or others, it being expressly understood and agreed by the Contractors and the Indemnitors that any and all other rights which the Surety may have or acquire against the Contractors and the Indemnitors and/or others under any such other or additional agreements of indemnity or collateral shall be in addition to, and not in lieu of, the rights afforded the Surety under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INVALIDITY</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SEVENTEENTH: In case any of the parties mentioned in this Agreement fail to execute the same, or in case the execution hereof by any of the parties be defective or invalid for any reason, such failure, defect or invalidity shall not in any manner affect the validity of this Agreement or the liability hereunder of any of the parties executing the same, but each and every party so executing shall be and remain fully bound and liable hereunder to the same extent as if such failure, defect or invalidity had not existed. It is understood and agreed by the Contractors and Indemnitors that the rights, powers, and remedies given the Surety under this Agreement shall be and are in addition to, and not in lieu of, any and all other rights, powers, and remedies which the Surety may have or acquire against the Contractors and Indemnitors or others whether by the terms of any other agreement or by operation of law or otherwise.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Page 4 of 10</w:t>
      </w:r>
    </w:p>
    <w:p>
      <w:pPr>
        <w:sectPr>
          <w:pgSz w:w="11900" w:h="16838" w:orient="portrait"/>
          <w:cols w:equalWidth="0" w:num="1">
            <w:col w:w="11420"/>
          </w:cols>
          <w:pgMar w:left="240" w:top="274"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ATTORNEY IN FACT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EIGHTEENTH: Contractors and Indemnitors hereby irrevocably nominate, constitute, appoint and designate Surety as their attorney-in-fact, with the right, but not the obligation, to exercise all of the rights of Contractors and Indemnitors assigned, transferred and set over to the Surety in this Agreement, and in the name of Contractors and Indemnitors to make, execute, and deliver any and all additional or other assignments, documents or papers deemed necessary and proper by Surety in order to give full effect not only to the intent and meaning of the assignments in this Agreement, but also to the full protection intended to be given to Surety under all other provisions of this Agreement. Contractors and Indemnitors hereby ratify and confirm all acts and actions taken and done by the Surety as such attorney-in-fact.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NINETEENTH: This Agreement may be terminated by any Contractor or Indemnitor by sending written notice of termination to the Surety via registered mail to the Surety’s address at Argo Surety, P.O. Box 469011, San Antonio, TX 78246. Sending by delivery: 175 E. Houston St., Suite 1300, San Antonio, TX 78205. Such notice of termination shall be effective as to the party sending the notice, ten (10) days from Surety’s receipt of the notice and shall apply all future Bonds and Bond commitments following the effective date. However, any such notice of termination shall not operate to modify, bar, or discharge the party sending as to Bonds and Bond commitments that may have been theretofore issued and/or executed nor shall the notice of termination affect the obligations of any other party to this Agreement.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BONDS FOR OTHER ENTITIES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TWENTIETH: Contractors and Indemnitors hereby agree that their obligations under this Agreement shall apply to any Bonds the Surety executes on behalf of any Subsidiaries or Affiliates of Contractors or Indemnitors, and if requested in writing by GREAT LAKES DREDGE &amp; DOCK CORPORATION or GREAT LAKES DREDGE &amp; DOCK COMPANY, LLC, any other legal entities in which any Contractor or Indemnitor has an ownership interest including, but not limited to, any corporations, partnerships, limited liability companies (LLC) and joint ventures, whether acting alone or in joint venture with others not named in this Agreement. In addition, the Contractors and Indemnitors agree that their obligations under this Agreement shall apply to any Bonds the Surety issues on behalf of any entity upon the written request of GREAT LAKES DREDGE &amp; DOCK CORPORATION or GREAT LAKES DREDGE &amp; DOCK COMPANY, LLC.</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TWENTY-FIRST: NO ORAL MODIFICATION: This Agreement may not be changed or modified orally. No change or modification shall be effective unless made by written endorsement executed to form a part hereof. TWENTY-SECOND: PLACE SURETY IN FUNDS: Should an Event of Default occur, or upon determination by Surety, in its sole and absolute discretion, that potential liability exists under any Bond (regardless of whether liability has been established or whether Surety, Contractors or Indemnitors may have defenses to all or any portion of any claim asserted under any Bond), Contractors and Indemnitors shall, upon demand, deposit with Surety cash or other collateral acceptable to Surety in an amount determined by Surety, in its sole discretion, to be sufficient to discharge any claim made against or potential liability of Surety on any Bond or Bonds or under this Agreement. Surety shall not be required to post a reserve prior to or as a condition of Contractors and Indemnitors’ obligation to deposit collateral. This sum may be used by Surety to pay such claim or be held by Surety as collateral against any loss on any Bond or Bonds or under this Agreement. Any remaining sums deposited with Surety after payment of any and all sums due to Surety under this Agreement or otherwise shall be returned to Contractors and Indemnitors upon the complete release and/or discharge of Surety’s obligations and liability under all Bonds. The Surety’s demand for collateral shall be sufficient if sent by registered or certified mail, by facsimile transmission, or by personal service to Contractors and Indemnitors at the addresses stated herein, or at the address last known to the Surety, regardless of whether actually received. The failure to deposit collateral with the Surety, immediately upon demand, shall cause irreparable harm to the Surety for which the Surety has no adequate remedy at law. Contractors and Indemnitors agree that the Surety shall be entitled to injunctive relief for specific performance of the obligation to deposit with the Surety the sum demanded as collateral and waive any claims or defenses to the contrary.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Page 5 of 10</w:t>
      </w:r>
    </w:p>
    <w:p>
      <w:pPr>
        <w:sectPr>
          <w:pgSz w:w="11900" w:h="16838" w:orient="portrait"/>
          <w:cols w:equalWidth="0" w:num="1">
            <w:col w:w="11420"/>
          </w:cols>
          <w:pgMar w:left="240" w:top="270" w:right="239" w:bottom="1440" w:gutter="0" w:footer="0" w:header="0"/>
        </w:sectPr>
      </w:pPr>
    </w:p>
    <w:bookmarkStart w:id="69" w:name="page70"/>
    <w:bookmarkEnd w:id="69"/>
    <w:p>
      <w:pPr>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TWENTY-THIRD: Change in Control or Condition: In the event any Change in Control and/or Change in Condition (both as defined in this paragraph) of any Contractor or Indemnitor occurs without the prior written consent of the Surety, then Contractors and Indemnitors will be deemed to be in default under the terms of this Agreement and the Surety will have the right to exercise all of its rights and remedies under this Agreement, at law, or in equity.</w:t>
      </w:r>
    </w:p>
    <w:p>
      <w:pPr>
        <w:spacing w:after="0" w:line="14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TWENTY-FOURTH: Joint and Several. The agreements and covenants herein contained shall be binding upon the undersigned, both jointly and severally, and upon their successors and assigns jointly and severally (including successors by way of merger, acquisition or similar event).</w:t>
      </w:r>
    </w:p>
    <w:p>
      <w:pPr>
        <w:spacing w:after="0" w:line="14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TWENTY-FIFTH: Contractors and Indemnitors release, discharge, and waive any and all claims, demands or causes of action arising from or relating to Surety’s exercise of its rights and remedies pursuant to this Agreement. If Surety demands that Indemnitors perform any obligation under this Agreement including, but not limited to, Contractors’ and/or Indemnitors’ obligation to indemnify or reimburse Surety, to deposit collateral with Surety or to obtain the discharge of Surety under any Bond or Bonds, Contractors’ and Indemnitors’ sole remedy against Surety shall be limited to and capped at the return of any payments made or collateral deposited with Surety pursuant to Surety’s request or demands. Contractors and Indemnitors expressly waive any claim against Surety for consequential damages, extra-contractual damages and/or attorneys’ fees.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TWENTY-SIXTH: This Agreement may be executed in any number of counterparts with separate signature pages, all of which taken together shall constitute the Agreement, and any of the parties hereto may execute this Agreement by signing any such counterpart. This Agreement shall be effective as to each Contractor and Indemnitor when each Contractor and/or Indemnitor has executed it. Contractors and Indemnitors hereby acknowledge that the failure of any one of them to execute this Agreement shall not in any way affect the validity or enforceability of this Agreement as to those Contractors and Indemnitors who have executed the Agreement.</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TWENTY-SEVENTH: Applicable Law. The terms and conditions of this Agreement shall be construed under the laws of New York without regard to its conflicts of laws principles.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When the following terms are used in this General Agreement of Indemnity (this “Agreement”) they shall have the following meanings:</w:t>
      </w:r>
    </w:p>
    <w:p>
      <w:pPr>
        <w:spacing w:after="0" w:line="22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Person, any other Person or group acting in concert with such Person that, directly or indirectly,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intermediaries, controls, or is controlled by, or is under the common control with such Person. For purposes of this definition, “control” (including, with correlative meanings, the terms “controlled by” and “under common control with”), as used with respect to any Person or group of Persons, shall mean the possession, directly or indirectly, of the power to direct or cause the direction of management and policies of such Person, whether through the ownership of voting securities or by contract or otherwise.</w:t>
      </w:r>
    </w:p>
    <w:p>
      <w:pPr>
        <w:spacing w:after="0" w:line="184" w:lineRule="exact"/>
        <w:rPr>
          <w:sz w:val="20"/>
          <w:szCs w:val="20"/>
          <w:color w:val="auto"/>
        </w:rPr>
      </w:pPr>
    </w:p>
    <w:p>
      <w:pPr>
        <w:ind w:right="360"/>
        <w:spacing w:after="0" w:line="314" w:lineRule="auto"/>
        <w:rPr>
          <w:sz w:val="20"/>
          <w:szCs w:val="20"/>
          <w:color w:val="auto"/>
        </w:rPr>
      </w:pPr>
      <w:r>
        <w:rPr>
          <w:rFonts w:ascii="Arial" w:cs="Arial" w:eastAsia="Arial" w:hAnsi="Arial"/>
          <w:sz w:val="16"/>
          <w:szCs w:val="16"/>
          <w:b w:val="1"/>
          <w:bCs w:val="1"/>
          <w:color w:val="auto"/>
        </w:rPr>
        <w:t xml:space="preserve">“Bond” </w:t>
      </w:r>
      <w:r>
        <w:rPr>
          <w:rFonts w:ascii="Arial" w:cs="Arial" w:eastAsia="Arial" w:hAnsi="Arial"/>
          <w:sz w:val="16"/>
          <w:szCs w:val="16"/>
          <w:color w:val="auto"/>
        </w:rPr>
        <w:t>means a bond, undertaking, and/or obligation of suretyship or guarantee issued by Surety (whether as sole surety or as co-surety or reinsurer)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any Contractor or issued at the request of GREAT LAKES DREDGE &amp; DOCK CORPORATION or GREAT LAKES DREDGE &amp; DOCK COMPANY, LLC. in accordance with the terms of this Agreement, whether issued prior to or after the execution of this Agreement.</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the occurrence of any of the following without the Surety’s prior written consent: (a) the sale, lease, transfer, conveyance,</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consolidation or other disposition (“transaction”) (whether one transaction or a series of transactions with any person, entity or group) of all or substantially all of the assets of any Contractor or Indemnitor; (b) the consummation of any transaction (whether one transaction or a series of transactions) the result of which is that any Person becomes the beneficial owner, directly or indirectly, of fifty (50%) percent or more of the voting stock of any Contractor or Indemnitor (measured by voting power rather than number of shares); (c) the acquisition (in one transaction or a series of transactions) by any Contractor or Indemnitor, directly or indirectly, of fifty (50%) percent or more of the beneficial ownership or control in any joint venture, subsidiary, division, affiliate, limited partnership, limited liability partnership, limited liability company or other entity through the issuance of ten (10%) percent or more of the voting power of the total outstanding voting</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Page 6 of 10</w:t>
      </w:r>
    </w:p>
    <w:p>
      <w:pPr>
        <w:sectPr>
          <w:pgSz w:w="11900" w:h="16838" w:orient="portrait"/>
          <w:cols w:equalWidth="0" w:num="1">
            <w:col w:w="11400"/>
          </w:cols>
          <w:pgMar w:left="240" w:top="274" w:right="259" w:bottom="1440" w:gutter="0" w:footer="0" w:header="0"/>
        </w:sectPr>
      </w:pPr>
    </w:p>
    <w:bookmarkStart w:id="70" w:name="page71"/>
    <w:bookmarkEnd w:id="7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of any Contractor or Indemnitor; (d) the adoption of a plan relating to the liquidation or dissolution of any Contractor or Indemnitor or (e) any financial institution, lender, or creditor taking any foreclosure action with respect to any stock or other equity interest in any Contractor or Indemnitor, including but not limited to issuing any notice of or intent to foreclose or otherwise exercising any rights that such Person may have to vote, sell, or otherwise exercise any rights with respect to stock or other equity interest in any Contractor or Indemnitor.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“Change in Condition” </w:t>
      </w:r>
      <w:r>
        <w:rPr>
          <w:rFonts w:ascii="Arial" w:cs="Arial" w:eastAsia="Arial" w:hAnsi="Arial"/>
          <w:sz w:val="16"/>
          <w:szCs w:val="16"/>
          <w:color w:val="auto"/>
        </w:rPr>
        <w:t>means any change in the condition (financial or otherwise) of any Contractor or Indemnitor that, in the opinion of Surety, could have</w:t>
      </w:r>
    </w:p>
    <w:p>
      <w:pPr>
        <w:spacing w:after="0" w:line="50" w:lineRule="exact"/>
        <w:rPr>
          <w:sz w:val="20"/>
          <w:szCs w:val="20"/>
          <w:color w:val="auto"/>
        </w:rPr>
      </w:pPr>
    </w:p>
    <w:p>
      <w:pPr>
        <w:ind w:right="100" w:firstLine="8"/>
        <w:spacing w:after="0" w:line="270" w:lineRule="auto"/>
        <w:tabs>
          <w:tab w:leader="none" w:pos="24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material adverse effect upon the validity, performance, or enforceability of any provisions of this Agreement or any of the transactions contemplated hereby, without the Surety’s prior written consent; (b) a material adverse effect upon the properties, business, prospects, or condition (financial or otherwise) of any Contractor or Indemnitor, which will include but not be limited to (i) the issuance of a “going concern opinion” by the accountants of such Contractor or Indemnitor or (ii) the occurrence of a financial covenant default which occurs under any document relating to financial indebtedness to which any Contractor or Indemnitor is a party, which default is not timely cured in accordance with the terms of that facility; or (c) a material adverse effect upon the ability of any Contractor or Indemnitor to fulfill any obligation under this Agreement or any of the Bonds.</w:t>
      </w:r>
    </w:p>
    <w:p>
      <w:pPr>
        <w:spacing w:after="0" w:line="175"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“Equipment Utilization Agreement” </w:t>
      </w:r>
      <w:r>
        <w:rPr>
          <w:rFonts w:ascii="Arial" w:cs="Arial" w:eastAsia="Arial" w:hAnsi="Arial"/>
          <w:sz w:val="16"/>
          <w:szCs w:val="16"/>
          <w:color w:val="auto"/>
        </w:rPr>
        <w:t>means the Equipment Utilization Agreement dated September 7, 2011, by and among the Surety, the Indemnitors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Bank of America, N.A., as Administrative Agent, as the same may be amended, restated, supplemented, modified or replaced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w:t>
      </w:r>
    </w:p>
    <w:p>
      <w:pPr>
        <w:spacing w:after="0" w:line="121" w:lineRule="exact"/>
        <w:rPr>
          <w:sz w:val="20"/>
          <w:szCs w:val="20"/>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abandonment, forfeiture, termination, default or breach of any contracts referred to in the Bonds or any breach of any Bond;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by Surety of any claim under any Bond or declaration of default under any Bond;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Surety’s establishment of a reserve;</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breach of the provisions of this Agreement or of the Equipment Utilization Agreement;</w:t>
      </w:r>
    </w:p>
    <w:p>
      <w:pPr>
        <w:spacing w:after="0" w:line="117" w:lineRule="exact"/>
        <w:rPr>
          <w:rFonts w:ascii="Arial" w:cs="Arial" w:eastAsia="Arial" w:hAnsi="Arial"/>
          <w:sz w:val="18"/>
          <w:szCs w:val="18"/>
          <w:color w:val="auto"/>
        </w:rPr>
      </w:pPr>
    </w:p>
    <w:p>
      <w:pPr>
        <w:ind w:left="460" w:firstLine="4"/>
        <w:spacing w:after="0" w:line="342" w:lineRule="auto"/>
        <w:tabs>
          <w:tab w:leader="none" w:pos="71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occurrence of any event of default, however described, which occurs under any document relating to financial indebtedness of any Contractor or Indemnitor, in consequence of which that financial indebtedness is or becomes capable of being rendered prematurely due and payable;</w:t>
      </w:r>
    </w:p>
    <w:p>
      <w:pPr>
        <w:spacing w:after="0" w:line="15" w:lineRule="exact"/>
        <w:rPr>
          <w:rFonts w:ascii="Arial" w:cs="Arial" w:eastAsia="Arial" w:hAnsi="Arial"/>
          <w:sz w:val="16"/>
          <w:szCs w:val="16"/>
          <w:color w:val="auto"/>
        </w:rPr>
      </w:pPr>
    </w:p>
    <w:p>
      <w:pPr>
        <w:ind w:left="460" w:right="380" w:firstLine="4"/>
        <w:spacing w:after="0" w:line="277"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assignment by any Contractor or Indemnitor for the benefit of creditors, or the appointment, or of any application for the appointment, of a receiver or trustee for any Contractor or Indemnitor, whether insolvent or not;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Contractor or Indemnitor becoming a debtor in any bankruptcy proceeding (whether voluntarily or involuntarily);</w:t>
      </w:r>
    </w:p>
    <w:p>
      <w:pPr>
        <w:spacing w:after="0" w:line="117" w:lineRule="exact"/>
        <w:rPr>
          <w:rFonts w:ascii="Arial" w:cs="Arial" w:eastAsia="Arial" w:hAnsi="Arial"/>
          <w:sz w:val="18"/>
          <w:szCs w:val="18"/>
          <w:color w:val="auto"/>
        </w:rPr>
      </w:pPr>
    </w:p>
    <w:p>
      <w:pPr>
        <w:ind w:left="460" w:right="120" w:firstLine="4"/>
        <w:spacing w:after="0" w:line="277" w:lineRule="auto"/>
        <w:tabs>
          <w:tab w:leader="none" w:pos="7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proceeding which deprives any Contractor or Indemnitor and/or Surety of the use of any collateral provided to Surety under this Agreement or of the use of any equipment provided to Surety under the Equipment Utilization Agreement;</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Change in Control or a Change in Condition of any Contractor or Indemnitor.</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means all premiums due to Surety and any and all liability, loss, costs, damages, attorneys’ fees and expenses, of whatever kind or nature, whenever</w:t>
      </w:r>
      <w:r>
        <w:rPr>
          <w:rFonts w:ascii="Arial" w:cs="Arial" w:eastAsia="Arial" w:hAnsi="Arial"/>
          <w:sz w:val="16"/>
          <w:szCs w:val="16"/>
          <w:b w:val="1"/>
          <w:bCs w:val="1"/>
          <w:color w:val="auto"/>
        </w:rPr>
        <w:t xml:space="preserve"> </w:t>
      </w:r>
      <w:r>
        <w:rPr>
          <w:rFonts w:ascii="Arial" w:cs="Arial" w:eastAsia="Arial" w:hAnsi="Arial"/>
          <w:sz w:val="16"/>
          <w:szCs w:val="16"/>
          <w:color w:val="auto"/>
        </w:rPr>
        <w:t>sustained or incurred by Surety by reason, or in consequence of its executing or procuring the execution of any Bond (including any claim for additional or extra-contractual damages arising from Surety’s investigation, payment or denial of any claim under any Bond), in making any investigation in relation to any Bond, in defending or prosecuting any action, suit or other proceeding which may be brought in connection with any Bond, in enforcing any of the terms of this Agreement or the Equipment Utilization Agreement, and in obtaining a release from liability under any Bond. Loss includes but is not limited to all amounts paid by Surety for (i) liability, loss, costs, damages, reasonable attorneys’ fees and amounts paid in the investigation, adjustment, settlement or compromise of any Claim or any lawsuits, arbitrations, judgments and/or decisions on those Claims; (ii) court, mediation or arbitration fees, costs and expenses; (iii) interest; (iv) consulting and expert fees, and (v) any other liability, loss, cost or expense which Surety may sustain or incur.</w:t>
      </w:r>
    </w:p>
    <w:p>
      <w:pPr>
        <w:spacing w:after="0" w:line="16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 entity of which a Person has direct or indirect control or owns directly or indirectly more than fifty (50) per cent of the voting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or similar rights of ownership</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Page 7 of 10</w:t>
      </w:r>
    </w:p>
    <w:p>
      <w:pPr>
        <w:sectPr>
          <w:pgSz w:w="11900" w:h="16838" w:orient="portrait"/>
          <w:cols w:equalWidth="0" w:num="1">
            <w:col w:w="11400"/>
          </w:cols>
          <w:pgMar w:left="240" w:top="274"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INDEMNITOR IS A CORPORATION, LIMITED LIABLITY COMPANY OR PARTNERSHIP, SIGN BELOW: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Instructions:</w:t>
      </w:r>
    </w:p>
    <w:p>
      <w:pPr>
        <w:spacing w:after="0" w:line="131" w:lineRule="exact"/>
        <w:rPr>
          <w:sz w:val="20"/>
          <w:szCs w:val="20"/>
          <w:color w:val="auto"/>
        </w:rPr>
      </w:pPr>
    </w:p>
    <w:p>
      <w:pPr>
        <w:ind w:left="460" w:right="24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entity is: 1) a corporation, the secretary and an authorized officer should sign on behalf of the corporation, 2) a limited liability company, the manager(s) or member(s) should sign on behalf of the LLC, 3) a partnership, the partner(s) should sign on behalf of the partnership, or 4) a trust, all trustees should sign.</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Please provide the entity’s federal tax identification number on the line provided.</w:t>
      </w:r>
    </w:p>
    <w:p>
      <w:pPr>
        <w:spacing w:after="0" w:line="126"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 xml:space="preserve">Two signatures are required for all entities </w:t>
      </w:r>
      <w:r>
        <w:rPr>
          <w:rFonts w:ascii="Arial" w:cs="Arial" w:eastAsia="Arial" w:hAnsi="Arial"/>
          <w:sz w:val="18"/>
          <w:szCs w:val="18"/>
          <w:color w:val="auto"/>
        </w:rPr>
        <w:t>and</w:t>
      </w:r>
      <w:r>
        <w:rPr>
          <w:rFonts w:ascii="Arial" w:cs="Arial" w:eastAsia="Arial" w:hAnsi="Arial"/>
          <w:sz w:val="18"/>
          <w:szCs w:val="18"/>
          <w:b w:val="1"/>
          <w:bCs w:val="1"/>
          <w:color w:val="auto"/>
        </w:rPr>
        <w:t xml:space="preserve"> all signatures must be notarized and dated</w:t>
      </w:r>
      <w:r>
        <w:rPr>
          <w:rFonts w:ascii="Arial" w:cs="Arial" w:eastAsia="Arial" w:hAnsi="Arial"/>
          <w:sz w:val="18"/>
          <w:szCs w:val="18"/>
          <w:color w:val="auto"/>
        </w:rPr>
        <w: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Each of the undersigned hereby affirms to the Surety as follows: I am a duly authorized official of the business entity Indemnitor on whose behalf I am executing this Agreement. In such capacity I am familiar with all of the documents which set forth and establish the rights which govern the affairs, power and authority of such business entity including, to the extent applicable, the certificate or articles of incorporation, bylaws, corporate resolutions and/or partnership, operating or limited liability agreements of such business entity. Having reviewed all such applicable documents and instruments and such other facts as deemed appropriate, I hereby affirm that such entity has the power and authority to enter into this Agreement and that the individuals executing this Agreement on behalf of such entity are duly authorized to do so.</w:t>
      </w:r>
    </w:p>
    <w:p>
      <w:pPr>
        <w:sectPr>
          <w:pgSz w:w="11900" w:h="16838" w:orient="portrait"/>
          <w:cols w:equalWidth="0" w:num="1">
            <w:col w:w="11340"/>
          </w:cols>
          <w:pgMar w:left="240" w:top="270" w:right="31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April 7,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Great Lakes Dredge &amp; Dock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Indemnitor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Authorized Official</w:t>
            </w:r>
          </w:p>
        </w:tc>
        <w:tc>
          <w:tcPr>
            <w:tcW w:w="1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Seal</w:t>
            </w:r>
          </w:p>
        </w:tc>
      </w:tr>
      <w:tr>
        <w:trPr>
          <w:trHeight w:val="425"/>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Mark W. Marinko, Senior VP &amp; CFO</w:t>
            </w:r>
          </w:p>
        </w:tc>
        <w:tc>
          <w:tcPr>
            <w:tcW w:w="1920" w:type="dxa"/>
            <w:vAlign w:val="bottom"/>
            <w:tcBorders>
              <w:bottom w:val="single" w:sz="8" w:color="auto"/>
            </w:tcBorders>
          </w:tcPr>
          <w:p>
            <w:pPr>
              <w:spacing w:after="0"/>
              <w:rPr>
                <w:sz w:val="24"/>
                <w:szCs w:val="24"/>
                <w:color w:val="auto"/>
              </w:rPr>
            </w:pPr>
          </w:p>
        </w:tc>
      </w:tr>
      <w:tr>
        <w:trPr>
          <w:trHeight w:val="224"/>
        </w:trPr>
        <w:tc>
          <w:tcPr>
            <w:tcW w:w="3460" w:type="dxa"/>
            <w:vAlign w:val="bottom"/>
            <w:gridSpan w:val="2"/>
          </w:tcPr>
          <w:p>
            <w:pPr>
              <w:spacing w:after="0"/>
              <w:rPr>
                <w:sz w:val="20"/>
                <w:szCs w:val="20"/>
                <w:color w:val="auto"/>
              </w:rPr>
            </w:pPr>
            <w:r>
              <w:rPr>
                <w:rFonts w:ascii="Arial" w:cs="Arial" w:eastAsia="Arial" w:hAnsi="Arial"/>
                <w:sz w:val="18"/>
                <w:szCs w:val="18"/>
                <w:color w:val="auto"/>
              </w:rPr>
              <w:t>Print or Type Name and Title</w:t>
            </w:r>
          </w:p>
        </w:tc>
        <w:tc>
          <w:tcPr>
            <w:tcW w:w="1920" w:type="dxa"/>
            <w:vAlign w:val="bottom"/>
          </w:tcPr>
          <w:p>
            <w:pPr>
              <w:spacing w:after="0"/>
              <w:rPr>
                <w:sz w:val="19"/>
                <w:szCs w:val="19"/>
                <w:color w:val="auto"/>
              </w:rPr>
            </w:pPr>
          </w:p>
        </w:tc>
      </w:tr>
      <w:tr>
        <w:trPr>
          <w:trHeight w:val="417"/>
        </w:trPr>
        <w:tc>
          <w:tcPr>
            <w:tcW w:w="346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19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STATE OF</w:t>
            </w:r>
          </w:p>
        </w:tc>
        <w:tc>
          <w:tcPr>
            <w:tcW w:w="2300" w:type="dxa"/>
            <w:vAlign w:val="bottom"/>
          </w:tcPr>
          <w:p>
            <w:pPr>
              <w:ind w:left="360"/>
              <w:spacing w:after="0"/>
              <w:rPr>
                <w:sz w:val="20"/>
                <w:szCs w:val="20"/>
                <w:color w:val="auto"/>
              </w:rPr>
            </w:pPr>
            <w:r>
              <w:rPr>
                <w:rFonts w:ascii="Arial" w:cs="Arial" w:eastAsia="Arial" w:hAnsi="Arial"/>
                <w:sz w:val="18"/>
                <w:szCs w:val="18"/>
                <w:color w:val="auto"/>
              </w:rPr>
              <w:t>County of</w:t>
            </w:r>
          </w:p>
        </w:tc>
        <w:tc>
          <w:tcPr>
            <w:tcW w:w="1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20-5336063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Tax ID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Katherine M. O’Halloran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Signature of Authorized Official</w:t>
      </w:r>
      <w:r>
        <w:rPr>
          <w:sz w:val="20"/>
          <w:szCs w:val="20"/>
          <w:color w:val="auto"/>
        </w:rPr>
        <w:tab/>
      </w:r>
      <w:r>
        <w:rPr>
          <w:rFonts w:ascii="Arial" w:cs="Arial" w:eastAsia="Arial" w:hAnsi="Arial"/>
          <w:sz w:val="15"/>
          <w:szCs w:val="15"/>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Katherine M. O’Halloran,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Name and Title</w:t>
      </w:r>
    </w:p>
    <w:p>
      <w:pPr>
        <w:spacing w:after="0" w:line="871" w:lineRule="exact"/>
        <w:rPr>
          <w:sz w:val="20"/>
          <w:szCs w:val="20"/>
          <w:color w:val="auto"/>
        </w:rPr>
      </w:pPr>
    </w:p>
    <w:p>
      <w:pPr>
        <w:sectPr>
          <w:pgSz w:w="11900" w:h="16838" w:orient="portrait"/>
          <w:cols w:equalWidth="0" w:num="2">
            <w:col w:w="5380" w:space="680"/>
            <w:col w:w="5280"/>
          </w:cols>
          <w:pgMar w:left="240" w:top="270" w:right="319" w:bottom="1440" w:gutter="0" w:footer="0" w:header="0"/>
          <w:type w:val="continuous"/>
        </w:sectPr>
      </w:pP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w:t>
      </w:r>
      <w:r>
        <w:rPr>
          <w:rFonts w:ascii="Arial" w:cs="Arial" w:eastAsia="Arial" w:hAnsi="Arial"/>
          <w:sz w:val="18"/>
          <w:szCs w:val="18"/>
          <w:color w:val="auto"/>
        </w:rPr>
        <w:t>, 20</w:t>
      </w:r>
      <w:r>
        <w:rPr>
          <w:rFonts w:ascii="Arial" w:cs="Arial" w:eastAsia="Arial" w:hAnsi="Arial"/>
          <w:sz w:val="18"/>
          <w:szCs w:val="18"/>
          <w:u w:val="single" w:color="auto"/>
          <w:color w:val="auto"/>
        </w:rPr>
        <w:t>15</w:t>
      </w:r>
      <w:r>
        <w:rPr>
          <w:rFonts w:ascii="Arial" w:cs="Arial" w:eastAsia="Arial" w:hAnsi="Arial"/>
          <w:sz w:val="18"/>
          <w:szCs w:val="18"/>
          <w:color w:val="auto"/>
        </w:rPr>
        <w:t xml:space="preserve">, before me personally appeared </w:t>
      </w:r>
      <w:r>
        <w:rPr>
          <w:rFonts w:ascii="Arial" w:cs="Arial" w:eastAsia="Arial" w:hAnsi="Arial"/>
          <w:sz w:val="18"/>
          <w:szCs w:val="18"/>
          <w:u w:val="single" w:color="auto"/>
          <w:color w:val="auto"/>
        </w:rPr>
        <w:t>Mark W. Marinko</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Senior VP &amp; CFO</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u w:val="single" w:color="auto"/>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Treasurer</w:t>
      </w:r>
      <w:r>
        <w:rPr>
          <w:rFonts w:ascii="Arial" w:cs="Arial" w:eastAsia="Arial" w:hAnsi="Arial"/>
          <w:sz w:val="18"/>
          <w:szCs w:val="18"/>
          <w:color w:val="auto"/>
        </w:rPr>
        <w:t xml:space="preserve"> of the Entity, and they acknowledged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ectPr>
          <w:pgSz w:w="11900" w:h="16838" w:orient="portrait"/>
          <w:cols w:equalWidth="0" w:num="1">
            <w:col w:w="11340"/>
          </w:cols>
          <w:pgMar w:left="240" w:top="27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140"/>
        <w:spacing w:after="0" w:line="309" w:lineRule="auto"/>
        <w:rPr>
          <w:sz w:val="20"/>
          <w:szCs w:val="20"/>
          <w:color w:val="auto"/>
        </w:rPr>
      </w:pPr>
      <w:r>
        <w:rPr>
          <w:rFonts w:ascii="Arial" w:cs="Arial" w:eastAsia="Arial" w:hAnsi="Arial"/>
          <w:sz w:val="18"/>
          <w:szCs w:val="18"/>
          <w:color w:val="auto"/>
        </w:rPr>
        <w:t>Great Lakes Dredge &amp; Dock Company, LLC Indemnitor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3413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Authorized Official</w:t>
            </w:r>
          </w:p>
        </w:tc>
        <w:tc>
          <w:tcPr>
            <w:tcW w:w="192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Seal</w:t>
            </w:r>
          </w:p>
        </w:tc>
      </w:tr>
      <w:tr>
        <w:trPr>
          <w:trHeight w:val="425"/>
        </w:trPr>
        <w:tc>
          <w:tcPr>
            <w:tcW w:w="3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Mark W. Marinko, Senior VP &amp; CFO</w:t>
            </w:r>
          </w:p>
        </w:tc>
        <w:tc>
          <w:tcPr>
            <w:tcW w:w="1920" w:type="dxa"/>
            <w:vAlign w:val="bottom"/>
            <w:tcBorders>
              <w:bottom w:val="single" w:sz="8" w:color="auto"/>
            </w:tcBorders>
          </w:tcPr>
          <w:p>
            <w:pPr>
              <w:spacing w:after="0"/>
              <w:rPr>
                <w:sz w:val="24"/>
                <w:szCs w:val="24"/>
                <w:color w:val="auto"/>
              </w:rPr>
            </w:pPr>
          </w:p>
        </w:tc>
      </w:tr>
      <w:tr>
        <w:trPr>
          <w:trHeight w:val="224"/>
        </w:trPr>
        <w:tc>
          <w:tcPr>
            <w:tcW w:w="3460" w:type="dxa"/>
            <w:vAlign w:val="bottom"/>
            <w:gridSpan w:val="2"/>
          </w:tcPr>
          <w:p>
            <w:pPr>
              <w:spacing w:after="0"/>
              <w:rPr>
                <w:sz w:val="20"/>
                <w:szCs w:val="20"/>
                <w:color w:val="auto"/>
              </w:rPr>
            </w:pPr>
            <w:r>
              <w:rPr>
                <w:rFonts w:ascii="Arial" w:cs="Arial" w:eastAsia="Arial" w:hAnsi="Arial"/>
                <w:sz w:val="18"/>
                <w:szCs w:val="18"/>
                <w:color w:val="auto"/>
              </w:rPr>
              <w:t>Print or Type Name and Title</w:t>
            </w:r>
          </w:p>
        </w:tc>
        <w:tc>
          <w:tcPr>
            <w:tcW w:w="1920" w:type="dxa"/>
            <w:vAlign w:val="bottom"/>
          </w:tcPr>
          <w:p>
            <w:pPr>
              <w:spacing w:after="0"/>
              <w:rPr>
                <w:sz w:val="19"/>
                <w:szCs w:val="19"/>
                <w:color w:val="auto"/>
              </w:rPr>
            </w:pPr>
          </w:p>
        </w:tc>
      </w:tr>
      <w:tr>
        <w:trPr>
          <w:trHeight w:val="417"/>
        </w:trPr>
        <w:tc>
          <w:tcPr>
            <w:tcW w:w="346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19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STATE OF</w:t>
            </w:r>
          </w:p>
        </w:tc>
        <w:tc>
          <w:tcPr>
            <w:tcW w:w="2300" w:type="dxa"/>
            <w:vAlign w:val="bottom"/>
          </w:tcPr>
          <w:p>
            <w:pPr>
              <w:ind w:left="360"/>
              <w:spacing w:after="0"/>
              <w:rPr>
                <w:sz w:val="20"/>
                <w:szCs w:val="20"/>
                <w:color w:val="auto"/>
              </w:rPr>
            </w:pPr>
            <w:r>
              <w:rPr>
                <w:rFonts w:ascii="Arial" w:cs="Arial" w:eastAsia="Arial" w:hAnsi="Arial"/>
                <w:sz w:val="18"/>
                <w:szCs w:val="18"/>
                <w:color w:val="auto"/>
              </w:rPr>
              <w:t>County of</w:t>
            </w:r>
          </w:p>
        </w:tc>
        <w:tc>
          <w:tcPr>
            <w:tcW w:w="19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Susan 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right="2160"/>
        <w:spacing w:after="0" w:line="308" w:lineRule="auto"/>
        <w:rPr>
          <w:sz w:val="20"/>
          <w:szCs w:val="20"/>
          <w:color w:val="auto"/>
        </w:rPr>
      </w:pPr>
      <w:r>
        <w:rPr>
          <w:rFonts w:ascii="Arial" w:cs="Arial" w:eastAsia="Arial" w:hAnsi="Arial"/>
          <w:sz w:val="17"/>
          <w:szCs w:val="17"/>
          <w:color w:val="auto"/>
        </w:rPr>
        <w:t>Notary Public residing at. Willowbrook, III (Commission expires March 10,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20-1354414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Tax ID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Katherine M. O’Halloran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tabs>
          <w:tab w:leader="none" w:pos="4160" w:val="left"/>
        </w:tabs>
        <w:rPr>
          <w:sz w:val="20"/>
          <w:szCs w:val="20"/>
          <w:color w:val="auto"/>
        </w:rPr>
      </w:pPr>
      <w:r>
        <w:rPr>
          <w:rFonts w:ascii="Arial" w:cs="Arial" w:eastAsia="Arial" w:hAnsi="Arial"/>
          <w:sz w:val="18"/>
          <w:szCs w:val="18"/>
          <w:color w:val="auto"/>
        </w:rPr>
        <w:t>Signature of Authorized Official</w:t>
      </w:r>
      <w:r>
        <w:rPr>
          <w:sz w:val="20"/>
          <w:szCs w:val="20"/>
          <w:color w:val="auto"/>
        </w:rPr>
        <w:tab/>
      </w:r>
      <w:r>
        <w:rPr>
          <w:rFonts w:ascii="Arial" w:cs="Arial" w:eastAsia="Arial" w:hAnsi="Arial"/>
          <w:sz w:val="15"/>
          <w:szCs w:val="15"/>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Katherine M. O’Halloran,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Name and Title</w:t>
      </w:r>
    </w:p>
    <w:p>
      <w:pPr>
        <w:spacing w:after="0" w:line="871" w:lineRule="exact"/>
        <w:rPr>
          <w:sz w:val="20"/>
          <w:szCs w:val="20"/>
          <w:color w:val="auto"/>
        </w:rPr>
      </w:pPr>
    </w:p>
    <w:p>
      <w:pPr>
        <w:sectPr>
          <w:pgSz w:w="11900" w:h="16838" w:orient="portrait"/>
          <w:cols w:equalWidth="0" w:num="2">
            <w:col w:w="5380" w:space="680"/>
            <w:col w:w="5280"/>
          </w:cols>
          <w:pgMar w:left="240" w:top="270" w:right="319" w:bottom="1440" w:gutter="0" w:footer="0" w:header="0"/>
          <w:type w:val="continuous"/>
        </w:sectPr>
      </w:pP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w:t>
      </w:r>
      <w:r>
        <w:rPr>
          <w:rFonts w:ascii="Arial" w:cs="Arial" w:eastAsia="Arial" w:hAnsi="Arial"/>
          <w:sz w:val="18"/>
          <w:szCs w:val="18"/>
          <w:color w:val="auto"/>
        </w:rPr>
        <w:t>, 20</w:t>
      </w:r>
      <w:r>
        <w:rPr>
          <w:rFonts w:ascii="Arial" w:cs="Arial" w:eastAsia="Arial" w:hAnsi="Arial"/>
          <w:sz w:val="18"/>
          <w:szCs w:val="18"/>
          <w:u w:val="single" w:color="auto"/>
          <w:color w:val="auto"/>
        </w:rPr>
        <w:t>15</w:t>
      </w:r>
      <w:r>
        <w:rPr>
          <w:rFonts w:ascii="Arial" w:cs="Arial" w:eastAsia="Arial" w:hAnsi="Arial"/>
          <w:sz w:val="18"/>
          <w:szCs w:val="18"/>
          <w:color w:val="auto"/>
        </w:rPr>
        <w:t xml:space="preserve">, before me personally appeared </w:t>
      </w:r>
      <w:r>
        <w:rPr>
          <w:rFonts w:ascii="Arial" w:cs="Arial" w:eastAsia="Arial" w:hAnsi="Arial"/>
          <w:sz w:val="18"/>
          <w:szCs w:val="18"/>
          <w:u w:val="single" w:color="auto"/>
          <w:color w:val="auto"/>
        </w:rPr>
        <w:t>Mark W. Marinko</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Senior VP &amp; CFO</w:t>
      </w:r>
      <w:r>
        <w:rPr>
          <w:rFonts w:ascii="Arial" w:cs="Arial" w:eastAsia="Arial" w:hAnsi="Arial"/>
          <w:sz w:val="18"/>
          <w:szCs w:val="18"/>
          <w:color w:val="auto"/>
        </w:rPr>
        <w:t xml:space="preserve"> of the entity executing the foregoing instrument (“Entity”) </w:t>
      </w:r>
      <w:r>
        <w:rPr>
          <w:rFonts w:ascii="Arial" w:cs="Arial" w:eastAsia="Arial" w:hAnsi="Arial"/>
          <w:sz w:val="18"/>
          <w:szCs w:val="18"/>
          <w:u w:val="single" w:color="auto"/>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Treasurer</w:t>
      </w:r>
      <w:r>
        <w:rPr>
          <w:rFonts w:ascii="Arial" w:cs="Arial" w:eastAsia="Arial" w:hAnsi="Arial"/>
          <w:sz w:val="18"/>
          <w:szCs w:val="18"/>
          <w:color w:val="auto"/>
        </w:rPr>
        <w:t xml:space="preserve"> of the Entity, and they acknowledged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Susan 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Notary Public residing at. Willowbrook, III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(Commission expires March 10, 2017)</w:t>
      </w:r>
    </w:p>
    <w:p>
      <w:pPr>
        <w:sectPr>
          <w:pgSz w:w="11900" w:h="16838" w:orient="portrait"/>
          <w:cols w:equalWidth="0" w:num="1">
            <w:col w:w="11340"/>
          </w:cols>
          <w:pgMar w:left="240" w:top="270" w:right="319" w:bottom="1440" w:gutter="0" w:footer="0" w:header="0"/>
          <w:type w:val="continuous"/>
        </w:sectPr>
      </w:pP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i w:val="1"/>
          <w:iCs w:val="1"/>
          <w:color w:val="auto"/>
        </w:rPr>
        <w:t>Page 8 of 10</w:t>
      </w:r>
    </w:p>
    <w:p>
      <w:pPr>
        <w:sectPr>
          <w:pgSz w:w="11900" w:h="16838" w:orient="portrait"/>
          <w:cols w:equalWidth="0" w:num="1">
            <w:col w:w="11340"/>
          </w:cols>
          <w:pgMar w:left="240" w:top="270" w:right="319" w:bottom="1440" w:gutter="0" w:footer="0" w:header="0"/>
          <w:type w:val="continuous"/>
        </w:sectPr>
      </w:pPr>
    </w:p>
    <w:bookmarkStart w:id="72" w:name="page73"/>
    <w:bookmarkEnd w:id="72"/>
    <w:p>
      <w:pPr>
        <w:ind w:right="1020"/>
        <w:spacing w:after="0" w:line="309" w:lineRule="auto"/>
        <w:rPr>
          <w:sz w:val="20"/>
          <w:szCs w:val="20"/>
          <w:color w:val="auto"/>
        </w:rPr>
      </w:pPr>
      <w:r>
        <w:rPr>
          <w:rFonts w:ascii="Arial" w:cs="Arial" w:eastAsia="Arial" w:hAnsi="Arial"/>
          <w:sz w:val="18"/>
          <w:szCs w:val="18"/>
          <w:color w:val="auto"/>
        </w:rPr>
        <w:t>Great Lakes Environmental &amp; Infrastructure Solutions, LLC Indemnitor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34131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Authorized Official</w:t>
            </w:r>
          </w:p>
        </w:tc>
        <w:tc>
          <w:tcPr>
            <w:tcW w:w="190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Seal</w:t>
            </w:r>
          </w:p>
        </w:tc>
      </w:tr>
      <w:tr>
        <w:trPr>
          <w:trHeight w:val="425"/>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Mark W. Marinko, Senior VP &amp; CFO</w:t>
            </w:r>
          </w:p>
        </w:tc>
        <w:tc>
          <w:tcPr>
            <w:tcW w:w="1900" w:type="dxa"/>
            <w:vAlign w:val="bottom"/>
            <w:tcBorders>
              <w:bottom w:val="single" w:sz="8" w:color="auto"/>
            </w:tcBorders>
          </w:tcPr>
          <w:p>
            <w:pPr>
              <w:spacing w:after="0"/>
              <w:rPr>
                <w:sz w:val="24"/>
                <w:szCs w:val="24"/>
                <w:color w:val="auto"/>
              </w:rPr>
            </w:pPr>
          </w:p>
        </w:tc>
      </w:tr>
      <w:tr>
        <w:trPr>
          <w:trHeight w:val="224"/>
        </w:trPr>
        <w:tc>
          <w:tcPr>
            <w:tcW w:w="3480" w:type="dxa"/>
            <w:vAlign w:val="bottom"/>
            <w:gridSpan w:val="2"/>
          </w:tcPr>
          <w:p>
            <w:pPr>
              <w:spacing w:after="0"/>
              <w:rPr>
                <w:sz w:val="20"/>
                <w:szCs w:val="20"/>
                <w:color w:val="auto"/>
              </w:rPr>
            </w:pPr>
            <w:r>
              <w:rPr>
                <w:rFonts w:ascii="Arial" w:cs="Arial" w:eastAsia="Arial" w:hAnsi="Arial"/>
                <w:sz w:val="18"/>
                <w:szCs w:val="18"/>
                <w:color w:val="auto"/>
              </w:rPr>
              <w:t>Print or Type Name and Title</w:t>
            </w:r>
          </w:p>
        </w:tc>
        <w:tc>
          <w:tcPr>
            <w:tcW w:w="1900" w:type="dxa"/>
            <w:vAlign w:val="bottom"/>
          </w:tcPr>
          <w:p>
            <w:pPr>
              <w:spacing w:after="0"/>
              <w:rPr>
                <w:sz w:val="19"/>
                <w:szCs w:val="19"/>
                <w:color w:val="auto"/>
              </w:rPr>
            </w:pPr>
          </w:p>
        </w:tc>
      </w:tr>
      <w:tr>
        <w:trPr>
          <w:trHeight w:val="417"/>
        </w:trPr>
        <w:tc>
          <w:tcPr>
            <w:tcW w:w="348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190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STATE OF</w:t>
            </w:r>
          </w:p>
        </w:tc>
        <w:tc>
          <w:tcPr>
            <w:tcW w:w="2280" w:type="dxa"/>
            <w:vAlign w:val="bottom"/>
          </w:tcPr>
          <w:p>
            <w:pPr>
              <w:ind w:left="380"/>
              <w:spacing w:after="0"/>
              <w:rPr>
                <w:sz w:val="20"/>
                <w:szCs w:val="20"/>
                <w:color w:val="auto"/>
              </w:rPr>
            </w:pPr>
            <w:r>
              <w:rPr>
                <w:rFonts w:ascii="Arial" w:cs="Arial" w:eastAsia="Arial" w:hAnsi="Arial"/>
                <w:sz w:val="18"/>
                <w:szCs w:val="18"/>
                <w:color w:val="auto"/>
              </w:rPr>
              <w:t>County of</w:t>
            </w:r>
          </w:p>
        </w:tc>
        <w:tc>
          <w:tcPr>
            <w:tcW w:w="1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30-0845285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Tax ID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Katherine M. O’Halloran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Signature of Authorized Official</w:t>
      </w:r>
      <w:r>
        <w:rPr>
          <w:sz w:val="20"/>
          <w:szCs w:val="20"/>
          <w:color w:val="auto"/>
        </w:rPr>
        <w:tab/>
      </w:r>
      <w:r>
        <w:rPr>
          <w:rFonts w:ascii="Arial" w:cs="Arial" w:eastAsia="Arial" w:hAnsi="Arial"/>
          <w:sz w:val="15"/>
          <w:szCs w:val="15"/>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Katherine M. O’Halloran,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Name and Title</w:t>
      </w:r>
    </w:p>
    <w:p>
      <w:pPr>
        <w:spacing w:after="0" w:line="871" w:lineRule="exact"/>
        <w:rPr>
          <w:sz w:val="20"/>
          <w:szCs w:val="20"/>
          <w:color w:val="auto"/>
        </w:rPr>
      </w:pPr>
    </w:p>
    <w:p>
      <w:pPr>
        <w:sectPr>
          <w:pgSz w:w="11900" w:h="16838" w:orient="portrait"/>
          <w:cols w:equalWidth="0" w:num="2">
            <w:col w:w="5380" w:space="680"/>
            <w:col w:w="5300"/>
          </w:cols>
          <w:pgMar w:left="240" w:top="274" w:right="299" w:bottom="1440" w:gutter="0" w:footer="0" w:header="0"/>
        </w:sectPr>
      </w:pP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w:t>
      </w:r>
      <w:r>
        <w:rPr>
          <w:rFonts w:ascii="Arial" w:cs="Arial" w:eastAsia="Arial" w:hAnsi="Arial"/>
          <w:sz w:val="18"/>
          <w:szCs w:val="18"/>
          <w:color w:val="auto"/>
        </w:rPr>
        <w:t>, 20</w:t>
      </w:r>
      <w:r>
        <w:rPr>
          <w:rFonts w:ascii="Arial" w:cs="Arial" w:eastAsia="Arial" w:hAnsi="Arial"/>
          <w:sz w:val="18"/>
          <w:szCs w:val="18"/>
          <w:u w:val="single" w:color="auto"/>
          <w:color w:val="auto"/>
        </w:rPr>
        <w:t>15</w:t>
      </w:r>
      <w:r>
        <w:rPr>
          <w:rFonts w:ascii="Arial" w:cs="Arial" w:eastAsia="Arial" w:hAnsi="Arial"/>
          <w:sz w:val="18"/>
          <w:szCs w:val="18"/>
          <w:color w:val="auto"/>
        </w:rPr>
        <w:t xml:space="preserve">, before me personally appeared </w:t>
      </w:r>
      <w:r>
        <w:rPr>
          <w:rFonts w:ascii="Arial" w:cs="Arial" w:eastAsia="Arial" w:hAnsi="Arial"/>
          <w:sz w:val="18"/>
          <w:szCs w:val="18"/>
          <w:u w:val="single" w:color="auto"/>
          <w:color w:val="auto"/>
        </w:rPr>
        <w:t>Mark W. Marinko</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Senior VP &amp; CFO</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u w:val="single" w:color="auto"/>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Treasurer</w:t>
      </w:r>
      <w:r>
        <w:rPr>
          <w:rFonts w:ascii="Arial" w:cs="Arial" w:eastAsia="Arial" w:hAnsi="Arial"/>
          <w:sz w:val="18"/>
          <w:szCs w:val="18"/>
          <w:color w:val="auto"/>
        </w:rPr>
        <w:t xml:space="preserve"> of the Entity, and they acknowledged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ectPr>
          <w:pgSz w:w="11900" w:h="16838" w:orient="portrait"/>
          <w:cols w:equalWidth="0" w:num="1">
            <w:col w:w="11360"/>
          </w:cols>
          <w:pgMar w:left="240" w:top="27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Magus Pacific,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Indemnitor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Katherine M. O’Halloran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Authorized Official</w:t>
            </w:r>
          </w:p>
        </w:tc>
        <w:tc>
          <w:tcPr>
            <w:tcW w:w="16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Seal</w:t>
            </w:r>
          </w:p>
        </w:tc>
      </w:tr>
      <w:tr>
        <w:trPr>
          <w:trHeight w:val="425"/>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Katherine M. O’Halloran, Assistant Treasurer</w:t>
            </w:r>
          </w:p>
        </w:tc>
        <w:tc>
          <w:tcPr>
            <w:tcW w:w="1620" w:type="dxa"/>
            <w:vAlign w:val="bottom"/>
            <w:tcBorders>
              <w:bottom w:val="single" w:sz="8" w:color="auto"/>
            </w:tcBorders>
          </w:tcPr>
          <w:p>
            <w:pPr>
              <w:spacing w:after="0"/>
              <w:rPr>
                <w:sz w:val="24"/>
                <w:szCs w:val="24"/>
                <w:color w:val="auto"/>
              </w:rPr>
            </w:pPr>
          </w:p>
        </w:tc>
      </w:tr>
      <w:tr>
        <w:trPr>
          <w:trHeight w:val="224"/>
        </w:trPr>
        <w:tc>
          <w:tcPr>
            <w:tcW w:w="3760" w:type="dxa"/>
            <w:vAlign w:val="bottom"/>
            <w:gridSpan w:val="2"/>
          </w:tcPr>
          <w:p>
            <w:pPr>
              <w:spacing w:after="0"/>
              <w:rPr>
                <w:sz w:val="20"/>
                <w:szCs w:val="20"/>
                <w:color w:val="auto"/>
              </w:rPr>
            </w:pPr>
            <w:r>
              <w:rPr>
                <w:rFonts w:ascii="Arial" w:cs="Arial" w:eastAsia="Arial" w:hAnsi="Arial"/>
                <w:sz w:val="18"/>
                <w:szCs w:val="18"/>
                <w:color w:val="auto"/>
              </w:rPr>
              <w:t>Print or Type Name and Title</w:t>
            </w:r>
          </w:p>
        </w:tc>
        <w:tc>
          <w:tcPr>
            <w:tcW w:w="1620" w:type="dxa"/>
            <w:vAlign w:val="bottom"/>
          </w:tcPr>
          <w:p>
            <w:pPr>
              <w:spacing w:after="0"/>
              <w:rPr>
                <w:sz w:val="19"/>
                <w:szCs w:val="19"/>
                <w:color w:val="auto"/>
              </w:rPr>
            </w:pPr>
          </w:p>
        </w:tc>
      </w:tr>
      <w:tr>
        <w:trPr>
          <w:trHeight w:val="417"/>
        </w:trPr>
        <w:tc>
          <w:tcPr>
            <w:tcW w:w="376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162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STATE OF</w:t>
            </w:r>
          </w:p>
        </w:tc>
        <w:tc>
          <w:tcPr>
            <w:tcW w:w="2600" w:type="dxa"/>
            <w:vAlign w:val="bottom"/>
          </w:tcPr>
          <w:p>
            <w:pPr>
              <w:ind w:left="360"/>
              <w:spacing w:after="0"/>
              <w:rPr>
                <w:sz w:val="20"/>
                <w:szCs w:val="20"/>
                <w:color w:val="auto"/>
              </w:rPr>
            </w:pPr>
            <w:r>
              <w:rPr>
                <w:rFonts w:ascii="Arial" w:cs="Arial" w:eastAsia="Arial" w:hAnsi="Arial"/>
                <w:sz w:val="18"/>
                <w:szCs w:val="18"/>
                <w:color w:val="auto"/>
              </w:rPr>
              <w:t>County of</w:t>
            </w:r>
          </w:p>
        </w:tc>
        <w:tc>
          <w:tcPr>
            <w:tcW w:w="1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Susan 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right="2180"/>
        <w:spacing w:after="0" w:line="308" w:lineRule="auto"/>
        <w:rPr>
          <w:sz w:val="20"/>
          <w:szCs w:val="20"/>
          <w:color w:val="auto"/>
        </w:rPr>
      </w:pPr>
      <w:r>
        <w:rPr>
          <w:rFonts w:ascii="Arial" w:cs="Arial" w:eastAsia="Arial" w:hAnsi="Arial"/>
          <w:sz w:val="17"/>
          <w:szCs w:val="17"/>
          <w:color w:val="auto"/>
        </w:rPr>
        <w:t>Notary Public residing at. Willowbrook, III (Commission expires March 10,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26-3817615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Tax ID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Ellen Parker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Signature of Authorized Official</w:t>
      </w:r>
      <w:r>
        <w:rPr>
          <w:sz w:val="20"/>
          <w:szCs w:val="20"/>
          <w:color w:val="auto"/>
        </w:rPr>
        <w:tab/>
      </w:r>
      <w:r>
        <w:rPr>
          <w:rFonts w:ascii="Arial" w:cs="Arial" w:eastAsia="Arial" w:hAnsi="Arial"/>
          <w:sz w:val="16"/>
          <w:szCs w:val="16"/>
          <w:color w:val="auto"/>
        </w:rPr>
        <w:t>No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Ellen Parker Burke,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Name and Title</w:t>
      </w:r>
    </w:p>
    <w:p>
      <w:pPr>
        <w:spacing w:after="0" w:line="871" w:lineRule="exact"/>
        <w:rPr>
          <w:sz w:val="20"/>
          <w:szCs w:val="20"/>
          <w:color w:val="auto"/>
        </w:rPr>
      </w:pPr>
    </w:p>
    <w:p>
      <w:pPr>
        <w:sectPr>
          <w:pgSz w:w="11900" w:h="16838" w:orient="portrait"/>
          <w:cols w:equalWidth="0" w:num="2">
            <w:col w:w="5380" w:space="680"/>
            <w:col w:w="5300"/>
          </w:cols>
          <w:pgMar w:left="240" w:top="274" w:right="299" w:bottom="1440" w:gutter="0" w:footer="0" w:header="0"/>
          <w:type w:val="continuous"/>
        </w:sectPr>
      </w:pP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On this </w:t>
      </w:r>
      <w:r>
        <w:rPr>
          <w:rFonts w:ascii="Arial" w:cs="Arial" w:eastAsia="Arial" w:hAnsi="Arial"/>
          <w:sz w:val="17"/>
          <w:szCs w:val="17"/>
          <w:u w:val="single" w:color="auto"/>
          <w:color w:val="auto"/>
        </w:rPr>
        <w:t>7th</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April</w:t>
      </w:r>
      <w:r>
        <w:rPr>
          <w:rFonts w:ascii="Arial" w:cs="Arial" w:eastAsia="Arial" w:hAnsi="Arial"/>
          <w:sz w:val="17"/>
          <w:szCs w:val="17"/>
          <w:color w:val="auto"/>
        </w:rPr>
        <w:t>, 20</w:t>
      </w:r>
      <w:r>
        <w:rPr>
          <w:rFonts w:ascii="Arial" w:cs="Arial" w:eastAsia="Arial" w:hAnsi="Arial"/>
          <w:sz w:val="17"/>
          <w:szCs w:val="17"/>
          <w:u w:val="single" w:color="auto"/>
          <w:color w:val="auto"/>
        </w:rPr>
        <w:t>15</w:t>
      </w:r>
      <w:r>
        <w:rPr>
          <w:rFonts w:ascii="Arial" w:cs="Arial" w:eastAsia="Arial" w:hAnsi="Arial"/>
          <w:sz w:val="17"/>
          <w:szCs w:val="17"/>
          <w:color w:val="auto"/>
        </w:rPr>
        <w:t xml:space="preserve">, before me personally appeared </w:t>
      </w:r>
      <w:r>
        <w:rPr>
          <w:rFonts w:ascii="Arial" w:cs="Arial" w:eastAsia="Arial" w:hAnsi="Arial"/>
          <w:sz w:val="17"/>
          <w:szCs w:val="17"/>
          <w:u w:val="single" w:color="auto"/>
          <w:color w:val="auto"/>
        </w:rPr>
        <w:t>Katherine M. O’Halloran</w:t>
      </w:r>
      <w:r>
        <w:rPr>
          <w:rFonts w:ascii="Arial" w:cs="Arial" w:eastAsia="Arial" w:hAnsi="Arial"/>
          <w:sz w:val="17"/>
          <w:szCs w:val="17"/>
          <w:color w:val="auto"/>
        </w:rPr>
        <w:t xml:space="preserve">, known or proven to me to be the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xml:space="preserve"> of the entity executing the foregoing instrument (“Entity”) and </w:t>
      </w:r>
      <w:r>
        <w:rPr>
          <w:rFonts w:ascii="Arial" w:cs="Arial" w:eastAsia="Arial" w:hAnsi="Arial"/>
          <w:sz w:val="17"/>
          <w:szCs w:val="17"/>
          <w:u w:val="single" w:color="auto"/>
          <w:color w:val="auto"/>
        </w:rPr>
        <w:t>Ellen Parker Burke</w:t>
      </w:r>
      <w:r>
        <w:rPr>
          <w:rFonts w:ascii="Arial" w:cs="Arial" w:eastAsia="Arial" w:hAnsi="Arial"/>
          <w:sz w:val="17"/>
          <w:szCs w:val="17"/>
          <w:color w:val="auto"/>
        </w:rPr>
        <w:t xml:space="preserve">, known or proven to me to be the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xml:space="preserve"> of the Entity, and they acknowledged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0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Susan 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Notary Public residing at. Willowbrook, III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(Commission expires March 10, 2017)</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Page 9 of 10</w:t>
      </w:r>
    </w:p>
    <w:p>
      <w:pPr>
        <w:sectPr>
          <w:pgSz w:w="11900" w:h="16838" w:orient="portrait"/>
          <w:cols w:equalWidth="0" w:num="1">
            <w:col w:w="11360"/>
          </w:cols>
          <w:pgMar w:left="240" w:top="274" w:right="29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8"/>
          <w:szCs w:val="18"/>
          <w:color w:val="auto"/>
        </w:rPr>
        <w:t>Terra Contracting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Indemnitor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Katherine M. O’Halloran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Authorized Official</w:t>
            </w:r>
          </w:p>
        </w:tc>
        <w:tc>
          <w:tcPr>
            <w:tcW w:w="15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Seal</w:t>
            </w:r>
          </w:p>
        </w:tc>
      </w:tr>
      <w:tr>
        <w:trPr>
          <w:trHeight w:val="425"/>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Katherine M. O’Halloran, Assistant Treasurer</w:t>
            </w:r>
          </w:p>
        </w:tc>
        <w:tc>
          <w:tcPr>
            <w:tcW w:w="1580" w:type="dxa"/>
            <w:vAlign w:val="bottom"/>
            <w:tcBorders>
              <w:bottom w:val="single" w:sz="8" w:color="auto"/>
            </w:tcBorders>
          </w:tcPr>
          <w:p>
            <w:pPr>
              <w:spacing w:after="0"/>
              <w:rPr>
                <w:sz w:val="24"/>
                <w:szCs w:val="24"/>
                <w:color w:val="auto"/>
              </w:rPr>
            </w:pPr>
          </w:p>
        </w:tc>
      </w:tr>
      <w:tr>
        <w:trPr>
          <w:trHeight w:val="224"/>
        </w:trPr>
        <w:tc>
          <w:tcPr>
            <w:tcW w:w="3800" w:type="dxa"/>
            <w:vAlign w:val="bottom"/>
            <w:gridSpan w:val="2"/>
          </w:tcPr>
          <w:p>
            <w:pPr>
              <w:spacing w:after="0"/>
              <w:rPr>
                <w:sz w:val="20"/>
                <w:szCs w:val="20"/>
                <w:color w:val="auto"/>
              </w:rPr>
            </w:pPr>
            <w:r>
              <w:rPr>
                <w:rFonts w:ascii="Arial" w:cs="Arial" w:eastAsia="Arial" w:hAnsi="Arial"/>
                <w:sz w:val="18"/>
                <w:szCs w:val="18"/>
                <w:color w:val="auto"/>
              </w:rPr>
              <w:t>Print or Type Name and Title</w:t>
            </w:r>
          </w:p>
        </w:tc>
        <w:tc>
          <w:tcPr>
            <w:tcW w:w="1580" w:type="dxa"/>
            <w:vAlign w:val="bottom"/>
          </w:tcPr>
          <w:p>
            <w:pPr>
              <w:spacing w:after="0"/>
              <w:rPr>
                <w:sz w:val="19"/>
                <w:szCs w:val="19"/>
                <w:color w:val="auto"/>
              </w:rPr>
            </w:pPr>
          </w:p>
        </w:tc>
      </w:tr>
      <w:tr>
        <w:trPr>
          <w:trHeight w:val="417"/>
        </w:trPr>
        <w:tc>
          <w:tcPr>
            <w:tcW w:w="380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158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STATE OF</w:t>
            </w:r>
          </w:p>
        </w:tc>
        <w:tc>
          <w:tcPr>
            <w:tcW w:w="2580" w:type="dxa"/>
            <w:vAlign w:val="bottom"/>
          </w:tcPr>
          <w:p>
            <w:pPr>
              <w:ind w:left="400"/>
              <w:spacing w:after="0"/>
              <w:rPr>
                <w:sz w:val="20"/>
                <w:szCs w:val="20"/>
                <w:color w:val="auto"/>
              </w:rPr>
            </w:pPr>
            <w:r>
              <w:rPr>
                <w:rFonts w:ascii="Arial" w:cs="Arial" w:eastAsia="Arial" w:hAnsi="Arial"/>
                <w:sz w:val="18"/>
                <w:szCs w:val="18"/>
                <w:color w:val="auto"/>
              </w:rPr>
              <w:t>County of</w:t>
            </w: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46-1430657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-215900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Tax ID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Ellen Parker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Signature of Authorized Official</w:t>
      </w:r>
      <w:r>
        <w:rPr>
          <w:sz w:val="20"/>
          <w:szCs w:val="20"/>
          <w:color w:val="auto"/>
        </w:rPr>
        <w:tab/>
      </w:r>
      <w:r>
        <w:rPr>
          <w:rFonts w:ascii="Arial" w:cs="Arial" w:eastAsia="Arial" w:hAnsi="Arial"/>
          <w:sz w:val="15"/>
          <w:szCs w:val="15"/>
          <w:color w:val="auto"/>
        </w:rPr>
        <w:t>No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Ellen Parker Burke,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Name and Title</w:t>
      </w:r>
    </w:p>
    <w:p>
      <w:pPr>
        <w:spacing w:after="0" w:line="871" w:lineRule="exact"/>
        <w:rPr>
          <w:sz w:val="20"/>
          <w:szCs w:val="20"/>
          <w:color w:val="auto"/>
        </w:rPr>
      </w:pPr>
    </w:p>
    <w:p>
      <w:pPr>
        <w:sectPr>
          <w:pgSz w:w="11900" w:h="16838" w:orient="portrait"/>
          <w:cols w:equalWidth="0" w:num="2">
            <w:col w:w="5380" w:space="680"/>
            <w:col w:w="5300"/>
          </w:cols>
          <w:pgMar w:left="240" w:top="274" w:right="299" w:bottom="1440" w:gutter="0" w:footer="0" w:header="0"/>
        </w:sectPr>
      </w:pP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On this </w:t>
      </w:r>
      <w:r>
        <w:rPr>
          <w:rFonts w:ascii="Arial" w:cs="Arial" w:eastAsia="Arial" w:hAnsi="Arial"/>
          <w:sz w:val="17"/>
          <w:szCs w:val="17"/>
          <w:u w:val="single" w:color="auto"/>
          <w:color w:val="auto"/>
        </w:rPr>
        <w:t>7th</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April</w:t>
      </w:r>
      <w:r>
        <w:rPr>
          <w:rFonts w:ascii="Arial" w:cs="Arial" w:eastAsia="Arial" w:hAnsi="Arial"/>
          <w:sz w:val="17"/>
          <w:szCs w:val="17"/>
          <w:color w:val="auto"/>
        </w:rPr>
        <w:t>, 20</w:t>
      </w:r>
      <w:r>
        <w:rPr>
          <w:rFonts w:ascii="Arial" w:cs="Arial" w:eastAsia="Arial" w:hAnsi="Arial"/>
          <w:sz w:val="17"/>
          <w:szCs w:val="17"/>
          <w:u w:val="single" w:color="auto"/>
          <w:color w:val="auto"/>
        </w:rPr>
        <w:t>15</w:t>
      </w:r>
      <w:r>
        <w:rPr>
          <w:rFonts w:ascii="Arial" w:cs="Arial" w:eastAsia="Arial" w:hAnsi="Arial"/>
          <w:sz w:val="17"/>
          <w:szCs w:val="17"/>
          <w:color w:val="auto"/>
        </w:rPr>
        <w:t xml:space="preserve">, before me personally appeared </w:t>
      </w:r>
      <w:r>
        <w:rPr>
          <w:rFonts w:ascii="Arial" w:cs="Arial" w:eastAsia="Arial" w:hAnsi="Arial"/>
          <w:sz w:val="17"/>
          <w:szCs w:val="17"/>
          <w:u w:val="single" w:color="auto"/>
          <w:color w:val="auto"/>
        </w:rPr>
        <w:t>Katherine M. O’Halloran</w:t>
      </w:r>
      <w:r>
        <w:rPr>
          <w:rFonts w:ascii="Arial" w:cs="Arial" w:eastAsia="Arial" w:hAnsi="Arial"/>
          <w:sz w:val="17"/>
          <w:szCs w:val="17"/>
          <w:color w:val="auto"/>
        </w:rPr>
        <w:t xml:space="preserve">, known or proven to me to be the </w:t>
      </w:r>
      <w:r>
        <w:rPr>
          <w:rFonts w:ascii="Arial" w:cs="Arial" w:eastAsia="Arial" w:hAnsi="Arial"/>
          <w:sz w:val="17"/>
          <w:szCs w:val="17"/>
          <w:u w:val="single" w:color="auto"/>
          <w:color w:val="auto"/>
        </w:rPr>
        <w:t>Assistant Treasurer</w:t>
      </w:r>
      <w:r>
        <w:rPr>
          <w:rFonts w:ascii="Arial" w:cs="Arial" w:eastAsia="Arial" w:hAnsi="Arial"/>
          <w:sz w:val="17"/>
          <w:szCs w:val="17"/>
          <w:color w:val="auto"/>
        </w:rPr>
        <w:t xml:space="preserve"> of the entity executing the foregoing instrument (“Entity”) and </w:t>
      </w:r>
      <w:r>
        <w:rPr>
          <w:rFonts w:ascii="Arial" w:cs="Arial" w:eastAsia="Arial" w:hAnsi="Arial"/>
          <w:sz w:val="17"/>
          <w:szCs w:val="17"/>
          <w:u w:val="single" w:color="auto"/>
          <w:color w:val="auto"/>
        </w:rPr>
        <w:t>Ellen Parker Burke</w:t>
      </w:r>
      <w:r>
        <w:rPr>
          <w:rFonts w:ascii="Arial" w:cs="Arial" w:eastAsia="Arial" w:hAnsi="Arial"/>
          <w:sz w:val="17"/>
          <w:szCs w:val="17"/>
          <w:color w:val="auto"/>
        </w:rPr>
        <w:t xml:space="preserve">, known or proven to me to be the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xml:space="preserve"> of the Entity, and they acknowledged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0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Susan 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Notary Public residing at. .Willowbrook, III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(Commission expires March 10, 2017)</w:t>
      </w:r>
    </w:p>
    <w:p>
      <w:pPr>
        <w:sectPr>
          <w:pgSz w:w="11900" w:h="16838" w:orient="portrait"/>
          <w:cols w:equalWidth="0" w:num="1">
            <w:col w:w="11360"/>
          </w:cols>
          <w:pgMar w:left="240" w:top="274" w:right="29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Terra Fluid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Indemnitor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Katherine M. O’Halloran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 of Authorized Official</w:t>
            </w:r>
          </w:p>
        </w:tc>
        <w:tc>
          <w:tcPr>
            <w:tcW w:w="1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Seal</w:t>
            </w:r>
          </w:p>
        </w:tc>
      </w:tr>
      <w:tr>
        <w:trPr>
          <w:trHeight w:val="425"/>
        </w:trPr>
        <w:tc>
          <w:tcPr>
            <w:tcW w:w="3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Katherine M. O’Halloran, Treasurer</w:t>
            </w:r>
          </w:p>
        </w:tc>
        <w:tc>
          <w:tcPr>
            <w:tcW w:w="1980" w:type="dxa"/>
            <w:vAlign w:val="bottom"/>
            <w:tcBorders>
              <w:bottom w:val="single" w:sz="8" w:color="auto"/>
            </w:tcBorders>
          </w:tcPr>
          <w:p>
            <w:pPr>
              <w:spacing w:after="0"/>
              <w:rPr>
                <w:sz w:val="24"/>
                <w:szCs w:val="24"/>
                <w:color w:val="auto"/>
              </w:rPr>
            </w:pPr>
          </w:p>
        </w:tc>
      </w:tr>
      <w:tr>
        <w:trPr>
          <w:trHeight w:val="224"/>
        </w:trPr>
        <w:tc>
          <w:tcPr>
            <w:tcW w:w="3400" w:type="dxa"/>
            <w:vAlign w:val="bottom"/>
            <w:gridSpan w:val="2"/>
          </w:tcPr>
          <w:p>
            <w:pPr>
              <w:spacing w:after="0"/>
              <w:rPr>
                <w:sz w:val="20"/>
                <w:szCs w:val="20"/>
                <w:color w:val="auto"/>
              </w:rPr>
            </w:pPr>
            <w:r>
              <w:rPr>
                <w:rFonts w:ascii="Arial" w:cs="Arial" w:eastAsia="Arial" w:hAnsi="Arial"/>
                <w:sz w:val="18"/>
                <w:szCs w:val="18"/>
                <w:color w:val="auto"/>
              </w:rPr>
              <w:t>Print or Type Name and Title</w:t>
            </w:r>
          </w:p>
        </w:tc>
        <w:tc>
          <w:tcPr>
            <w:tcW w:w="1980" w:type="dxa"/>
            <w:vAlign w:val="bottom"/>
          </w:tcPr>
          <w:p>
            <w:pPr>
              <w:spacing w:after="0"/>
              <w:rPr>
                <w:sz w:val="19"/>
                <w:szCs w:val="19"/>
                <w:color w:val="auto"/>
              </w:rPr>
            </w:pPr>
          </w:p>
        </w:tc>
      </w:tr>
      <w:tr>
        <w:trPr>
          <w:trHeight w:val="417"/>
        </w:trPr>
        <w:tc>
          <w:tcPr>
            <w:tcW w:w="3400" w:type="dxa"/>
            <w:vAlign w:val="bottom"/>
            <w:gridSpan w:val="2"/>
          </w:tcPr>
          <w:p>
            <w:pPr>
              <w:spacing w:after="0"/>
              <w:rPr>
                <w:sz w:val="20"/>
                <w:szCs w:val="20"/>
                <w:color w:val="auto"/>
              </w:rPr>
            </w:pPr>
            <w:r>
              <w:rPr>
                <w:rFonts w:ascii="Arial" w:cs="Arial" w:eastAsia="Arial" w:hAnsi="Arial"/>
                <w:sz w:val="18"/>
                <w:szCs w:val="18"/>
                <w:color w:val="auto"/>
              </w:rPr>
              <w:t>ACKNOWLEDGEMENT</w:t>
            </w:r>
          </w:p>
        </w:tc>
        <w:tc>
          <w:tcPr>
            <w:tcW w:w="198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STATE OF</w:t>
            </w:r>
          </w:p>
        </w:tc>
        <w:tc>
          <w:tcPr>
            <w:tcW w:w="2180" w:type="dxa"/>
            <w:vAlign w:val="bottom"/>
          </w:tcPr>
          <w:p>
            <w:pPr>
              <w:ind w:left="400"/>
              <w:spacing w:after="0"/>
              <w:rPr>
                <w:sz w:val="20"/>
                <w:szCs w:val="20"/>
                <w:color w:val="auto"/>
              </w:rPr>
            </w:pPr>
            <w:r>
              <w:rPr>
                <w:rFonts w:ascii="Arial" w:cs="Arial" w:eastAsia="Arial" w:hAnsi="Arial"/>
                <w:sz w:val="18"/>
                <w:szCs w:val="18"/>
                <w:color w:val="auto"/>
              </w:rPr>
              <w:t>County of</w:t>
            </w:r>
          </w:p>
        </w:tc>
        <w:tc>
          <w:tcPr>
            <w:tcW w:w="1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46-5253625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Tax ID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Ellen Parker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Signature of Authorized Official</w:t>
      </w:r>
      <w:r>
        <w:rPr>
          <w:sz w:val="20"/>
          <w:szCs w:val="20"/>
          <w:color w:val="auto"/>
        </w:rPr>
        <w:tab/>
      </w:r>
      <w:r>
        <w:rPr>
          <w:rFonts w:ascii="Arial" w:cs="Arial" w:eastAsia="Arial" w:hAnsi="Arial"/>
          <w:sz w:val="15"/>
          <w:szCs w:val="15"/>
          <w:color w:val="auto"/>
        </w:rPr>
        <w:t>No 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Ellen Parker Burke,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or Type Name and Title</w:t>
      </w:r>
    </w:p>
    <w:p>
      <w:pPr>
        <w:spacing w:after="0" w:line="871" w:lineRule="exact"/>
        <w:rPr>
          <w:sz w:val="20"/>
          <w:szCs w:val="20"/>
          <w:color w:val="auto"/>
        </w:rPr>
      </w:pPr>
    </w:p>
    <w:p>
      <w:pPr>
        <w:sectPr>
          <w:pgSz w:w="11900" w:h="16838" w:orient="portrait"/>
          <w:cols w:equalWidth="0" w:num="2">
            <w:col w:w="5380" w:space="680"/>
            <w:col w:w="5300"/>
          </w:cols>
          <w:pgMar w:left="240" w:top="274" w:right="299" w:bottom="1440" w:gutter="0" w:footer="0" w:header="0"/>
          <w:type w:val="continuous"/>
        </w:sectPr>
      </w:pPr>
    </w:p>
    <w:p>
      <w:pPr>
        <w:spacing w:after="0" w:line="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w:t>
      </w:r>
      <w:r>
        <w:rPr>
          <w:rFonts w:ascii="Arial" w:cs="Arial" w:eastAsia="Arial" w:hAnsi="Arial"/>
          <w:sz w:val="18"/>
          <w:szCs w:val="18"/>
          <w:color w:val="auto"/>
        </w:rPr>
        <w:t>, 20</w:t>
      </w:r>
      <w:r>
        <w:rPr>
          <w:rFonts w:ascii="Arial" w:cs="Arial" w:eastAsia="Arial" w:hAnsi="Arial"/>
          <w:sz w:val="18"/>
          <w:szCs w:val="18"/>
          <w:u w:val="single" w:color="auto"/>
          <w:color w:val="auto"/>
        </w:rPr>
        <w:t>15</w:t>
      </w:r>
      <w:r>
        <w:rPr>
          <w:rFonts w:ascii="Arial" w:cs="Arial" w:eastAsia="Arial" w:hAnsi="Arial"/>
          <w:sz w:val="18"/>
          <w:szCs w:val="18"/>
          <w:color w:val="auto"/>
        </w:rPr>
        <w:t xml:space="preserve">, before me personally appeared </w:t>
      </w:r>
      <w:r>
        <w:rPr>
          <w:rFonts w:ascii="Arial" w:cs="Arial" w:eastAsia="Arial" w:hAnsi="Arial"/>
          <w:sz w:val="18"/>
          <w:szCs w:val="18"/>
          <w:u w:val="single" w:color="auto"/>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Treasurer</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u w:val="single" w:color="auto"/>
          <w:color w:val="auto"/>
        </w:rPr>
        <w:t>Ellen Parker Burke</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Secretary</w:t>
      </w:r>
      <w:r>
        <w:rPr>
          <w:rFonts w:ascii="Arial" w:cs="Arial" w:eastAsia="Arial" w:hAnsi="Arial"/>
          <w:sz w:val="18"/>
          <w:szCs w:val="18"/>
          <w:color w:val="auto"/>
        </w:rPr>
        <w:t xml:space="preserve"> of the Entity, and they acknowledged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Susan W.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Notary Public residing at. Willowbrook, III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(Commission expires March 10, 2017)</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Page 10 of 10</w:t>
      </w:r>
    </w:p>
    <w:p>
      <w:pPr>
        <w:sectPr>
          <w:pgSz w:w="11900" w:h="16838" w:orient="portrait"/>
          <w:cols w:equalWidth="0" w:num="1">
            <w:col w:w="11360"/>
          </w:cols>
          <w:pgMar w:left="240" w:top="274" w:right="29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6797040</wp:posOffset>
            </wp:positionH>
            <wp:positionV relativeFrom="paragraph">
              <wp:posOffset>172085</wp:posOffset>
            </wp:positionV>
            <wp:extent cx="454660" cy="4546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46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 OF INDEMNITY</w:t>
      </w:r>
    </w:p>
    <w:p>
      <w:pPr>
        <w:spacing w:after="0" w:line="225"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 xml:space="preserve">THIS AGREEMENT of Indemnity, made and entered into this </w:t>
      </w:r>
      <w:r>
        <w:rPr>
          <w:rFonts w:ascii="Arial" w:cs="Arial" w:eastAsia="Arial" w:hAnsi="Arial"/>
          <w:sz w:val="17"/>
          <w:szCs w:val="17"/>
          <w:b w:val="1"/>
          <w:bCs w:val="1"/>
          <w:color w:val="auto"/>
        </w:rPr>
        <w:t>7</w:t>
      </w:r>
      <w:r>
        <w:rPr>
          <w:rFonts w:ascii="Arial" w:cs="Arial" w:eastAsia="Arial" w:hAnsi="Arial"/>
          <w:sz w:val="17"/>
          <w:szCs w:val="17"/>
          <w:color w:val="auto"/>
        </w:rPr>
        <w:t xml:space="preserve"> day of </w:t>
      </w:r>
      <w:r>
        <w:rPr>
          <w:rFonts w:ascii="Arial" w:cs="Arial" w:eastAsia="Arial" w:hAnsi="Arial"/>
          <w:sz w:val="17"/>
          <w:szCs w:val="17"/>
          <w:b w:val="1"/>
          <w:bCs w:val="1"/>
          <w:color w:val="auto"/>
        </w:rPr>
        <w:t>April</w:t>
      </w:r>
      <w:r>
        <w:rPr>
          <w:rFonts w:ascii="Arial" w:cs="Arial" w:eastAsia="Arial" w:hAnsi="Arial"/>
          <w:sz w:val="17"/>
          <w:szCs w:val="17"/>
          <w:color w:val="auto"/>
        </w:rPr>
        <w:t xml:space="preserve">, </w:t>
      </w:r>
      <w:r>
        <w:rPr>
          <w:rFonts w:ascii="Arial" w:cs="Arial" w:eastAsia="Arial" w:hAnsi="Arial"/>
          <w:sz w:val="17"/>
          <w:szCs w:val="17"/>
          <w:b w:val="1"/>
          <w:bCs w:val="1"/>
          <w:color w:val="auto"/>
        </w:rPr>
        <w:t>2015</w:t>
      </w:r>
      <w:r>
        <w:rPr>
          <w:rFonts w:ascii="Arial" w:cs="Arial" w:eastAsia="Arial" w:hAnsi="Arial"/>
          <w:sz w:val="17"/>
          <w:szCs w:val="17"/>
          <w:color w:val="auto"/>
        </w:rPr>
        <w:t xml:space="preserve"> by GREAT LAKES DREDGE &amp; DOCK CORPORATION, GREAT LAKES DREDGE &amp; DOCK COMPANY, LLC, GREAT LAKES ENVIRONMENTAL &amp; INFRASTRUCTURE SOLUTIONS, LLC, MAGNUS PACIFIC, LLC, TERRA CONTRACTING SERVICES, LLC, and TERRA FLUID MANAGEMENT, LLC, each individually and collectively “Contractor,” and</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GREAT LAKES DREDGE &amp; DOCK CORPORATION, GREAT LAKES DREDGE &amp; DOCK COMPANY, LLC, GREAT LAKES ENVIRONMENTAL &amp; INFRASTRUCTURE SOLUTIONS, LLC, MAGNUS PACIFIC, LLC, TERRA CONTRACTING SERVICES, LLC, and TERRA FLUID MANAGEMENT, LLC, each individually and collectively “Indemnitors,” and Westchester Fire Insurance Company (“WFIC”) or any of its affiliates, including any other company that is part of or added to ACE Holdings, Inc., for which surety business is underwritten anywhere in the world, (hereinafter individually and collectively called “Surety”).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WHEREAS, Contractors, in the performance of contracts and the fulfillment of obligations generally, whether in each Contractor’s own name solely or in joint venture with each other or with other Persons, may desire or be required to give or procure Bonds, and to renew, or continue or substitute from time to time the same or new Bonds with the same or different penalties and/or conditions; or the Contractors or Indemnitors may request the Surety to refrain from cancelling said Bonds; and</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WHEREAS, at the request of Contractors and Indemnitors and on the express understanding that this Agreement of Indemnity be given, the Surety has executed or procured to be executed, and may from time to time hereafter execute or procure to be executed, said Bonds on behalf of one or more Contractors; and</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Contractors and Indemnitors have a substantial, material and beneficial interest in the obtaining of the Bonds or in the Surety’s refraining from cancelling said Bonds.</w:t>
      </w:r>
    </w:p>
    <w:p>
      <w:pPr>
        <w:spacing w:after="0" w:line="170"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is hereby acknowledged, Contractors and Indemnitors for themselves, their heirs, executors, administrators, successors and assigns, jointly and severally, hereby covenant and agree with Surety, as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PREMIUMS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FIRST: Contractors and Indemnitors will pay to the Surety, in such manner as may be agreed upon, all premiums and charges of Surety for the Bonds in accordance with Surety’s rate filings or as otherwise agreed upon, until Contractors or Indemnitors shall serve evidence reasonably satisfactory to the Surety of Surety’s discharge or release from the Bonds and all liability by reason of the Bonds.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SECOND: Contractors and Indemnitors shall exonerate, indemnify, and keep indemnified the Surety from and against any and all liability and Loss which the Surety may sustain and incur: (a) by reason of having executed or procured the execution of the Bonds, (b) by reason of the failure of Contractors or Indemnitors to perform or comply with the covenants and conditions of this Agreement or (c) in enforcing any of the covenants and conditions of this Agreement. Payment by reason of the aforesaid causes shall be made to the Surety by the Contractors and Indemnitors as soon as liability exists or is asserted against the Surety, whether or not the Surety shall have made any payment therefor, provided, however, that in no event shall any Contractor or Indemnitor indemnify or hold and save harmless the Surety against any Loss arising out of the gross negligence, willful misconduct or illegal act of the Surety.</w:t>
      </w:r>
    </w:p>
    <w:p>
      <w:pPr>
        <w:sectPr>
          <w:pgSz w:w="11900" w:h="16838" w:orient="portrait"/>
          <w:cols w:equalWidth="0" w:num="1">
            <w:col w:w="11420"/>
          </w:cols>
          <w:pgMar w:left="240" w:top="121" w:right="239" w:bottom="1440" w:gutter="0" w:footer="0" w:header="0"/>
        </w:sectPr>
      </w:pPr>
    </w:p>
    <w:bookmarkStart w:id="75" w:name="page76"/>
    <w:bookmarkEnd w:id="75"/>
    <w:p>
      <w:pPr>
        <w:jc w:val="center"/>
        <w:ind w:right="-9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THIRD: The Contractors and Indemnitors will assign, transfer and set over, and do hereby assign, transfer and set over to the Surety the following as collateral, to secure the obligations in any and all of the paragraphs of this Agreement and any other indebtedness and liabilities of Contractors and Indemnitors to the Surety, whether heretofore or hereafter incurred: (a) all the rights of Contractors and/or Indemnitors in, and growing in any manner out of, all contracts referred to in the Bonds, or in, or growing in any manner out of the Bonds; (b) all the rights, title and interest of Contractors and/or Indemnitors in and to all machinery, equipment, plant, tools and materials which are now, or may hereafter be, about or upon the site or sites of any and all of the contractual work referred to in the Bonds, or elsewhere, including materials purchased for or chargeable to any and all contracts referred to in the bonds, materials which may be in process of construction, in storage elsewhere, or in transportation to any and all of said sites, and equipment which may be necessary or proper to perform any contractual work referred to in the Bonds; (c) all rights, title and interest (including the right to use) of Contractors and/or Indemnitors in and to all general intangibles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320"/>
          </w:cols>
          <w:pgMar w:left="240" w:top="121" w:right="339" w:bottom="1440" w:gutter="0" w:footer="0" w:header="0"/>
        </w:sectPr>
      </w:pPr>
    </w:p>
    <w:bookmarkStart w:id="76" w:name="page77"/>
    <w:bookmarkEnd w:id="7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intellectual property used in or related to any and all contractual work referred to in the Bonds, including, without limitation, any business records, inventions, designs, patents, patent applications, trademarks, trademark applications, trade names, trade secrets, copyrights, any intellectual property, licenses, franchises, customer lists, insurance proceeds, insurance refunds and equivalents, software, computer programs, computer hardware, computer systems, architectural drawings, plans and specifications (d) all the rights, title and interest of Contractors and/or Indemnitors in and to all subcontracts let or to be let in connection with any and all contracts referred to in the Bonds, and in and to all surety bonds supporting such subcontracts; (e) all actions, causes of actions, claims and demands whatsoever which the Contractors and/or Indemnitors may have or acquire against any obligee, any subcontractor, laborer or materialman, or any person furnishing or agreeing to furnish or supply labor, material, supplies, machinery, tools or other equipment in connection with or on account of any and all contracts referred to in the Bonds; and against any surety or sureties of any obligee, subcontractor, laborer, or materialman; (f) any and all percentages retained, receivables and any and all sums that may be due or hereafter become due on account of any and all contracts referred to in the Bonds; and (g) any real or personal property, the improvement of which is secured by any Bond. The assignment in the case of each contract to become effective as of the date of the Bond covering such contract, but only on Event of Default.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TRUST FUND</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FOURTH: The Contractors and Indemnitors covenant and agree that all payments received for or on account of contracts covered by the Bonds shall be held as trust funds in which the Surety has an interest, for the payment of obligations incurred in the performance of the contract and for labor, materials, and services furnished in the prosecution of the work provided in the contract or any authorized extension or modification thereof. Further, it is expressly understood and declared that all monies due and to become due under any contracts covered by the Bonds are trust funds, whether in the possession of any Contractor or Indemnitor or otherwise, for the benefit of and for payment of all such obligations in connection with any such contract or contracts for which the Surety would be liable under any Bonds, which trust also inures to the benefit of the Surety for any liability or Loss Surety may have or sustain under any Bonds, and this Agreement and declaration shall also constitute notice of such trust.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UNIFORM COMMERCIAL CODE</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FIFTH: This Agreement shall constitute a Security Agreement to the Surety and also a Financing Statement, both in accordance with the provisions of the Uniform Commercial Code of every jurisdiction wherein such Code is in effect, and may be so used by the Surety, without in any way abrogating, restricting or limiting the rights of the Surety under this Agreement or under law or in equity.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TAKEOVER</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SIXTH: Should an Event of Default occur, Surety shall have the right, at its option and in its sole discretion, and is hereby authorized, with or without exercising any other right or option conferred upon it by law or in the terms of this Agreement, to take possession of any part or all of the work, materials and equipment under any contract or contracts covered by any Bonds and any other materials or equipment which the Surety deems necessary or proper to perform any contractual work referred to in the Bonds, and at the expense of the Contractors and Indemnitors to complete or arrange for the completion of the same. The Contractors and Indemnitors shall promptly on demand pay to the Surety all Loss so incurred; provided, however, that in no event shall any Contractor or Indemnitor indemnify or hold and save harmless the Surety against any Loss arising out of the gross negligence, willful misconduct or illegal act of the Surety.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w:t>
      </w:r>
    </w:p>
    <w:p>
      <w:pPr>
        <w:spacing w:after="0" w:line="22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SEVENTH: The Surety is authorized and empowered, without notice to or knowledge of Contractors and/or Indemnitors to assent to any change whatsoever in the Bonds, and/or any contracts referred to in the Bonds, and/or in the general conditions, plans and/or specifications accompanying said contracts, including, but not limited to, any change in the time for the completion of said contracts and to payments or advances thereunder before the same may be due, and to assent to or take any assignment or assignments, to execute or consent to the execution of any continuations, extensions or renewals of the Bonds and to execute any substitute or substitutes therefor, with the same or different conditions, provisions and obligees and with the same or larger or smaller penalties, it being expressly understood and agreed that Contractors and Indemnitors shall remain bound under the terms of this Agreement even though any such assent by the Surety does or might substantially increase the liability of Contractors and Indemnitors.</w:t>
      </w:r>
    </w:p>
    <w:p>
      <w:pPr>
        <w:sectPr>
          <w:pgSz w:w="11900" w:h="16838" w:orient="portrait"/>
          <w:cols w:equalWidth="0" w:num="1">
            <w:col w:w="11400"/>
          </w:cols>
          <w:pgMar w:left="240" w:top="274" w:right="259" w:bottom="1440" w:gutter="0" w:footer="0" w:header="0"/>
        </w:sectPr>
      </w:pPr>
    </w:p>
    <w:bookmarkStart w:id="77" w:name="page78"/>
    <w:bookmarkEnd w:id="77"/>
    <w:p>
      <w:pPr>
        <w:jc w:val="center"/>
        <w:ind w:right="-159"/>
        <w:spacing w:after="0"/>
        <w:rPr>
          <w:sz w:val="20"/>
          <w:szCs w:val="20"/>
          <w:color w:val="auto"/>
        </w:rPr>
      </w:pPr>
      <w:r>
        <w:rPr>
          <w:rFonts w:ascii="Arial" w:cs="Arial" w:eastAsia="Arial" w:hAnsi="Arial"/>
          <w:sz w:val="18"/>
          <w:szCs w:val="18"/>
          <w:b w:val="1"/>
          <w:bCs w:val="1"/>
          <w:color w:val="auto"/>
        </w:rPr>
        <w:t>ADVANCES</w:t>
      </w:r>
    </w:p>
    <w:p>
      <w:pPr>
        <w:spacing w:after="0" w:line="229"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EIGHTH: The Surety is authorized and empowered to guarantee loans, to advance or lend to any Contractor any money, which the Surety may see fit, for the purpose of any contracts referred to in, or guaranteed by the Bonds. Contractors and Indemnitors shall be responsible for indemnifying Surety for all money expended in the completion of any such contracts by the Surety, or lent or advanced from time to time to any Contractor, or guaranteed by the Surety for the purposes of any such contracts, and all Loss incurred by the Surety in relation to such guarantee, advance or lending, unless repaid with legal interest by that Contractor to the Surety when due, notwithstanding that said money or any part thereof should not be so used by that Contractor.</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BOOKS AND RECORDS</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NINTH: At any time, and until such time as the liability of the Surety under any and all Bonds is terminated, the Surety shall have the right to reasonable access to the books, records, and accounts of the Contractors and Indemnitors. Contractors and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280"/>
          </w:cols>
          <w:pgMar w:left="240" w:top="121" w:right="379" w:bottom="1440" w:gutter="0" w:footer="0" w:header="0"/>
        </w:sectPr>
      </w:pPr>
    </w:p>
    <w:bookmarkStart w:id="78" w:name="page79"/>
    <w:bookmarkEnd w:id="78"/>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Indemnitors hereby authorize any bank depository, materialman, supply house, or other person, firm, or corporation, when requested by the Surety, to furnish the Surety any information requested, including but not limited to the status of the work under contracts being performed by any Contractor, the condition of the performance of such contracts, and payments of accounts.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DECLINE EXECUTION</w:t>
      </w:r>
    </w:p>
    <w:p>
      <w:pPr>
        <w:spacing w:after="0" w:line="229"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TENTH: Surety may decline to execute any Bond and Contractors and Indemnitors agree to make no claim to the contrary in consideration of the Surety’s receiving this Agreement; and if the Surety shall execute a bid or proposal Bond, it shall have the right to decline to execute any and all Bonds that may be required in connection with any award that may be made under the proposal for which the bid or proposal Bond is given, and such declination shall not diminish or alter the liability that may arise by reason of having executed the bid or proposal Bond.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EXECUTION</w:t>
      </w:r>
    </w:p>
    <w:p>
      <w:pPr>
        <w:spacing w:after="0" w:line="229"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ELEVENTH: Contractors and Indemnitors hereby waive notice of the execution of any and all Bonds and all notice of any default or any other act or acts giving rise to any claim under said Bonds, as well as notice of any and all liability of the Surety under such Bonds, and any and all liability on their part hereunder, to the end and effect that the Contractors and Indemnitors shall be and continue liable to Surety under this Agreement, notwithstanding any notice of any kind to which they might have been or be entitled, and notwithstanding any defenses they might have been entitled to make.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TWELFTH: In the event the Surety makes any payment or other determination arising from or related to the Bonds and/or this Agreement, or in the event of settlement, compromise or judgment, Contractors and Indemnitors further agree that in any accounting between the Surety and any Contractor, or between the Surety and the Indemnitors, or either or both of them, the Surety shall be entitled to charge for any and all payments made by the Surety in good faith under the belief that the Surety is or was liable for the sums and amounts paid, or that it was necessary or expedient to make such payments to protect any of the Surety’s rights or to avoid or lessen the Surety’s liability or alleged liability, whether or not such liability, necessity or expediency existed; provided, however, that in no event shall any Contractor or Indemnitor indemnify or hold and save harmless the Surety against any Loss arising out of the gross negligence, willful misconduct or illegal act of the Surety. These payments include the Surety’s costs and expenses and other elements of Loss. Any such payments shall be final, conclusive and binding upon Contractors and Indemnitors; and any Loss which may be sustained or incurred shall be paid by the Contractors and Indemnitors upon written demand by the Surety. In the event of any payment, settlement, compromise or judgment by the Surety, an itemized statement of Loss sworn to by an officer or authorized representative of the Surety or voucher(s) or other documentary evidence of such payment, settlement, compromise or judgment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fact and amount of Contractors’ and Indemnitors’ liability to the Surety.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SETTLEMENTS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THIRTEENTH: Surety shall have the absolute and unconditional right to adjust, settle or compromise any claim, demand, suit or judgment upon the Bonds. If Contractors and Indemnitors shall request the Surety to litigate such claim or demand, or to defend such suit, or to appeal from such judgment, then Contractors and Indemnitors shall deposit with the Surety, at the time of such request, cash or collateral satisfactory to the Surety in kind and amount, to be used in paying any judgment or judgments rendered or that may be rendered, with interest, costs, expenses and attorneys’ fees, including those of the Surety, and the Surety shall consider such request.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SURETIES</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FOURTEENTH: In the event the Surety procures the execution of the Bonds by other sureties, or executes the Bonds with co-sureties, or reinsures any portion of the Bonds with reinsuring sureties, or reinsures any Bonds executed by others, then all the terms and conditions of this Agreement shall inure to the benefit of such other sureties, co-sureties and reinsuring sureties, as their interests may appear.</w:t>
      </w:r>
    </w:p>
    <w:p>
      <w:pPr>
        <w:sectPr>
          <w:pgSz w:w="11900" w:h="16838" w:orient="portrait"/>
          <w:cols w:equalWidth="0" w:num="1">
            <w:col w:w="11420"/>
          </w:cols>
          <w:pgMar w:left="240" w:top="274" w:right="2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SUITS</w:t>
      </w:r>
    </w:p>
    <w:p>
      <w:pPr>
        <w:spacing w:after="0" w:line="229"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FIFTEENTH: Separate suits may be brought hereunder as causes of action accrue, and the bringing of suit or the recovery of judgment upon any cause of action shall not prejudice or bar the bringing of other suits, upon other causes of action, whether theretofore or thereafter arising.</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INDEMNITY</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SIXTEENTH: Contractors and Indemnitors shall continue to remain bound under the terms of this Agreement even though the Surety may have from time to time before or after the execution of this Agreement, with or without notice to or knowledge of Contractors and Indemnitors, accepted or released other agreements of indemnity or collateral in connection with the execution or procurement of the Bonds, from Contractors or Indemnitors or others, it being expressly understood and agreed by the Contractors and the Indemnitors that any and all other rights which the Surety may have or acquire against the Contractors and the Indemnitors and/or others under any such other or additional agreements of indemnity or collateral shall be in addition to, and not in lieu of, the rights afforded the Surety under this Agreement.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380"/>
          </w:cols>
          <w:pgMar w:left="240" w:top="121" w:right="27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INVALIDITY</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SEVENTEENTH: In case any of the parties mentioned in this Agreement fail to execute the same, or in case the execution hereof by any of the parties be defective or invalid for any reason, such failure, defect or invalidity shall not in any manner affect the validity of this Agreement or the liability hereunder of any of the parties executing the same, but each and every party so executing shall be and remain fully bound and liable hereunder to the same extent as if such failure, defect or invalidity had not existed. It is understood and agreed by the Contractors and Indemnitors that the rights, powers, and remedies given the Surety under this Agreement shall be and are in addition to, and not in lieu of, any and all other rights, powers, and remedies which the Surety may have or acquire against the Contractors and Indemnitors or others whether by the terms of any other agreement or by operation of law or otherwise.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ATTORNEY IN FACT</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EIGHTEENTH: Contractors and Indemnitors hereby irrevocably nominate, constitute, appoint and designate Surety as their attorney-in-fact, with the right, but not the obligation, to exercise all of the rights of Contractors and Indemnitors assigned, transferred and set over to the Surety in this Agreement, and in the name of Contractors and Indemnitors to make, execute, and deliver any and all additional or other assignments, documents or papers deemed necessary and proper by Surety in order to give full effect not only to the intent and meaning of the assignments in this Agreement, but also to the full protection intended to be given to Surety under all other provisions of this Agreement. Contractors and Indemnitors hereby ratify and confirm all acts and actions taken and done by the Surety as such attorney-in-fact.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NINETEENTH: This Agreement may be terminated by any Contractor or Indemnitor by sending written notice of termination to the Surety via certified mail or registered with a global overnight package delivery service to the Surety’s home office at ACE Bond Services, WA10G, 436 Walnut Street, Philadelphia, Pennsylvania 19106-3703. Such notice of termination shall be effective as to the party sending the notice, ten (10) days from Surety’s receipt of the notice and shall apply all future Bonds and Bond commitments following the effective date. However, any such notice of termination shall not operate to modify, bar, or discharge the party sending as to Bonds and Bond commitments that may have been theretofore issued and/or executed, nor shall the notice of termination affect the obligations of any other party to this Agreement.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BONDS FOR OTHER ENTITIES</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TWENTIETH: Contractors and Indemnitors hereby agree that their obligations under this Agreement shall apply to any Bonds the Surety executes on behalf of any Subsidiaries or Affiliates of Contractors or Indemnitors, and if requested in writing by GREAT LAKES DREDGE &amp; DOCK CORPORATION or GREAT LAKES DREDGE &amp; DOCK COMPANY, LLC, any other legal entities in which any Contractor or Indemnitor has an ownership interest including, but not limited to, any corporations, partnerships, limited liability companies (LLC) and joint ventures, whether acting alone or in joint venture with others not named in this Agreement. In addition, the Contractors and Indemnitors agree that their obligations under this Agreement shall apply to any Bonds the Surety issues on behalf of any entity upon the written request of GREAT LAKES DREDGE &amp; DOCK CORPORATION or GREAT LAKES DREDGE &amp; DOCK COMPANY, LLC</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TWENTY-FIRST: NO ORAL MODIFICATION: This Agreement may not be changed or modified orally. No change or modification shall be effective unless made by written endorsement executed to form a part hereof.</w:t>
      </w:r>
    </w:p>
    <w:p>
      <w:pPr>
        <w:sectPr>
          <w:pgSz w:w="11900" w:h="16838" w:orient="portrait"/>
          <w:cols w:equalWidth="0" w:num="1">
            <w:col w:w="11380"/>
          </w:cols>
          <w:pgMar w:left="240" w:top="270" w:right="279" w:bottom="1440" w:gutter="0" w:footer="0" w:header="0"/>
        </w:sectPr>
      </w:pPr>
    </w:p>
    <w:bookmarkStart w:id="81" w:name="page82"/>
    <w:bookmarkEnd w:id="81"/>
    <w:p>
      <w:pPr>
        <w:ind w:firstLine="456"/>
        <w:spacing w:after="0" w:line="268" w:lineRule="auto"/>
        <w:rPr>
          <w:sz w:val="20"/>
          <w:szCs w:val="20"/>
          <w:color w:val="auto"/>
        </w:rPr>
      </w:pPr>
      <w:r>
        <w:rPr>
          <w:rFonts w:ascii="Arial" w:cs="Arial" w:eastAsia="Arial" w:hAnsi="Arial"/>
          <w:sz w:val="17"/>
          <w:szCs w:val="17"/>
          <w:color w:val="auto"/>
        </w:rPr>
        <w:t>TWENTY-SECOND: PLACE SURETY IN FUNDS: Should an Event of Default occur, or upon determination by Surety, in its sole and absolute discretion, that potential liability exists under any Bond (regardless of whether liability has been established or whether Surety, Contractors or Indemnitors may have defenses to all or any portion of any claim asserted under any Bond), Contractors and Indemnitors shall, upon demand, deposit with Surety cash or other collateral acceptable to Surety in an amount determined by Surety, in its sole discretion, to be sufficient to discharge any claim made against or potential liability of Surety on any Bond or Bonds or under this Agreement. Surety shall not be required to post a reserve prior to or as a condition of Contractors and Indemnitors’ obligation to deposit collateral. This sum may be used by Surety to pay such claim or be held by Surety as collateral against any loss on any Bond or Bonds or under this Agreement. Any remaining sums deposited with Surety after payment of any and all sums due to Surety under this Agreement or otherwise shall be returned to Contractors and Indemnitors upon the complete release and/or discharge of Surety’s obligations and liability under all Bonds. The Surety’s demand for collateral shall be sufficient if sent by registered or certified mail, by facsimile transmission, or by personal service to Contractors and Indemnitors at the addresses stated herein, or at the address last known to the Surety, regardless of whether actually received. Contractors and Indemnitors acknowledge that the failure of Contractors and/or Indemnitors, collectively or individually, to deposit collateral with the Surety, immediately upon demand, shall cause irreparable harm to the Surety for which the Surety has no adequate remedy at law. Contractors and Indemnitors agree that the Surety shall be entitled to injunctive relief for specific performance of the obligation to deposit with the Surety the sum demanded as collateral and waive any claims or defenses to the contrary.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00"/>
          </w:cols>
          <w:pgMar w:left="240" w:top="125" w:right="259" w:bottom="1440" w:gutter="0" w:footer="0" w:header="0"/>
        </w:sectPr>
      </w:pPr>
    </w:p>
    <w:bookmarkStart w:id="82" w:name="page83"/>
    <w:bookmarkEnd w:id="82"/>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TWENTY-THIRD: Change in Control or Condition: In the event any Change in Control and/or Change in Condition (both as defined in this paragraph) of any Contractor or Indemnitor occurs without the prior written consent of the Surety, then Contractors and Indemnitors will be deemed to be in default under the terms of this Agreement and the Surety will have the right to exercise all of its rights and remedies under this Agreement, at law, or in equity.</w:t>
      </w:r>
    </w:p>
    <w:p>
      <w:pPr>
        <w:spacing w:after="0" w:line="147" w:lineRule="exact"/>
        <w:rPr>
          <w:sz w:val="20"/>
          <w:szCs w:val="20"/>
          <w:color w:val="auto"/>
        </w:rPr>
      </w:pPr>
    </w:p>
    <w:p>
      <w:pPr>
        <w:ind w:right="80" w:firstLine="913"/>
        <w:spacing w:after="0" w:line="308" w:lineRule="auto"/>
        <w:rPr>
          <w:sz w:val="20"/>
          <w:szCs w:val="20"/>
          <w:color w:val="auto"/>
        </w:rPr>
      </w:pPr>
      <w:r>
        <w:rPr>
          <w:rFonts w:ascii="Arial" w:cs="Arial" w:eastAsia="Arial" w:hAnsi="Arial"/>
          <w:sz w:val="17"/>
          <w:szCs w:val="17"/>
          <w:color w:val="auto"/>
        </w:rPr>
        <w:t>TWENTY-FOURTH: Joint and Several. The agreements and covenants herein contained shall be binding upon the undersigned, both jointly and severally, and upon their successors and assigns jointly and severally (including successors by way of merger, acquisition or similar event).</w:t>
      </w:r>
    </w:p>
    <w:p>
      <w:pPr>
        <w:spacing w:after="0" w:line="147"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TWENTY-FIFTH: Contractors and Indemnitors release, discharge, and waive any and all claims, demands or causes of action arising from or relating to Surety’s exercise of its rights and remedies pursuant to this Agreement. If Surety demands that Indemnitors perform any obligation under this Agreement including, but not limited to, Contractors’ and/or Indemnitors’ obligation to indemnify or reimburse Surety, to deposit collateral with Surety or to obtain the discharge of Surety under any Bond or Bonds, Contractors’ and Indemnitors’ sole remedy against Surety shall be limited to and capped at the return of any payments made or collateral deposited with Surety pursuant to Surety’s request or demands. Contractors and Indemnitors expressly waive any claim against Surety for consequential damages, extra-contractual damages and/or attorneys’ fees.</w:t>
      </w:r>
    </w:p>
    <w:p>
      <w:pPr>
        <w:spacing w:after="0" w:line="178"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TWENTY-SIXTH: This Agreement may be executed in any number of counterparts with separate signature pages, all of which taken together shall constitute the Agreement, and any of the parties hereto may execute this Agreement by signing any such counterpart. This Agreement shall be effective as to each Contractor and Indemnitor when each Contractor and/or Indemnitor has executed it. Contractors and Indemnitors hereby acknowledge that the failure of any one of them to execute this Agreement shall not in any way affect the validity or enforceability of this Agreement as to those Contractors and Indemnitors who have executed the Agreement.</w:t>
      </w:r>
    </w:p>
    <w:p>
      <w:pPr>
        <w:spacing w:after="0" w:line="188"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TWENTY-SEVENTH: Applicable Law. The terms and conditions of this Agreement shall be construed under the laws of New York without regard to its conflicts of laws principles.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When the following terms are used in this General Agreement of Indemnity (this “Agreement”) they shall have the following meanings:</w:t>
      </w:r>
    </w:p>
    <w:p>
      <w:pPr>
        <w:spacing w:after="0" w:line="221"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with respect to any Person, any other Person or group acting in concert with such Person that, directly or indirectly,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intermediaries, controls, or is controlled by, or is under the common control with such Person. For purposes of this definition, “control” (including, with correlative meanings, the terms “controlled by” and “under common control with”), as used with respect to any Person or group of Persons, shall mean the possession, directly or indirectly, of the power to direct or cause the direction of management and policies of such Person, whether through the ownership of voting securities or by contract or otherwise.</w:t>
      </w:r>
    </w:p>
    <w:p>
      <w:pPr>
        <w:spacing w:after="0" w:line="184" w:lineRule="exact"/>
        <w:rPr>
          <w:sz w:val="20"/>
          <w:szCs w:val="20"/>
          <w:color w:val="auto"/>
        </w:rPr>
      </w:pPr>
    </w:p>
    <w:p>
      <w:pPr>
        <w:ind w:right="300" w:firstLine="913"/>
        <w:spacing w:after="0" w:line="314" w:lineRule="auto"/>
        <w:rPr>
          <w:sz w:val="20"/>
          <w:szCs w:val="20"/>
          <w:color w:val="auto"/>
        </w:rPr>
      </w:pPr>
      <w:r>
        <w:rPr>
          <w:rFonts w:ascii="Arial" w:cs="Arial" w:eastAsia="Arial" w:hAnsi="Arial"/>
          <w:sz w:val="16"/>
          <w:szCs w:val="16"/>
          <w:b w:val="1"/>
          <w:bCs w:val="1"/>
          <w:color w:val="auto"/>
        </w:rPr>
        <w:t xml:space="preserve">“Bond” </w:t>
      </w:r>
      <w:r>
        <w:rPr>
          <w:rFonts w:ascii="Arial" w:cs="Arial" w:eastAsia="Arial" w:hAnsi="Arial"/>
          <w:sz w:val="16"/>
          <w:szCs w:val="16"/>
          <w:color w:val="auto"/>
        </w:rPr>
        <w:t>means a bond, undertaking, and/or obligation of suretyship or guarantee issued by Surety (whether as sole surety or as co-surety or</w:t>
      </w:r>
      <w:r>
        <w:rPr>
          <w:rFonts w:ascii="Arial" w:cs="Arial" w:eastAsia="Arial" w:hAnsi="Arial"/>
          <w:sz w:val="16"/>
          <w:szCs w:val="16"/>
          <w:b w:val="1"/>
          <w:bCs w:val="1"/>
          <w:color w:val="auto"/>
        </w:rPr>
        <w:t xml:space="preserve"> </w:t>
      </w:r>
      <w:r>
        <w:rPr>
          <w:rFonts w:ascii="Arial" w:cs="Arial" w:eastAsia="Arial" w:hAnsi="Arial"/>
          <w:sz w:val="16"/>
          <w:szCs w:val="16"/>
          <w:color w:val="auto"/>
        </w:rPr>
        <w:t>reinsurer) on behalf of any Contractor or issued at the request of GREAT LAKES DREDGE &amp; DOCK CORPORATION or GREAT LAKES DREDGE &amp; DOCK COMPANY, LLC. in accordance with the terms of this Agreement, whether issued prior to or after the execution of this Agreement.</w:t>
      </w:r>
    </w:p>
    <w:p>
      <w:pPr>
        <w:spacing w:after="0" w:line="142"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means the occurrence of any of the following without the Surety’s prior written consent: (a) the sale, lease,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conveyance, merger, consolidation or other disposition (“transaction”) (whether one transaction or a series of transactions with any person, entity or group) of all or substantially all of the assets of any Contractor or Indemnitor; (b) the consummation of any transaction (whether one transaction or a series of transactions) the result of which is that any Person becomes the beneficial owner, directly or indirectly, of fifty (50%) percent or more of the voting stock of any Contractor or Indemnitor (measured by voting power rather than number of shares); (c) the acquisition (in one transaction or a series of transactions) by any Contractor or Indemnitor, directly or indirectly, of fifty (50%) percent or more of the beneficial ownership or control in any joint venture, subsidiary, division, affiliate, limited partnership, limited liability partnership, limited liability company or other entity through the issuance of ten (10%) percent or more of the voting power of the total outstanding voting stock of any Contractor or Indemnitor; (d) the adoption of a plan relating to the liquidation or dissolution of any Contractor or Indemnitor or (e) any financial institution, lender, or creditor taking any foreclosure action with respect to any stock or other equity</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00"/>
          </w:cols>
          <w:pgMar w:left="240" w:top="274" w:right="259" w:bottom="1440" w:gutter="0" w:footer="0" w:header="0"/>
        </w:sectPr>
      </w:pPr>
    </w:p>
    <w:bookmarkStart w:id="83" w:name="page84"/>
    <w:bookmarkEnd w:id="83"/>
    <w:p>
      <w:pPr>
        <w:ind w:right="2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in any Contractor or Indemnitor, including but not limited to issuing any notice of or intent to foreclose or otherwise exercising any rights that such Person may have to vote, sell, or otherwise exercise any rights with respect to stock or other equity interest in any Contractor or Indemnitor.</w:t>
      </w:r>
    </w:p>
    <w:p>
      <w:pPr>
        <w:spacing w:after="0" w:line="143"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b w:val="1"/>
          <w:bCs w:val="1"/>
          <w:color w:val="auto"/>
        </w:rPr>
        <w:t xml:space="preserve">“Change in Condition” </w:t>
      </w:r>
      <w:r>
        <w:rPr>
          <w:rFonts w:ascii="Arial" w:cs="Arial" w:eastAsia="Arial" w:hAnsi="Arial"/>
          <w:sz w:val="17"/>
          <w:szCs w:val="17"/>
          <w:color w:val="auto"/>
        </w:rPr>
        <w:t>means any change in the condition (financial or otherwise) of any Contractor or Indemnitor that, in the opinion of</w:t>
      </w:r>
      <w:r>
        <w:rPr>
          <w:rFonts w:ascii="Arial" w:cs="Arial" w:eastAsia="Arial" w:hAnsi="Arial"/>
          <w:sz w:val="17"/>
          <w:szCs w:val="17"/>
          <w:b w:val="1"/>
          <w:bCs w:val="1"/>
          <w:color w:val="auto"/>
        </w:rPr>
        <w:t xml:space="preserve"> </w:t>
      </w:r>
      <w:r>
        <w:rPr>
          <w:rFonts w:ascii="Arial" w:cs="Arial" w:eastAsia="Arial" w:hAnsi="Arial"/>
          <w:sz w:val="17"/>
          <w:szCs w:val="17"/>
          <w:color w:val="auto"/>
        </w:rPr>
        <w:t>Surety, could have (a) a material adverse effect upon the validity, performance, or enforceability of any provisions of this Agreement or any of the transactions contemplated hereby, without the Surety’s prior written consent; (b) a material adverse effect upon the properties, business, prospects, or condition (financial or otherwise) of any Contractor or Indemnitor, which will include but not be limited to (i) the issuance of a “going concern opinion” by the accountants of such Contractor or Indemnitor or (ii) the occurrence of a financial covenant default which occurs under any document relating to financial indebtedness to which any Contractor or Indemnitor is a party, which default is not timely cured in accordance with the terms of that facility; or (c) a material adverse effect upon the ability of any Contractor or Indemnitor to fulfill any obligation under this Agreement or any of the Bonds.</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means:</w:t>
      </w:r>
    </w:p>
    <w:p>
      <w:pPr>
        <w:spacing w:after="0" w:line="135" w:lineRule="exact"/>
        <w:rPr>
          <w:sz w:val="20"/>
          <w:szCs w:val="20"/>
          <w:color w:val="auto"/>
        </w:rPr>
      </w:pPr>
    </w:p>
    <w:p>
      <w:pPr>
        <w:ind w:left="1920" w:hanging="440"/>
        <w:spacing w:after="0"/>
        <w:tabs>
          <w:tab w:leader="none" w:pos="1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abandonment, forfeiture, termination, default or breach of any contracts referred to in the Bonds or any breach of any Bond;</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by Surety of any claim under any Bond or declaration of default under any Bond;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Surety’s establishment of a reserve;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breach of the provisions of this Agreement;</w:t>
      </w:r>
    </w:p>
    <w:p>
      <w:pPr>
        <w:spacing w:after="0" w:line="130" w:lineRule="exact"/>
        <w:rPr>
          <w:rFonts w:ascii="Arial" w:cs="Arial" w:eastAsia="Arial" w:hAnsi="Arial"/>
          <w:sz w:val="18"/>
          <w:szCs w:val="18"/>
          <w:color w:val="auto"/>
        </w:rPr>
      </w:pPr>
    </w:p>
    <w:p>
      <w:pPr>
        <w:ind w:left="1920" w:right="140" w:hanging="440"/>
        <w:spacing w:after="0" w:line="264" w:lineRule="auto"/>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occurrence of any event of default, however described, which occurs under any document relating to financial indebtedness of any Contractor or Indemnitor, in consequence of which that financial indebtedness is or becomes capable of being rendered prematurely due and payable;</w:t>
      </w:r>
    </w:p>
    <w:p>
      <w:pPr>
        <w:spacing w:after="0" w:line="86" w:lineRule="exact"/>
        <w:rPr>
          <w:rFonts w:ascii="Arial" w:cs="Arial" w:eastAsia="Arial" w:hAnsi="Arial"/>
          <w:sz w:val="18"/>
          <w:szCs w:val="18"/>
          <w:color w:val="auto"/>
        </w:rPr>
      </w:pPr>
    </w:p>
    <w:p>
      <w:pPr>
        <w:ind w:left="1920" w:right="500" w:hanging="440"/>
        <w:spacing w:after="0" w:line="308" w:lineRule="auto"/>
        <w:tabs>
          <w:tab w:leader="none" w:pos="1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assignment by any Contractor or Indemnitor for the benefit of creditors, or the appointment, or of any application for the appointment, of a receiver or trustee for any Contractor or Indemnitor, whether insolvent or not;</w:t>
      </w:r>
    </w:p>
    <w:p>
      <w:pPr>
        <w:spacing w:after="0" w:line="51" w:lineRule="exact"/>
        <w:rPr>
          <w:rFonts w:ascii="Arial" w:cs="Arial" w:eastAsia="Arial" w:hAnsi="Arial"/>
          <w:sz w:val="17"/>
          <w:szCs w:val="17"/>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Contractor or Indemnitor becoming a debtor in any bankruptcy proceeding (whether voluntarily or involuntarily);</w:t>
      </w:r>
    </w:p>
    <w:p>
      <w:pPr>
        <w:spacing w:after="0" w:line="130" w:lineRule="exact"/>
        <w:rPr>
          <w:rFonts w:ascii="Arial" w:cs="Arial" w:eastAsia="Arial" w:hAnsi="Arial"/>
          <w:sz w:val="18"/>
          <w:szCs w:val="18"/>
          <w:color w:val="auto"/>
        </w:rPr>
      </w:pPr>
    </w:p>
    <w:p>
      <w:pPr>
        <w:ind w:left="1920" w:right="280" w:hanging="440"/>
        <w:spacing w:after="0" w:line="277" w:lineRule="auto"/>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proceeding which deprives any Contractor or Indemnitor and/or Surety of the use of any collateral provided to Surety under this Agreement;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Change in Control or a Change in Condition of any Contractor or Indemnitor.</w:t>
      </w:r>
    </w:p>
    <w:p>
      <w:pPr>
        <w:spacing w:after="0" w:line="22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means all premiums due to Surety and any and all liability, loss, costs, damages, attorneys’ fees and expenses, of whatever kind or nature,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sustained or incurred by Surety by reason, or in consequence of its executing or procuring the execution of any Bond (including any claim for additional or extra-contractual damages arising from Surety’s investigation, payment or denial of any claim under any Bond), in making any investigation in relation to any Bond, in defending or prosecuting any action, suit or other proceeding which may be brought in connection with any Bond, in enforcing any of the terms of this Agreement or the, and in obtaining a release from liability under any Bond. Loss includes but is not limited to all amounts paid by Surety for</w:t>
      </w:r>
    </w:p>
    <w:p>
      <w:pPr>
        <w:spacing w:after="0" w:line="2" w:lineRule="exact"/>
        <w:rPr>
          <w:sz w:val="20"/>
          <w:szCs w:val="20"/>
          <w:color w:val="auto"/>
        </w:rPr>
      </w:pPr>
    </w:p>
    <w:p>
      <w:pPr>
        <w:ind w:right="80" w:firstLine="8"/>
        <w:spacing w:after="0" w:line="255"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liability, loss, costs, damages, reasonable attorneys’ fees and amounts paid in the investigation, adjustment, settlement or compromise of any Claim or any lawsuits, arbitrations, judgments and/or decisions on those Claims; (ii) court, mediation or arbitration fees, costs and expenses; (iii) interest; (iv) consulting and expert fees, and (v) any other liability, loss, cost or expense which Surety may sustain or incur.</w:t>
      </w:r>
    </w:p>
    <w:p>
      <w:pPr>
        <w:spacing w:after="0" w:line="186"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means an entity of which a Person has direct or indirect control or owns directly or indirectly more than fifty (50) per cent of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or similar rights of ownership.</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TO FOLLOW</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remainder of this page is intentionally left blank)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20"/>
          </w:cols>
          <w:pgMar w:left="240" w:top="274" w:right="239" w:bottom="1440" w:gutter="0" w:footer="0" w:header="0"/>
        </w:sectPr>
      </w:pPr>
    </w:p>
    <w:bookmarkStart w:id="84" w:name="page85"/>
    <w:bookmarkEnd w:id="84"/>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ATTEST OR WITNESS:</w:t>
            </w: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GREAT LAKES DREDGE &amp; DOCK CORPORATION</w:t>
            </w:r>
          </w:p>
        </w:tc>
        <w:tc>
          <w:tcPr>
            <w:tcW w:w="14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4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Oak Brook, IL 60523</w:t>
            </w:r>
          </w:p>
        </w:tc>
        <w:tc>
          <w:tcPr>
            <w:tcW w:w="142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420" w:type="dxa"/>
            <w:vAlign w:val="bottom"/>
          </w:tcPr>
          <w:p>
            <w:pPr>
              <w:spacing w:after="0"/>
              <w:rPr>
                <w:sz w:val="20"/>
                <w:szCs w:val="20"/>
                <w:color w:val="auto"/>
              </w:rPr>
            </w:pPr>
          </w:p>
        </w:tc>
      </w:tr>
      <w:tr>
        <w:trPr>
          <w:trHeight w:val="43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Katherine M. O’Halloran</w:t>
            </w:r>
          </w:p>
        </w:tc>
        <w:tc>
          <w:tcPr>
            <w:tcW w:w="33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Marinko</w:t>
            </w:r>
          </w:p>
        </w:tc>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(SEAL)</w:t>
            </w:r>
          </w:p>
        </w:tc>
      </w:tr>
      <w:tr>
        <w:trPr>
          <w:trHeight w:val="209"/>
        </w:trPr>
        <w:tc>
          <w:tcPr>
            <w:tcW w:w="5380" w:type="dxa"/>
            <w:vAlign w:val="bottom"/>
            <w:gridSpan w:val="2"/>
          </w:tcPr>
          <w:p>
            <w:pPr>
              <w:spacing w:after="0"/>
              <w:rPr>
                <w:sz w:val="20"/>
                <w:szCs w:val="20"/>
                <w:color w:val="auto"/>
              </w:rPr>
            </w:pPr>
            <w:r>
              <w:rPr>
                <w:rFonts w:ascii="Arial" w:cs="Arial" w:eastAsia="Arial" w:hAnsi="Arial"/>
                <w:sz w:val="18"/>
                <w:szCs w:val="18"/>
                <w:color w:val="auto"/>
                <w:w w:val="93"/>
              </w:rPr>
              <w:t>Katherine M. O’Halloran, VP, Corporate Controller, Treasurer, Assistant</w:t>
            </w:r>
          </w:p>
        </w:tc>
        <w:tc>
          <w:tcPr>
            <w:tcW w:w="5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Mark W. Marinko, Senior VP &amp; CFO</w:t>
            </w:r>
          </w:p>
        </w:tc>
        <w:tc>
          <w:tcPr>
            <w:tcW w:w="142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Secretary</w:t>
            </w:r>
          </w:p>
        </w:tc>
        <w:tc>
          <w:tcPr>
            <w:tcW w:w="3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ACKNOWLEDGEMENT</w:t>
            </w:r>
          </w:p>
        </w:tc>
        <w:tc>
          <w:tcPr>
            <w:tcW w:w="3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STATE OF Illinois</w:t>
            </w:r>
          </w:p>
        </w:tc>
        <w:tc>
          <w:tcPr>
            <w:tcW w:w="3320" w:type="dxa"/>
            <w:vAlign w:val="bottom"/>
          </w:tcPr>
          <w:p>
            <w:pPr>
              <w:ind w:left="20"/>
              <w:spacing w:after="0"/>
              <w:rPr>
                <w:sz w:val="20"/>
                <w:szCs w:val="20"/>
                <w:color w:val="auto"/>
              </w:rPr>
            </w:pPr>
            <w:r>
              <w:rPr>
                <w:rFonts w:ascii="Arial" w:cs="Arial" w:eastAsia="Arial" w:hAnsi="Arial"/>
                <w:sz w:val="18"/>
                <w:szCs w:val="18"/>
                <w:color w:val="auto"/>
              </w:rPr>
              <w:t>County of DuPage</w:t>
            </w:r>
          </w:p>
        </w:tc>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On this </w:t>
      </w:r>
      <w:r>
        <w:rPr>
          <w:rFonts w:ascii="Arial" w:cs="Arial" w:eastAsia="Arial" w:hAnsi="Arial"/>
          <w:sz w:val="16"/>
          <w:szCs w:val="16"/>
          <w:u w:val="single" w:color="auto"/>
          <w:color w:val="auto"/>
        </w:rPr>
        <w:t>7th</w:t>
      </w:r>
      <w:r>
        <w:rPr>
          <w:rFonts w:ascii="Arial" w:cs="Arial" w:eastAsia="Arial" w:hAnsi="Arial"/>
          <w:sz w:val="16"/>
          <w:szCs w:val="16"/>
          <w:color w:val="auto"/>
        </w:rPr>
        <w:t xml:space="preserve"> day of </w:t>
      </w:r>
      <w:r>
        <w:rPr>
          <w:rFonts w:ascii="Arial" w:cs="Arial" w:eastAsia="Arial" w:hAnsi="Arial"/>
          <w:sz w:val="16"/>
          <w:szCs w:val="16"/>
          <w:u w:val="single" w:color="auto"/>
          <w:color w:val="auto"/>
        </w:rPr>
        <w:t>April 2015</w:t>
      </w:r>
      <w:r>
        <w:rPr>
          <w:rFonts w:ascii="Arial" w:cs="Arial" w:eastAsia="Arial" w:hAnsi="Arial"/>
          <w:sz w:val="16"/>
          <w:szCs w:val="16"/>
          <w:color w:val="auto"/>
        </w:rPr>
        <w:t xml:space="preserve"> before me personally appeared </w:t>
      </w:r>
      <w:r>
        <w:rPr>
          <w:rFonts w:ascii="Arial" w:cs="Arial" w:eastAsia="Arial" w:hAnsi="Arial"/>
          <w:sz w:val="16"/>
          <w:szCs w:val="16"/>
          <w:u w:val="single" w:color="auto"/>
          <w:color w:val="auto"/>
        </w:rPr>
        <w:t>Mark W. Marinko</w:t>
      </w:r>
      <w:r>
        <w:rPr>
          <w:rFonts w:ascii="Arial" w:cs="Arial" w:eastAsia="Arial" w:hAnsi="Arial"/>
          <w:sz w:val="16"/>
          <w:szCs w:val="16"/>
          <w:color w:val="auto"/>
        </w:rPr>
        <w:t xml:space="preserve"> known or proven to me to be the </w:t>
      </w:r>
      <w:r>
        <w:rPr>
          <w:rFonts w:ascii="Arial" w:cs="Arial" w:eastAsia="Arial" w:hAnsi="Arial"/>
          <w:sz w:val="16"/>
          <w:szCs w:val="16"/>
          <w:u w:val="single" w:color="auto"/>
          <w:color w:val="auto"/>
        </w:rPr>
        <w:t>Senior VP &amp; CFO</w:t>
      </w:r>
      <w:r>
        <w:rPr>
          <w:rFonts w:ascii="Arial" w:cs="Arial" w:eastAsia="Arial" w:hAnsi="Arial"/>
          <w:sz w:val="16"/>
          <w:szCs w:val="16"/>
          <w:color w:val="auto"/>
        </w:rPr>
        <w:t xml:space="preserve"> of the entity executing the foregoing instrument (“Entity”) and </w:t>
      </w:r>
      <w:r>
        <w:rPr>
          <w:rFonts w:ascii="Arial" w:cs="Arial" w:eastAsia="Arial" w:hAnsi="Arial"/>
          <w:sz w:val="16"/>
          <w:szCs w:val="16"/>
          <w:u w:val="single" w:color="auto"/>
          <w:color w:val="auto"/>
        </w:rPr>
        <w:t>Katherine M. O’Halloran</w:t>
      </w:r>
      <w:r>
        <w:rPr>
          <w:rFonts w:ascii="Arial" w:cs="Arial" w:eastAsia="Arial" w:hAnsi="Arial"/>
          <w:sz w:val="16"/>
          <w:szCs w:val="16"/>
          <w:color w:val="auto"/>
        </w:rPr>
        <w:t xml:space="preserve"> known or proven to me to be the </w:t>
      </w:r>
      <w:r>
        <w:rPr>
          <w:rFonts w:ascii="Arial" w:cs="Arial" w:eastAsia="Arial" w:hAnsi="Arial"/>
          <w:sz w:val="16"/>
          <w:szCs w:val="16"/>
          <w:u w:val="single" w:color="auto"/>
          <w:color w:val="auto"/>
        </w:rPr>
        <w:t>VP, Corporate Controller, Treasurer, Assistant Secretary</w:t>
      </w:r>
      <w:r>
        <w:rPr>
          <w:rFonts w:ascii="Arial" w:cs="Arial" w:eastAsia="Arial" w:hAnsi="Arial"/>
          <w:sz w:val="16"/>
          <w:szCs w:val="16"/>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20"/>
          </w:cols>
          <w:pgMar w:left="240" w:top="270" w:right="239" w:bottom="1440" w:gutter="0" w:footer="0" w:header="0"/>
        </w:sectPr>
      </w:pPr>
    </w:p>
    <w:bookmarkStart w:id="85" w:name="page86"/>
    <w:bookmarkEnd w:id="85"/>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ATTEST OR WITNESS:</w:t>
            </w: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GREAT LAKES DREDGE &amp; DOCK COMPANY, LLC</w:t>
            </w:r>
          </w:p>
        </w:tc>
      </w:tr>
      <w:tr>
        <w:trPr>
          <w:trHeight w:val="216"/>
        </w:trPr>
        <w:tc>
          <w:tcPr>
            <w:tcW w:w="2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2040" w:type="dxa"/>
            <w:vAlign w:val="bottom"/>
          </w:tcPr>
          <w:p>
            <w:pPr>
              <w:spacing w:after="0"/>
              <w:rPr>
                <w:sz w:val="18"/>
                <w:szCs w:val="18"/>
                <w:color w:val="auto"/>
              </w:rPr>
            </w:pPr>
          </w:p>
        </w:tc>
      </w:tr>
      <w:tr>
        <w:trPr>
          <w:trHeight w:val="230"/>
        </w:trPr>
        <w:tc>
          <w:tcPr>
            <w:tcW w:w="20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Oak Brook, IL 60523</w:t>
            </w:r>
          </w:p>
        </w:tc>
        <w:tc>
          <w:tcPr>
            <w:tcW w:w="2040" w:type="dxa"/>
            <w:vAlign w:val="bottom"/>
          </w:tcPr>
          <w:p>
            <w:pPr>
              <w:spacing w:after="0"/>
              <w:rPr>
                <w:sz w:val="19"/>
                <w:szCs w:val="19"/>
                <w:color w:val="auto"/>
              </w:rPr>
            </w:pPr>
          </w:p>
        </w:tc>
      </w:tr>
      <w:tr>
        <w:trPr>
          <w:trHeight w:val="230"/>
        </w:trPr>
        <w:tc>
          <w:tcPr>
            <w:tcW w:w="2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2040" w:type="dxa"/>
            <w:vAlign w:val="bottom"/>
          </w:tcPr>
          <w:p>
            <w:pPr>
              <w:spacing w:after="0"/>
              <w:rPr>
                <w:sz w:val="20"/>
                <w:szCs w:val="20"/>
                <w:color w:val="auto"/>
              </w:rPr>
            </w:pPr>
          </w:p>
        </w:tc>
      </w:tr>
      <w:tr>
        <w:trPr>
          <w:trHeight w:val="43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Katherine M. O’Halloran</w:t>
            </w:r>
          </w:p>
        </w:tc>
        <w:tc>
          <w:tcPr>
            <w:tcW w:w="33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Marinko</w:t>
            </w:r>
          </w:p>
        </w:tc>
        <w:tc>
          <w:tcPr>
            <w:tcW w:w="204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(SEAL)</w:t>
            </w:r>
          </w:p>
        </w:tc>
      </w:tr>
      <w:tr>
        <w:trPr>
          <w:trHeight w:val="209"/>
        </w:trPr>
        <w:tc>
          <w:tcPr>
            <w:tcW w:w="5380" w:type="dxa"/>
            <w:vAlign w:val="bottom"/>
            <w:gridSpan w:val="2"/>
          </w:tcPr>
          <w:p>
            <w:pPr>
              <w:spacing w:after="0"/>
              <w:rPr>
                <w:sz w:val="20"/>
                <w:szCs w:val="20"/>
                <w:color w:val="auto"/>
              </w:rPr>
            </w:pPr>
            <w:r>
              <w:rPr>
                <w:rFonts w:ascii="Arial" w:cs="Arial" w:eastAsia="Arial" w:hAnsi="Arial"/>
                <w:sz w:val="18"/>
                <w:szCs w:val="18"/>
                <w:color w:val="auto"/>
                <w:w w:val="93"/>
              </w:rPr>
              <w:t>Katherine M. O’Halloran, VP, Corporate Controller, Treasurer, Assistant</w:t>
            </w:r>
          </w:p>
        </w:tc>
        <w:tc>
          <w:tcPr>
            <w:tcW w:w="58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Mark W. Marinko, Senior VP &amp; CFO</w:t>
            </w:r>
          </w:p>
        </w:tc>
        <w:tc>
          <w:tcPr>
            <w:tcW w:w="2040" w:type="dxa"/>
            <w:vAlign w:val="bottom"/>
          </w:tcPr>
          <w:p>
            <w:pPr>
              <w:spacing w:after="0"/>
              <w:rPr>
                <w:sz w:val="18"/>
                <w:szCs w:val="18"/>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Secretary</w:t>
            </w:r>
          </w:p>
        </w:tc>
        <w:tc>
          <w:tcPr>
            <w:tcW w:w="3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418"/>
        </w:trPr>
        <w:tc>
          <w:tcPr>
            <w:tcW w:w="2060" w:type="dxa"/>
            <w:vAlign w:val="bottom"/>
          </w:tcPr>
          <w:p>
            <w:pPr>
              <w:spacing w:after="0"/>
              <w:rPr>
                <w:sz w:val="20"/>
                <w:szCs w:val="20"/>
                <w:color w:val="auto"/>
              </w:rPr>
            </w:pPr>
            <w:r>
              <w:rPr>
                <w:rFonts w:ascii="Arial" w:cs="Arial" w:eastAsia="Arial" w:hAnsi="Arial"/>
                <w:sz w:val="18"/>
                <w:szCs w:val="18"/>
                <w:color w:val="auto"/>
              </w:rPr>
              <w:t>ACKNOWLEDGEMENT</w:t>
            </w:r>
          </w:p>
        </w:tc>
        <w:tc>
          <w:tcPr>
            <w:tcW w:w="3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STATE OF Illinois</w:t>
            </w:r>
          </w:p>
        </w:tc>
        <w:tc>
          <w:tcPr>
            <w:tcW w:w="3320" w:type="dxa"/>
            <w:vAlign w:val="bottom"/>
          </w:tcPr>
          <w:p>
            <w:pPr>
              <w:ind w:left="20"/>
              <w:spacing w:after="0"/>
              <w:rPr>
                <w:sz w:val="20"/>
                <w:szCs w:val="20"/>
                <w:color w:val="auto"/>
              </w:rPr>
            </w:pPr>
            <w:r>
              <w:rPr>
                <w:rFonts w:ascii="Arial" w:cs="Arial" w:eastAsia="Arial" w:hAnsi="Arial"/>
                <w:sz w:val="18"/>
                <w:szCs w:val="18"/>
                <w:color w:val="auto"/>
              </w:rPr>
              <w:t>County of DuPage</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On this </w:t>
      </w:r>
      <w:r>
        <w:rPr>
          <w:rFonts w:ascii="Arial" w:cs="Arial" w:eastAsia="Arial" w:hAnsi="Arial"/>
          <w:sz w:val="16"/>
          <w:szCs w:val="16"/>
          <w:u w:val="single" w:color="auto"/>
          <w:color w:val="auto"/>
        </w:rPr>
        <w:t>7th</w:t>
      </w:r>
      <w:r>
        <w:rPr>
          <w:rFonts w:ascii="Arial" w:cs="Arial" w:eastAsia="Arial" w:hAnsi="Arial"/>
          <w:sz w:val="16"/>
          <w:szCs w:val="16"/>
          <w:color w:val="auto"/>
        </w:rPr>
        <w:t xml:space="preserve"> day of </w:t>
      </w:r>
      <w:r>
        <w:rPr>
          <w:rFonts w:ascii="Arial" w:cs="Arial" w:eastAsia="Arial" w:hAnsi="Arial"/>
          <w:sz w:val="16"/>
          <w:szCs w:val="16"/>
          <w:u w:val="single" w:color="auto"/>
          <w:color w:val="auto"/>
        </w:rPr>
        <w:t>April 2015</w:t>
      </w:r>
      <w:r>
        <w:rPr>
          <w:rFonts w:ascii="Arial" w:cs="Arial" w:eastAsia="Arial" w:hAnsi="Arial"/>
          <w:sz w:val="16"/>
          <w:szCs w:val="16"/>
          <w:color w:val="auto"/>
        </w:rPr>
        <w:t xml:space="preserve"> before me personally appeared </w:t>
      </w:r>
      <w:r>
        <w:rPr>
          <w:rFonts w:ascii="Arial" w:cs="Arial" w:eastAsia="Arial" w:hAnsi="Arial"/>
          <w:sz w:val="16"/>
          <w:szCs w:val="16"/>
          <w:u w:val="single" w:color="auto"/>
          <w:color w:val="auto"/>
        </w:rPr>
        <w:t>Mark W. Marinko</w:t>
      </w:r>
      <w:r>
        <w:rPr>
          <w:rFonts w:ascii="Arial" w:cs="Arial" w:eastAsia="Arial" w:hAnsi="Arial"/>
          <w:sz w:val="16"/>
          <w:szCs w:val="16"/>
          <w:color w:val="auto"/>
        </w:rPr>
        <w:t xml:space="preserve"> known or proven to me to be the </w:t>
      </w:r>
      <w:r>
        <w:rPr>
          <w:rFonts w:ascii="Arial" w:cs="Arial" w:eastAsia="Arial" w:hAnsi="Arial"/>
          <w:sz w:val="16"/>
          <w:szCs w:val="16"/>
          <w:u w:val="single" w:color="auto"/>
          <w:color w:val="auto"/>
        </w:rPr>
        <w:t>Senior VP &amp; CFO</w:t>
      </w:r>
      <w:r>
        <w:rPr>
          <w:rFonts w:ascii="Arial" w:cs="Arial" w:eastAsia="Arial" w:hAnsi="Arial"/>
          <w:sz w:val="16"/>
          <w:szCs w:val="16"/>
          <w:color w:val="auto"/>
        </w:rPr>
        <w:t xml:space="preserve"> of the entity executing the foregoing instrument (“Entity”) and </w:t>
      </w:r>
      <w:r>
        <w:rPr>
          <w:rFonts w:ascii="Arial" w:cs="Arial" w:eastAsia="Arial" w:hAnsi="Arial"/>
          <w:sz w:val="16"/>
          <w:szCs w:val="16"/>
          <w:u w:val="single" w:color="auto"/>
          <w:color w:val="auto"/>
        </w:rPr>
        <w:t>Katherine M. O’Halloran</w:t>
      </w:r>
      <w:r>
        <w:rPr>
          <w:rFonts w:ascii="Arial" w:cs="Arial" w:eastAsia="Arial" w:hAnsi="Arial"/>
          <w:sz w:val="16"/>
          <w:szCs w:val="16"/>
          <w:color w:val="auto"/>
        </w:rPr>
        <w:t xml:space="preserve"> known or proven to me to be the </w:t>
      </w:r>
      <w:r>
        <w:rPr>
          <w:rFonts w:ascii="Arial" w:cs="Arial" w:eastAsia="Arial" w:hAnsi="Arial"/>
          <w:sz w:val="16"/>
          <w:szCs w:val="16"/>
          <w:u w:val="single" w:color="auto"/>
          <w:color w:val="auto"/>
        </w:rPr>
        <w:t>VP, Corporate Controller, Treasurer, Assistant Secretary</w:t>
      </w:r>
      <w:r>
        <w:rPr>
          <w:rFonts w:ascii="Arial" w:cs="Arial" w:eastAsia="Arial" w:hAnsi="Arial"/>
          <w:sz w:val="16"/>
          <w:szCs w:val="16"/>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18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20"/>
          </w:cols>
          <w:pgMar w:left="240" w:top="270" w:right="239" w:bottom="1440" w:gutter="0" w:footer="0" w:header="0"/>
        </w:sectPr>
      </w:pPr>
    </w:p>
    <w:bookmarkStart w:id="86" w:name="page87"/>
    <w:bookmarkEnd w:id="86"/>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ATTEST OR WITNESS:</w:t>
            </w: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GREAT LAKES ENVIRONMENTAL &amp; INFRASTRUCTURE</w:t>
            </w:r>
          </w:p>
        </w:tc>
      </w:tr>
      <w:tr>
        <w:trPr>
          <w:trHeight w:val="216"/>
        </w:trPr>
        <w:tc>
          <w:tcPr>
            <w:tcW w:w="2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SOLUTIONS, LLC</w:t>
            </w:r>
          </w:p>
        </w:tc>
        <w:tc>
          <w:tcPr>
            <w:tcW w:w="174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740" w:type="dxa"/>
            <w:vAlign w:val="bottom"/>
          </w:tcPr>
          <w:p>
            <w:pPr>
              <w:spacing w:after="0"/>
              <w:rPr>
                <w:sz w:val="18"/>
                <w:szCs w:val="18"/>
                <w:color w:val="auto"/>
              </w:rPr>
            </w:pPr>
          </w:p>
        </w:tc>
      </w:tr>
      <w:tr>
        <w:trPr>
          <w:trHeight w:val="230"/>
        </w:trPr>
        <w:tc>
          <w:tcPr>
            <w:tcW w:w="20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Oak Brook, IL 60523</w:t>
            </w:r>
          </w:p>
        </w:tc>
        <w:tc>
          <w:tcPr>
            <w:tcW w:w="1740" w:type="dxa"/>
            <w:vAlign w:val="bottom"/>
          </w:tcPr>
          <w:p>
            <w:pPr>
              <w:spacing w:after="0"/>
              <w:rPr>
                <w:sz w:val="19"/>
                <w:szCs w:val="19"/>
                <w:color w:val="auto"/>
              </w:rPr>
            </w:pPr>
          </w:p>
        </w:tc>
      </w:tr>
      <w:tr>
        <w:trPr>
          <w:trHeight w:val="230"/>
        </w:trPr>
        <w:tc>
          <w:tcPr>
            <w:tcW w:w="20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740" w:type="dxa"/>
            <w:vAlign w:val="bottom"/>
          </w:tcPr>
          <w:p>
            <w:pPr>
              <w:spacing w:after="0"/>
              <w:rPr>
                <w:sz w:val="20"/>
                <w:szCs w:val="20"/>
                <w:color w:val="auto"/>
              </w:rPr>
            </w:pPr>
          </w:p>
        </w:tc>
      </w:tr>
      <w:tr>
        <w:trPr>
          <w:trHeight w:val="432"/>
        </w:trPr>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Katherine M. O’Halloran</w:t>
            </w:r>
          </w:p>
        </w:tc>
        <w:tc>
          <w:tcPr>
            <w:tcW w:w="332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W. Marinko</w:t>
            </w: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(SEAL)</w:t>
            </w: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Katherine M. O’Halloran, Treasurer</w:t>
            </w:r>
          </w:p>
        </w:tc>
        <w:tc>
          <w:tcPr>
            <w:tcW w:w="6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94"/>
              </w:rPr>
              <w:t>Mark W. Marinko, Senior Vice President &amp; CFO</w:t>
            </w:r>
          </w:p>
        </w:tc>
        <w:tc>
          <w:tcPr>
            <w:tcW w:w="1740" w:type="dxa"/>
            <w:vAlign w:val="bottom"/>
          </w:tcPr>
          <w:p>
            <w:pPr>
              <w:spacing w:after="0"/>
              <w:rPr>
                <w:sz w:val="19"/>
                <w:szCs w:val="19"/>
                <w:color w:val="auto"/>
              </w:rPr>
            </w:pPr>
          </w:p>
        </w:tc>
      </w:tr>
      <w:tr>
        <w:trPr>
          <w:trHeight w:val="417"/>
        </w:trPr>
        <w:tc>
          <w:tcPr>
            <w:tcW w:w="2060" w:type="dxa"/>
            <w:vAlign w:val="bottom"/>
          </w:tcPr>
          <w:p>
            <w:pPr>
              <w:spacing w:after="0"/>
              <w:rPr>
                <w:sz w:val="20"/>
                <w:szCs w:val="20"/>
                <w:color w:val="auto"/>
              </w:rPr>
            </w:pPr>
            <w:r>
              <w:rPr>
                <w:rFonts w:ascii="Arial" w:cs="Arial" w:eastAsia="Arial" w:hAnsi="Arial"/>
                <w:sz w:val="18"/>
                <w:szCs w:val="18"/>
                <w:color w:val="auto"/>
              </w:rPr>
              <w:t>ACKNOWLEDGEMENT</w:t>
            </w: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STATE OF Illinois</w:t>
            </w:r>
          </w:p>
        </w:tc>
        <w:tc>
          <w:tcPr>
            <w:tcW w:w="3320" w:type="dxa"/>
            <w:vAlign w:val="bottom"/>
          </w:tcPr>
          <w:p>
            <w:pPr>
              <w:ind w:left="20"/>
              <w:spacing w:after="0"/>
              <w:rPr>
                <w:sz w:val="20"/>
                <w:szCs w:val="20"/>
                <w:color w:val="auto"/>
              </w:rPr>
            </w:pPr>
            <w:r>
              <w:rPr>
                <w:rFonts w:ascii="Arial" w:cs="Arial" w:eastAsia="Arial" w:hAnsi="Arial"/>
                <w:sz w:val="18"/>
                <w:szCs w:val="18"/>
                <w:color w:val="auto"/>
              </w:rPr>
              <w:t>County of DuPage</w:t>
            </w:r>
          </w:p>
        </w:tc>
        <w:tc>
          <w:tcPr>
            <w:tcW w:w="6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w:t>
      </w:r>
      <w:r>
        <w:rPr>
          <w:rFonts w:ascii="Arial" w:cs="Arial" w:eastAsia="Arial" w:hAnsi="Arial"/>
          <w:sz w:val="18"/>
          <w:szCs w:val="18"/>
          <w:u w:val="single" w:color="auto"/>
          <w:color w:val="auto"/>
        </w:rPr>
        <w:t>Mark W. Marinko</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Senior Vice President &amp; CFO</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u w:val="single" w:color="auto"/>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Treasurer</w:t>
      </w:r>
      <w:r>
        <w:rPr>
          <w:rFonts w:ascii="Arial" w:cs="Arial" w:eastAsia="Arial" w:hAnsi="Arial"/>
          <w:sz w:val="18"/>
          <w:szCs w:val="18"/>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20"/>
          </w:cols>
          <w:pgMar w:left="240" w:top="270" w:right="239" w:bottom="1440" w:gutter="0" w:footer="0" w:header="0"/>
        </w:sectPr>
      </w:pPr>
    </w:p>
    <w:bookmarkStart w:id="87" w:name="page88"/>
    <w:bookmarkEnd w:id="87"/>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ATTEST OR WITNESS:</w:t>
            </w:r>
          </w:p>
        </w:tc>
        <w:tc>
          <w:tcPr>
            <w:tcW w:w="3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MAGNUS PACIFIC, LLC</w:t>
            </w:r>
          </w:p>
        </w:tc>
        <w:tc>
          <w:tcPr>
            <w:tcW w:w="174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74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Oak Brook, IL 60523</w:t>
            </w:r>
          </w:p>
        </w:tc>
        <w:tc>
          <w:tcPr>
            <w:tcW w:w="1740" w:type="dxa"/>
            <w:vAlign w:val="bottom"/>
          </w:tcPr>
          <w:p>
            <w:pPr>
              <w:spacing w:after="0"/>
              <w:rPr>
                <w:sz w:val="19"/>
                <w:szCs w:val="19"/>
                <w:color w:val="auto"/>
              </w:rPr>
            </w:pPr>
          </w:p>
        </w:tc>
      </w:tr>
      <w:tr>
        <w:trPr>
          <w:trHeight w:val="230"/>
        </w:trPr>
        <w:tc>
          <w:tcPr>
            <w:tcW w:w="20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740" w:type="dxa"/>
            <w:vAlign w:val="bottom"/>
          </w:tcPr>
          <w:p>
            <w:pPr>
              <w:spacing w:after="0"/>
              <w:rPr>
                <w:sz w:val="20"/>
                <w:szCs w:val="20"/>
                <w:color w:val="auto"/>
              </w:rPr>
            </w:pPr>
          </w:p>
        </w:tc>
      </w:tr>
      <w:tr>
        <w:trPr>
          <w:trHeight w:val="432"/>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Parker Burke</w:t>
            </w:r>
          </w:p>
        </w:tc>
        <w:tc>
          <w:tcPr>
            <w:tcW w:w="3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M. O’Halloran</w:t>
            </w:r>
          </w:p>
        </w:tc>
        <w:tc>
          <w:tcPr>
            <w:tcW w:w="17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(NO SEAL)</w:t>
            </w: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Ellen Parker Burke, Assistant Secretary</w:t>
            </w:r>
          </w:p>
        </w:tc>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Katherine M. O’Halloran, Assistant Treasurer</w:t>
            </w:r>
          </w:p>
        </w:tc>
        <w:tc>
          <w:tcPr>
            <w:tcW w:w="1740" w:type="dxa"/>
            <w:vAlign w:val="bottom"/>
          </w:tcPr>
          <w:p>
            <w:pPr>
              <w:spacing w:after="0"/>
              <w:rPr>
                <w:sz w:val="19"/>
                <w:szCs w:val="19"/>
                <w:color w:val="auto"/>
              </w:rPr>
            </w:pPr>
          </w:p>
        </w:tc>
      </w:tr>
      <w:tr>
        <w:trPr>
          <w:trHeight w:val="417"/>
        </w:trPr>
        <w:tc>
          <w:tcPr>
            <w:tcW w:w="2000" w:type="dxa"/>
            <w:vAlign w:val="bottom"/>
          </w:tcPr>
          <w:p>
            <w:pPr>
              <w:spacing w:after="0"/>
              <w:rPr>
                <w:sz w:val="20"/>
                <w:szCs w:val="20"/>
                <w:color w:val="auto"/>
              </w:rPr>
            </w:pPr>
            <w:r>
              <w:rPr>
                <w:rFonts w:ascii="Arial" w:cs="Arial" w:eastAsia="Arial" w:hAnsi="Arial"/>
                <w:sz w:val="18"/>
                <w:szCs w:val="18"/>
                <w:color w:val="auto"/>
              </w:rPr>
              <w:t>ACKNOWLEDGEMENT</w:t>
            </w: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STATE OF Illinois</w:t>
            </w:r>
          </w:p>
        </w:tc>
        <w:tc>
          <w:tcPr>
            <w:tcW w:w="3380" w:type="dxa"/>
            <w:vAlign w:val="bottom"/>
          </w:tcPr>
          <w:p>
            <w:pPr>
              <w:ind w:left="80"/>
              <w:spacing w:after="0"/>
              <w:rPr>
                <w:sz w:val="20"/>
                <w:szCs w:val="20"/>
                <w:color w:val="auto"/>
              </w:rPr>
            </w:pPr>
            <w:r>
              <w:rPr>
                <w:rFonts w:ascii="Arial" w:cs="Arial" w:eastAsia="Arial" w:hAnsi="Arial"/>
                <w:sz w:val="18"/>
                <w:szCs w:val="18"/>
                <w:color w:val="auto"/>
              </w:rPr>
              <w:t>County of DuPage</w:t>
            </w:r>
          </w:p>
        </w:tc>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w:t>
      </w:r>
      <w:r>
        <w:rPr>
          <w:rFonts w:ascii="Arial" w:cs="Arial" w:eastAsia="Arial" w:hAnsi="Arial"/>
          <w:sz w:val="18"/>
          <w:szCs w:val="18"/>
          <w:u w:val="single" w:color="auto"/>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u w:val="single" w:color="auto"/>
          <w:color w:val="auto"/>
        </w:rPr>
        <w:t>Ellen Parker Burke</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20"/>
          </w:cols>
          <w:pgMar w:left="240" w:top="270" w:right="239" w:bottom="1440" w:gutter="0" w:footer="0" w:header="0"/>
        </w:sectPr>
      </w:pPr>
    </w:p>
    <w:bookmarkStart w:id="88" w:name="page89"/>
    <w:bookmarkEnd w:id="88"/>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ATTEST OR WITNESS:</w:t>
            </w:r>
          </w:p>
        </w:tc>
        <w:tc>
          <w:tcPr>
            <w:tcW w:w="3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TERRA CONTRACTING SERVICES, LLC</w:t>
            </w:r>
          </w:p>
        </w:tc>
        <w:tc>
          <w:tcPr>
            <w:tcW w:w="18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186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Oak Brook, IL 60523</w:t>
            </w:r>
          </w:p>
        </w:tc>
        <w:tc>
          <w:tcPr>
            <w:tcW w:w="1860" w:type="dxa"/>
            <w:vAlign w:val="bottom"/>
          </w:tcPr>
          <w:p>
            <w:pPr>
              <w:spacing w:after="0"/>
              <w:rPr>
                <w:sz w:val="19"/>
                <w:szCs w:val="19"/>
                <w:color w:val="auto"/>
              </w:rPr>
            </w:pPr>
          </w:p>
        </w:tc>
      </w:tr>
      <w:tr>
        <w:trPr>
          <w:trHeight w:val="230"/>
        </w:trPr>
        <w:tc>
          <w:tcPr>
            <w:tcW w:w="20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1860" w:type="dxa"/>
            <w:vAlign w:val="bottom"/>
          </w:tcPr>
          <w:p>
            <w:pPr>
              <w:spacing w:after="0"/>
              <w:rPr>
                <w:sz w:val="20"/>
                <w:szCs w:val="20"/>
                <w:color w:val="auto"/>
              </w:rPr>
            </w:pPr>
          </w:p>
        </w:tc>
      </w:tr>
      <w:tr>
        <w:trPr>
          <w:trHeight w:val="432"/>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Parker Burke</w:t>
            </w:r>
          </w:p>
        </w:tc>
        <w:tc>
          <w:tcPr>
            <w:tcW w:w="33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M. O’Halloran</w:t>
            </w:r>
          </w:p>
        </w:tc>
        <w:tc>
          <w:tcPr>
            <w:tcW w:w="1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(NO SEAL)</w:t>
            </w: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Ellen Parker Burke, Assistant Secretary</w:t>
            </w:r>
          </w:p>
        </w:tc>
        <w:tc>
          <w:tcPr>
            <w:tcW w:w="6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7"/>
              </w:rPr>
              <w:t>Katherine M. O’Halloran, Assistant Treasurer</w:t>
            </w:r>
          </w:p>
        </w:tc>
        <w:tc>
          <w:tcPr>
            <w:tcW w:w="1860" w:type="dxa"/>
            <w:vAlign w:val="bottom"/>
          </w:tcPr>
          <w:p>
            <w:pPr>
              <w:spacing w:after="0"/>
              <w:rPr>
                <w:sz w:val="19"/>
                <w:szCs w:val="19"/>
                <w:color w:val="auto"/>
              </w:rPr>
            </w:pPr>
          </w:p>
        </w:tc>
      </w:tr>
      <w:tr>
        <w:trPr>
          <w:trHeight w:val="417"/>
        </w:trPr>
        <w:tc>
          <w:tcPr>
            <w:tcW w:w="2000" w:type="dxa"/>
            <w:vAlign w:val="bottom"/>
          </w:tcPr>
          <w:p>
            <w:pPr>
              <w:spacing w:after="0"/>
              <w:rPr>
                <w:sz w:val="20"/>
                <w:szCs w:val="20"/>
                <w:color w:val="auto"/>
              </w:rPr>
            </w:pPr>
            <w:r>
              <w:rPr>
                <w:rFonts w:ascii="Arial" w:cs="Arial" w:eastAsia="Arial" w:hAnsi="Arial"/>
                <w:sz w:val="18"/>
                <w:szCs w:val="18"/>
                <w:color w:val="auto"/>
              </w:rPr>
              <w:t>ACKNOWLEDGEMENT</w:t>
            </w:r>
          </w:p>
        </w:tc>
        <w:tc>
          <w:tcPr>
            <w:tcW w:w="3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0"/>
        </w:trPr>
        <w:tc>
          <w:tcPr>
            <w:tcW w:w="2000" w:type="dxa"/>
            <w:vAlign w:val="bottom"/>
          </w:tcPr>
          <w:p>
            <w:pPr>
              <w:spacing w:after="0"/>
              <w:rPr>
                <w:sz w:val="20"/>
                <w:szCs w:val="20"/>
                <w:color w:val="auto"/>
              </w:rPr>
            </w:pPr>
            <w:r>
              <w:rPr>
                <w:rFonts w:ascii="Arial" w:cs="Arial" w:eastAsia="Arial" w:hAnsi="Arial"/>
                <w:sz w:val="18"/>
                <w:szCs w:val="18"/>
                <w:color w:val="auto"/>
              </w:rPr>
              <w:t>STATE OF Illinois</w:t>
            </w:r>
          </w:p>
        </w:tc>
        <w:tc>
          <w:tcPr>
            <w:tcW w:w="3380" w:type="dxa"/>
            <w:vAlign w:val="bottom"/>
          </w:tcPr>
          <w:p>
            <w:pPr>
              <w:ind w:left="80"/>
              <w:spacing w:after="0"/>
              <w:rPr>
                <w:sz w:val="20"/>
                <w:szCs w:val="20"/>
                <w:color w:val="auto"/>
              </w:rPr>
            </w:pPr>
            <w:r>
              <w:rPr>
                <w:rFonts w:ascii="Arial" w:cs="Arial" w:eastAsia="Arial" w:hAnsi="Arial"/>
                <w:sz w:val="18"/>
                <w:szCs w:val="18"/>
                <w:color w:val="auto"/>
              </w:rPr>
              <w:t>County of DuPage</w:t>
            </w:r>
          </w:p>
        </w:tc>
        <w:tc>
          <w:tcPr>
            <w:tcW w:w="6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60" w:type="dxa"/>
            <w:vAlign w:val="bottom"/>
          </w:tcPr>
          <w:p>
            <w:pPr>
              <w:spacing w:after="0"/>
              <w:rPr>
                <w:sz w:val="20"/>
                <w:szCs w:val="20"/>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On this </w:t>
      </w:r>
      <w:r>
        <w:rPr>
          <w:rFonts w:ascii="Arial" w:cs="Arial" w:eastAsia="Arial" w:hAnsi="Arial"/>
          <w:sz w:val="18"/>
          <w:szCs w:val="18"/>
          <w:u w:val="single" w:color="auto"/>
          <w:color w:val="auto"/>
        </w:rPr>
        <w:t>7th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April 2015</w:t>
      </w:r>
      <w:r>
        <w:rPr>
          <w:rFonts w:ascii="Arial" w:cs="Arial" w:eastAsia="Arial" w:hAnsi="Arial"/>
          <w:sz w:val="18"/>
          <w:szCs w:val="18"/>
          <w:color w:val="auto"/>
        </w:rPr>
        <w:t xml:space="preserve"> before me personally appeared </w:t>
      </w:r>
      <w:r>
        <w:rPr>
          <w:rFonts w:ascii="Arial" w:cs="Arial" w:eastAsia="Arial" w:hAnsi="Arial"/>
          <w:sz w:val="18"/>
          <w:szCs w:val="18"/>
          <w:u w:val="single" w:color="auto"/>
          <w:color w:val="auto"/>
        </w:rPr>
        <w:t>Katherine M. O’Halloran</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Assistant Treasurer</w:t>
      </w:r>
      <w:r>
        <w:rPr>
          <w:rFonts w:ascii="Arial" w:cs="Arial" w:eastAsia="Arial" w:hAnsi="Arial"/>
          <w:sz w:val="18"/>
          <w:szCs w:val="18"/>
          <w:color w:val="auto"/>
        </w:rPr>
        <w:t xml:space="preserve"> of the entity executing the foregoing instrument (“Entity”) and </w:t>
      </w:r>
      <w:r>
        <w:rPr>
          <w:rFonts w:ascii="Arial" w:cs="Arial" w:eastAsia="Arial" w:hAnsi="Arial"/>
          <w:sz w:val="18"/>
          <w:szCs w:val="18"/>
          <w:u w:val="single" w:color="auto"/>
          <w:color w:val="auto"/>
        </w:rPr>
        <w:t>Ellen Parker Burke</w:t>
      </w:r>
      <w:r>
        <w:rPr>
          <w:rFonts w:ascii="Arial" w:cs="Arial" w:eastAsia="Arial" w:hAnsi="Arial"/>
          <w:sz w:val="18"/>
          <w:szCs w:val="18"/>
          <w:color w:val="auto"/>
        </w:rPr>
        <w:t xml:space="preserve"> known or proven to me to be the </w:t>
      </w:r>
      <w:r>
        <w:rPr>
          <w:rFonts w:ascii="Arial" w:cs="Arial" w:eastAsia="Arial" w:hAnsi="Arial"/>
          <w:sz w:val="18"/>
          <w:szCs w:val="18"/>
          <w:u w:val="single" w:color="auto"/>
          <w:color w:val="auto"/>
        </w:rPr>
        <w:t>Assistant Secretary</w:t>
      </w:r>
      <w:r>
        <w:rPr>
          <w:rFonts w:ascii="Arial" w:cs="Arial" w:eastAsia="Arial" w:hAnsi="Arial"/>
          <w:sz w:val="18"/>
          <w:szCs w:val="18"/>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20"/>
          </w:cols>
          <w:pgMar w:left="240" w:top="270" w:right="239" w:bottom="1440" w:gutter="0" w:footer="0" w:header="0"/>
        </w:sectPr>
      </w:pPr>
    </w:p>
    <w:bookmarkStart w:id="89" w:name="page90"/>
    <w:bookmarkEnd w:id="89"/>
    <w:p>
      <w:pPr>
        <w:ind w:right="420"/>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I/WE HAVE CAREFULLY READ THIS AGREEMENT OF INDEMNITY (OF WHICH THIS SIGNATURE PAGE IS A PART) AND FULLY UNDERSTAND MY/OUR OBLIGATIONS AS A CONTRACTOR AND INDEMNITOR HEREUNDER. THERE ARE NO SEPARATE AGREEMENTS OR UNDERSTANDINGS, EITHER WRITTEN OR ORAL, THAT IN ANY WAY LESSEN OR ALTER MY/OUR OBLIGATIONS AS ABOVE SET FORTH. IN WITNESS WHEREOF I/we have signed and sealed the day and year first above written.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 below if entity is a Corporation, Limited Liability Company, Partnership or Trust:</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Instructions: If the entity is : 1) a corporation, the secretary and an authorized officer should sign on behalf of the corporation, 2) a limited liability corporation, the manager or member(s) should sign on behalf of the LLC, 3) a trust, the trustee(s) should sign on behalf of the trust, or 4) a partnership, the partner(s) should sign on behalf of the partnership. Two signatures are required for all entities and all signatures must be notarized and dated.</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Each of the undersigned hereby affirms to the Surety that he or she is a secretary or a duly authorized officer, manager, trustee or official of the business entity for which he or she executes the foregoing Agreement as a Contractor and Indemnitor. In such capacity the undersigned is familiar with all of the documents which establish the rights which govern the affairs, power and authority of such entity including, to the extent applicable, the (1) certificate or articles of incorporation, (2) bylaws, (3) corporate resolutions, (4) trust agreements and (5) partnership, and operating or limited liability agreements of such business entity. Having reviewed all such applicable documents and instruments and such other facts as deemed appropriate, the undersigned hereby affirms that such entity has the power and authority to enter into such Agreement and that he or she is duly authorized to do so.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ATTEST OR WITNESS:</w:t>
            </w:r>
          </w:p>
        </w:tc>
        <w:tc>
          <w:tcPr>
            <w:tcW w:w="3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TERRA FLUID MANAGEMENT, LLC</w:t>
            </w:r>
          </w:p>
        </w:tc>
        <w:tc>
          <w:tcPr>
            <w:tcW w:w="204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2122 York Road, Suite 200</w:t>
            </w:r>
          </w:p>
        </w:tc>
        <w:tc>
          <w:tcPr>
            <w:tcW w:w="2040" w:type="dxa"/>
            <w:vAlign w:val="bottom"/>
          </w:tcPr>
          <w:p>
            <w:pPr>
              <w:spacing w:after="0"/>
              <w:rPr>
                <w:sz w:val="18"/>
                <w:szCs w:val="18"/>
                <w:color w:val="auto"/>
              </w:rPr>
            </w:pPr>
          </w:p>
        </w:tc>
      </w:tr>
      <w:tr>
        <w:trPr>
          <w:trHeight w:val="230"/>
        </w:trPr>
        <w:tc>
          <w:tcPr>
            <w:tcW w:w="20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Oak Brook, IL 60523</w:t>
            </w:r>
          </w:p>
        </w:tc>
        <w:tc>
          <w:tcPr>
            <w:tcW w:w="2040" w:type="dxa"/>
            <w:vAlign w:val="bottom"/>
          </w:tcPr>
          <w:p>
            <w:pPr>
              <w:spacing w:after="0"/>
              <w:rPr>
                <w:sz w:val="19"/>
                <w:szCs w:val="19"/>
                <w:color w:val="auto"/>
              </w:rPr>
            </w:pPr>
          </w:p>
        </w:tc>
      </w:tr>
      <w:tr>
        <w:trPr>
          <w:trHeight w:val="230"/>
        </w:trPr>
        <w:tc>
          <w:tcPr>
            <w:tcW w:w="20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CONTRACTOR AND INDEMNITOR</w:t>
            </w:r>
          </w:p>
        </w:tc>
        <w:tc>
          <w:tcPr>
            <w:tcW w:w="2040" w:type="dxa"/>
            <w:vAlign w:val="bottom"/>
          </w:tcPr>
          <w:p>
            <w:pPr>
              <w:spacing w:after="0"/>
              <w:rPr>
                <w:sz w:val="20"/>
                <w:szCs w:val="20"/>
                <w:color w:val="auto"/>
              </w:rPr>
            </w:pPr>
          </w:p>
        </w:tc>
      </w:tr>
      <w:tr>
        <w:trPr>
          <w:trHeight w:val="432"/>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Parker Burke</w:t>
            </w:r>
          </w:p>
        </w:tc>
        <w:tc>
          <w:tcPr>
            <w:tcW w:w="33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Katherine M. O’Halloran</w:t>
            </w:r>
          </w:p>
        </w:tc>
        <w:tc>
          <w:tcPr>
            <w:tcW w:w="2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(NO SEAL)</w:t>
            </w:r>
          </w:p>
        </w:tc>
      </w:tr>
      <w:tr>
        <w:trPr>
          <w:trHeight w:val="224"/>
        </w:trPr>
        <w:tc>
          <w:tcPr>
            <w:tcW w:w="5380" w:type="dxa"/>
            <w:vAlign w:val="bottom"/>
            <w:gridSpan w:val="2"/>
          </w:tcPr>
          <w:p>
            <w:pPr>
              <w:spacing w:after="0"/>
              <w:rPr>
                <w:sz w:val="20"/>
                <w:szCs w:val="20"/>
                <w:color w:val="auto"/>
              </w:rPr>
            </w:pPr>
            <w:r>
              <w:rPr>
                <w:rFonts w:ascii="Arial" w:cs="Arial" w:eastAsia="Arial" w:hAnsi="Arial"/>
                <w:sz w:val="18"/>
                <w:szCs w:val="18"/>
                <w:color w:val="auto"/>
              </w:rPr>
              <w:t>Ellen Parker Burke, Secretary &amp; Assistant Treasurer</w:t>
            </w:r>
          </w:p>
        </w:tc>
        <w:tc>
          <w:tcPr>
            <w:tcW w:w="68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Katherine M. O’Halloran, Treasurer</w:t>
            </w:r>
          </w:p>
        </w:tc>
        <w:tc>
          <w:tcPr>
            <w:tcW w:w="2040" w:type="dxa"/>
            <w:vAlign w:val="bottom"/>
          </w:tcPr>
          <w:p>
            <w:pPr>
              <w:spacing w:after="0"/>
              <w:rPr>
                <w:sz w:val="19"/>
                <w:szCs w:val="19"/>
                <w:color w:val="auto"/>
              </w:rPr>
            </w:pPr>
          </w:p>
        </w:tc>
      </w:tr>
      <w:tr>
        <w:trPr>
          <w:trHeight w:val="417"/>
        </w:trPr>
        <w:tc>
          <w:tcPr>
            <w:tcW w:w="2020" w:type="dxa"/>
            <w:vAlign w:val="bottom"/>
          </w:tcPr>
          <w:p>
            <w:pPr>
              <w:spacing w:after="0"/>
              <w:rPr>
                <w:sz w:val="20"/>
                <w:szCs w:val="20"/>
                <w:color w:val="auto"/>
              </w:rPr>
            </w:pPr>
            <w:r>
              <w:rPr>
                <w:rFonts w:ascii="Arial" w:cs="Arial" w:eastAsia="Arial" w:hAnsi="Arial"/>
                <w:sz w:val="18"/>
                <w:szCs w:val="18"/>
                <w:color w:val="auto"/>
              </w:rPr>
              <w:t>ACKNOWLEDGEMENT</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STATE OF Illinois</w:t>
            </w:r>
          </w:p>
        </w:tc>
        <w:tc>
          <w:tcPr>
            <w:tcW w:w="3360" w:type="dxa"/>
            <w:vAlign w:val="bottom"/>
          </w:tcPr>
          <w:p>
            <w:pPr>
              <w:ind w:left="100"/>
              <w:spacing w:after="0"/>
              <w:rPr>
                <w:sz w:val="20"/>
                <w:szCs w:val="20"/>
                <w:color w:val="auto"/>
              </w:rPr>
            </w:pPr>
            <w:r>
              <w:rPr>
                <w:rFonts w:ascii="Arial" w:cs="Arial" w:eastAsia="Arial" w:hAnsi="Arial"/>
                <w:sz w:val="18"/>
                <w:szCs w:val="18"/>
                <w:color w:val="auto"/>
              </w:rPr>
              <w:t>County of DuPage</w:t>
            </w:r>
          </w:p>
        </w:tc>
        <w:tc>
          <w:tcPr>
            <w:tcW w:w="6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40" w:type="dxa"/>
            <w:vAlign w:val="bottom"/>
          </w:tcPr>
          <w:p>
            <w:pPr>
              <w:spacing w:after="0"/>
              <w:rPr>
                <w:sz w:val="20"/>
                <w:szCs w:val="20"/>
                <w:color w:val="auto"/>
              </w:rPr>
            </w:pPr>
          </w:p>
        </w:tc>
      </w:tr>
    </w:tbl>
    <w:p>
      <w:pPr>
        <w:spacing w:after="0" w:line="202"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 xml:space="preserve">On this </w:t>
      </w:r>
      <w:r>
        <w:rPr>
          <w:rFonts w:ascii="Arial" w:cs="Arial" w:eastAsia="Arial" w:hAnsi="Arial"/>
          <w:sz w:val="17"/>
          <w:szCs w:val="17"/>
          <w:u w:val="single" w:color="auto"/>
          <w:color w:val="auto"/>
        </w:rPr>
        <w:t>7th</w:t>
      </w:r>
      <w:r>
        <w:rPr>
          <w:rFonts w:ascii="Arial" w:cs="Arial" w:eastAsia="Arial" w:hAnsi="Arial"/>
          <w:sz w:val="17"/>
          <w:szCs w:val="17"/>
          <w:color w:val="auto"/>
        </w:rPr>
        <w:t xml:space="preserve"> day of </w:t>
      </w:r>
      <w:r>
        <w:rPr>
          <w:rFonts w:ascii="Arial" w:cs="Arial" w:eastAsia="Arial" w:hAnsi="Arial"/>
          <w:sz w:val="17"/>
          <w:szCs w:val="17"/>
          <w:u w:val="single" w:color="auto"/>
          <w:color w:val="auto"/>
        </w:rPr>
        <w:t>April 2015</w:t>
      </w:r>
      <w:r>
        <w:rPr>
          <w:rFonts w:ascii="Arial" w:cs="Arial" w:eastAsia="Arial" w:hAnsi="Arial"/>
          <w:sz w:val="17"/>
          <w:szCs w:val="17"/>
          <w:color w:val="auto"/>
        </w:rPr>
        <w:t xml:space="preserve"> before me personally appeared </w:t>
      </w:r>
      <w:r>
        <w:rPr>
          <w:rFonts w:ascii="Arial" w:cs="Arial" w:eastAsia="Arial" w:hAnsi="Arial"/>
          <w:sz w:val="17"/>
          <w:szCs w:val="17"/>
          <w:u w:val="single" w:color="auto"/>
          <w:color w:val="auto"/>
        </w:rPr>
        <w:t>Katherine M. O’Halloran</w:t>
      </w:r>
      <w:r>
        <w:rPr>
          <w:rFonts w:ascii="Arial" w:cs="Arial" w:eastAsia="Arial" w:hAnsi="Arial"/>
          <w:sz w:val="17"/>
          <w:szCs w:val="17"/>
          <w:color w:val="auto"/>
        </w:rPr>
        <w:t xml:space="preserve"> known or proven to me to be the </w:t>
      </w:r>
      <w:r>
        <w:rPr>
          <w:rFonts w:ascii="Arial" w:cs="Arial" w:eastAsia="Arial" w:hAnsi="Arial"/>
          <w:sz w:val="17"/>
          <w:szCs w:val="17"/>
          <w:u w:val="single" w:color="auto"/>
          <w:color w:val="auto"/>
        </w:rPr>
        <w:t>Treasurer</w:t>
      </w:r>
      <w:r>
        <w:rPr>
          <w:rFonts w:ascii="Arial" w:cs="Arial" w:eastAsia="Arial" w:hAnsi="Arial"/>
          <w:sz w:val="17"/>
          <w:szCs w:val="17"/>
          <w:color w:val="auto"/>
        </w:rPr>
        <w:t xml:space="preserve"> of the entity executing the foregoing instrument (“Entity”) and </w:t>
      </w:r>
      <w:r>
        <w:rPr>
          <w:rFonts w:ascii="Arial" w:cs="Arial" w:eastAsia="Arial" w:hAnsi="Arial"/>
          <w:sz w:val="17"/>
          <w:szCs w:val="17"/>
          <w:u w:val="single" w:color="auto"/>
          <w:color w:val="auto"/>
        </w:rPr>
        <w:t>Ellen Parker Burke</w:t>
      </w:r>
      <w:r>
        <w:rPr>
          <w:rFonts w:ascii="Arial" w:cs="Arial" w:eastAsia="Arial" w:hAnsi="Arial"/>
          <w:sz w:val="17"/>
          <w:szCs w:val="17"/>
          <w:color w:val="auto"/>
        </w:rPr>
        <w:t xml:space="preserve"> known or proven to me to be the </w:t>
      </w:r>
      <w:r>
        <w:rPr>
          <w:rFonts w:ascii="Arial" w:cs="Arial" w:eastAsia="Arial" w:hAnsi="Arial"/>
          <w:sz w:val="17"/>
          <w:szCs w:val="17"/>
          <w:u w:val="single" w:color="auto"/>
          <w:color w:val="auto"/>
        </w:rPr>
        <w:t>Secretary &amp; Assistant Treasurer</w:t>
      </w:r>
      <w:r>
        <w:rPr>
          <w:rFonts w:ascii="Arial" w:cs="Arial" w:eastAsia="Arial" w:hAnsi="Arial"/>
          <w:sz w:val="17"/>
          <w:szCs w:val="17"/>
          <w:color w:val="auto"/>
        </w:rPr>
        <w:t xml:space="preserve"> of the Entity and they acknowledge said instrument to be the free and voluntary act and deed of said Entity, for the uses and purposes therein mentioned and on oath stated that the seal affixed is the seal of said Entity and that it was affixed and that they executed said instrument by authority of the Entity IN WITNESS WHEREOF, I have hereunto set my hand and affixed my OFFICIAL SEAL the day and year first above written.</w:t>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/s/ Susan M. Williams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March 10, 2017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Registration No.: 352709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intentionally left blank)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GLDD General Agreement of Indemnity - ACE</w:t>
      </w:r>
    </w:p>
    <w:p>
      <w:pPr>
        <w:sectPr>
          <w:pgSz w:w="11900" w:h="16838" w:orient="portrait"/>
          <w:cols w:equalWidth="0" w:num="1">
            <w:col w:w="11420"/>
          </w:cols>
          <w:pgMar w:left="240" w:top="27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Jonathan W. Berger, certify that:</w:t>
      </w:r>
    </w:p>
    <w:p>
      <w:pPr>
        <w:spacing w:after="0" w:line="131"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31"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6,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Great Lakes Dredge &amp; Dock Corporation (the “Company”) on Form 10-Q for the period ended March 31, 2015, as filed with the Securities and Exchange Commission on the date hereof (the “Report”), I, Jonathan W. Berger,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Jonathan W.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Berger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6, 2015</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2015,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5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W. Marinko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6, 2015</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5"/>
    </w:lvl>
  </w:abstractNum>
  <w:abstractNum w:abstractNumId="6">
    <w:nsid w:val="62BBD95A"/>
    <w:multiLevelType w:val="hybridMultilevel"/>
    <w:lvl w:ilvl="0">
      <w:lvlJc w:val="left"/>
      <w:lvlText w:val="(%1)"/>
      <w:numFmt w:val="lowerRoman"/>
      <w:start w:val="1"/>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lowerRoman"/>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lowerRoman"/>
      <w:start w:val="1"/>
    </w:lvl>
  </w:abstractNum>
  <w:abstractNum w:abstractNumId="17">
    <w:nsid w:val="4353D0CD"/>
    <w:multiLevelType w:val="hybridMultilevel"/>
    <w:lvl w:ilvl="0">
      <w:lvlJc w:val="left"/>
      <w:lvlText w:val="(%1)"/>
      <w:numFmt w:val="lowerLetter"/>
      <w:start w:val="1"/>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lowerLetter"/>
      <w:start w:val="1"/>
    </w:lvl>
  </w:abstractNum>
  <w:abstractNum w:abstractNumId="20">
    <w:nsid w:val="54E49EB4"/>
    <w:multiLevelType w:val="hybridMultilevel"/>
    <w:lvl w:ilvl="0">
      <w:lvlJc w:val="left"/>
      <w:lvlText w:val="(%1)"/>
      <w:numFmt w:val="lowerLetter"/>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lowerRoman"/>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2019-12-29T17:37:50Z</dcterms:created>
  <dcterms:modified xsi:type="dcterms:W3CDTF">2019-12-29T17:37:50Z</dcterms:modified>
</cp:coreProperties>
</file>