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88265</wp:posOffset>
            </wp:positionV>
            <wp:extent cx="82296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6760" w:type="dxa"/>
            <w:vAlign w:val="bottom"/>
          </w:tcPr>
          <w:p>
            <w:pPr>
              <w:jc w:val="center"/>
              <w:ind w:right="32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0"/>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1"/>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0"/>
                <w:szCs w:val="20"/>
                <w:color w:val="auto"/>
              </w:rPr>
            </w:pPr>
          </w:p>
        </w:tc>
      </w:tr>
      <w:tr>
        <w:trPr>
          <w:trHeight w:val="238"/>
        </w:trPr>
        <w:tc>
          <w:tcPr>
            <w:tcW w:w="6760" w:type="dxa"/>
            <w:vAlign w:val="bottom"/>
          </w:tcPr>
          <w:p>
            <w:pPr>
              <w:jc w:val="center"/>
              <w:ind w:left="23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40"/>
        </w:trPr>
        <w:tc>
          <w:tcPr>
            <w:tcW w:w="450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vMerge w:val="continue"/>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3"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 2025, 67,926,382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2025 and December 31,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85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2025 and 2024</w:t>
            </w:r>
          </w:p>
        </w:tc>
        <w:tc>
          <w:tcPr>
            <w:tcW w:w="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140" w:type="dxa"/>
            <w:vAlign w:val="bottom"/>
          </w:tcPr>
          <w:p>
            <w:pPr>
              <w:spacing w:after="0"/>
              <w:rPr>
                <w:sz w:val="24"/>
                <w:szCs w:val="24"/>
                <w:color w:val="auto"/>
              </w:rPr>
            </w:pPr>
          </w:p>
        </w:tc>
        <w:tc>
          <w:tcPr>
            <w:tcW w:w="7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for the Three Months Ended March 31, 2025 and 2024</w:t>
            </w:r>
          </w:p>
        </w:tc>
        <w:tc>
          <w:tcPr>
            <w:tcW w:w="190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tcBorders>
              <w:left w:val="single" w:sz="8" w:color="0000FF"/>
            </w:tcBorders>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0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2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8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92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790"/>
        </w:trPr>
        <w:tc>
          <w:tcPr>
            <w:tcW w:w="114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5320" w:type="dxa"/>
            <w:vAlign w:val="bottom"/>
            <w:gridSpan w:val="10"/>
          </w:tcPr>
          <w:p>
            <w:pPr>
              <w:jc w:val="right"/>
              <w:ind w:right="154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receivable—net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28,281</w:t>
            </w:r>
          </w:p>
        </w:tc>
        <w:tc>
          <w:tcPr>
            <w:tcW w:w="120" w:type="dxa"/>
            <w:vAlign w:val="bottom"/>
          </w:tcPr>
          <w:p>
            <w:pPr>
              <w:spacing w:after="0"/>
              <w:rPr>
                <w:sz w:val="18"/>
                <w:szCs w:val="18"/>
                <w:color w:val="auto"/>
              </w:rPr>
            </w:pPr>
          </w:p>
        </w:tc>
      </w:tr>
      <w:tr>
        <w:trPr>
          <w:trHeight w:val="209"/>
        </w:trPr>
        <w:tc>
          <w:tcPr>
            <w:tcW w:w="7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704,026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703,252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95,269</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1,233,448</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47,268</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448,216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stock—$.0001 par value; 170,000 shares authorized, 67,916 and 67,280 shares issued at</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December 31, 2024, respectively, and 67,564 and 67,280 shares outstanding at</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352 and zero shares at March 31, 2025 and December 31, 2024, respectively.</w:t>
            </w:r>
          </w:p>
        </w:tc>
        <w:tc>
          <w:tcPr>
            <w:tcW w:w="4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r>
      <w:tr>
        <w:trPr>
          <w:trHeight w:val="210"/>
        </w:trPr>
        <w:tc>
          <w:tcPr>
            <w:tcW w:w="770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479,944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1,233,448</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1,255,103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812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4"/>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-4705350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-4705350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-3573780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-3573780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-2742565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-2742565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-1237615</wp:posOffset>
            </wp:positionV>
            <wp:extent cx="939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-1237615</wp:posOffset>
            </wp:positionV>
            <wp:extent cx="1028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 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15"/>
        </w:trPr>
        <w:tc>
          <w:tcPr>
            <w:tcW w:w="48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338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153,086</w:t>
            </w:r>
          </w:p>
        </w:tc>
        <w:tc>
          <w:tcPr>
            <w:tcW w:w="100" w:type="dxa"/>
            <w:vAlign w:val="bottom"/>
          </w:tcPr>
          <w:p>
            <w:pPr>
              <w:spacing w:after="0"/>
              <w:rPr>
                <w:sz w:val="18"/>
                <w:szCs w:val="18"/>
                <w:color w:val="auto"/>
              </w:rPr>
            </w:pPr>
          </w:p>
        </w:tc>
      </w:tr>
      <w:tr>
        <w:trPr>
          <w:trHeight w:val="210"/>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gains</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16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(4,451)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r>
      <w:tr>
        <w:trPr>
          <w:trHeight w:val="210"/>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6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(11,710)</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(6,989)</w:t>
            </w:r>
          </w:p>
        </w:tc>
      </w:tr>
      <w:tr>
        <w:trPr>
          <w:trHeight w:val="209"/>
        </w:trPr>
        <w:tc>
          <w:tcPr>
            <w:tcW w:w="4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tcBorders>
              <w:top w:val="single" w:sz="8" w:color="CFF0FC"/>
            </w:tcBorders>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38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8"/>
                <w:szCs w:val="18"/>
                <w:color w:val="auto"/>
              </w:rPr>
            </w:pP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66,729</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38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-1005205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15"/>
        </w:trPr>
        <w:tc>
          <w:tcPr>
            <w:tcW w:w="7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derivative losses to capital—net of tax</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180" w:right="2520" w:hanging="3172"/>
        <w:spacing w:after="0" w:line="578" w:lineRule="auto"/>
        <w:tabs>
          <w:tab w:leader="none" w:pos="52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income tax provision of $123 and $435 for the three months ended March 31, 2025 and 2024, respectively. See notes to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BALANCE—January 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 employee</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(3,171)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322,810</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479,944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3860" w:type="dxa"/>
            <w:vAlign w:val="bottom"/>
            <w:tcBorders>
              <w:top w:val="single" w:sz="8" w:color="CFF0FC"/>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(2,015)</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198"/>
        </w:trPr>
        <w:tc>
          <w:tcPr>
            <w:tcW w:w="3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 employee</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-1370965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-1353820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-1370965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-1353820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-1370965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-1353820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-1370965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-1353820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-1370965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-1353820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-1370965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-1353820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(4,767)</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(10,119)</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9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60,854</w:t>
            </w:r>
          </w:p>
        </w:tc>
        <w:tc>
          <w:tcPr>
            <w:tcW w:w="26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tcBorders>
              <w:top w:val="single" w:sz="8" w:color="CFF0FC"/>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(21,250)</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(20,718)</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(3,171)</w:t>
            </w:r>
          </w:p>
        </w:tc>
        <w:tc>
          <w:tcPr>
            <w:tcW w:w="5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(522)</w:t>
            </w: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(39,016)</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0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0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11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10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920" w:type="dxa"/>
            <w:vAlign w:val="bottom"/>
            <w:vMerge w:val="restart"/>
          </w:tcPr>
          <w:p>
            <w:pPr>
              <w:ind w:left="2880"/>
              <w:spacing w:after="0"/>
              <w:rPr>
                <w:sz w:val="20"/>
                <w:szCs w:val="20"/>
                <w:color w:val="auto"/>
              </w:rPr>
            </w:pPr>
            <w:r>
              <w:rPr>
                <w:rFonts w:ascii="Times New Roman" w:cs="Times New Roman" w:eastAsia="Times New Roman" w:hAnsi="Times New Roman"/>
                <w:sz w:val="18"/>
                <w:szCs w:val="18"/>
                <w:color w:val="auto"/>
                <w:w w:val="99"/>
              </w:rPr>
              <w:t>See notes to unaudited condensed consolidated financial</w:t>
            </w: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11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statements.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2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-4919980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-4919980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-4362450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-4362450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-3256915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-3256915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-2691130</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-2673985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-2691130</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-2673985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-1971040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-1953895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-1971040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-1953895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-1533525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-1516380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-1533525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-1516380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Management believes that the disclosures included herein are adequate and make the information presented not misleading. In the opinion of management, all adjustments, which are of a normal and recurring nature (except as otherwise noted), that are necessary to present fairly the Company’s financial position as of March 31, 2025 and December 31, 2024, and its results of operations for the three months ended March 31, 2025 and 2024 and cash flows for the three months ended March 31, 2025 and 2024 have been included.</w:t>
      </w:r>
    </w:p>
    <w:p>
      <w:pPr>
        <w:spacing w:after="0" w:line="12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one operating segment which is also the Company’s reportable segment and reporting unit of which the Company tests goodwill for impairment. </w:t>
      </w:r>
      <w:r>
        <w:rPr>
          <w:rFonts w:ascii="Times New Roman" w:cs="Times New Roman" w:eastAsia="Times New Roman" w:hAnsi="Times New Roman"/>
          <w:sz w:val="18"/>
          <w:szCs w:val="18"/>
          <w:color w:val="212529"/>
        </w:rPr>
        <w:t>When conducting the annual impairment test for goodwill, the Company can choose to assess qualitative factors to determine whether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more likely than not that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the qualitative and move directly to the quantitative impairment test. </w:t>
      </w:r>
      <w:r>
        <w:rPr>
          <w:rFonts w:ascii="Times New Roman" w:cs="Times New Roman" w:eastAsia="Times New Roman" w:hAnsi="Times New Roman"/>
          <w:sz w:val="18"/>
          <w:szCs w:val="18"/>
          <w:color w:val="000000"/>
        </w:rPr>
        <w:t>The Company performed its annual test of impairment as of July 1, 2024.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impairment test of goodwill in the third quarter of 2025 should no triggering events occur which would require a test prior to the next annual test.</w:t>
      </w:r>
    </w:p>
    <w:p>
      <w:pPr>
        <w:spacing w:after="0" w:line="1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12529"/>
        </w:rPr>
        <w:t>n March 14, 2025, the Company announced that its board of directors approved a share repurchase program, authorizing, but not obligating,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repurchase of up to an aggregate amount of $50.0 million of its common stock from time to time through March 14, 2026. </w:t>
      </w:r>
      <w:r>
        <w:rPr>
          <w:rFonts w:ascii="Times New Roman" w:cs="Times New Roman" w:eastAsia="Times New Roman" w:hAnsi="Times New Roman"/>
          <w:sz w:val="18"/>
          <w:szCs w:val="18"/>
          <w:color w:val="000000"/>
        </w:rPr>
        <w:t>Of the approved amount under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share repurchase program, the Company repurchased 352,240 shares of common stock for approximately $3.2 million of common stock during the three months ended March 31, 2025</w:t>
      </w:r>
      <w:r>
        <w:rPr>
          <w:rFonts w:ascii="Times New Roman" w:cs="Times New Roman" w:eastAsia="Times New Roman" w:hAnsi="Times New Roman"/>
          <w:sz w:val="18"/>
          <w:szCs w:val="18"/>
          <w:color w:val="212529"/>
        </w:rPr>
        <w: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for the interim periods presented herein are not necessarily indicative of the results to be expected for the full year.</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November 2024, the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(“ASU”) 2024-03, Disaggregation of Income Statement Expenses (“DISE”). The ASU primarily requires companies to disclose additional information about specific expense categories in the notes to financial statements at interim and annual reporting periods. The guidance will be applied on a prospective basis with the option to apply the standard retrospectively. The new guidance will be effective for the Company’s year ending December 31, 2027 and interim periods during the year ended December 31, 2028. Management is currently evaluating the impact of this guidance.</w:t>
      </w:r>
    </w:p>
    <w:p>
      <w:pPr>
        <w:spacing w:after="0" w:line="11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160"/>
        <w:spacing w:after="0" w:line="261" w:lineRule="auto"/>
        <w:rPr>
          <w:sz w:val="20"/>
          <w:szCs w:val="20"/>
          <w:color w:val="auto"/>
        </w:rPr>
      </w:pPr>
      <w:r>
        <w:rPr>
          <w:rFonts w:ascii="Times New Roman" w:cs="Times New Roman" w:eastAsia="Times New Roman" w:hAnsi="Times New Roman"/>
          <w:sz w:val="18"/>
          <w:szCs w:val="18"/>
          <w:color w:val="auto"/>
        </w:rPr>
        <w:t>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The adoption of ASU 2023-09 is not expected to have a material impact on the Company’s consolidated financial statements and related disclosures.</w:t>
      </w:r>
    </w:p>
    <w:p>
      <w:pPr>
        <w:spacing w:after="0" w:line="10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Reclassifications</w:t>
      </w:r>
      <w:r>
        <w:rPr>
          <w:rFonts w:ascii="Times New Roman" w:cs="Times New Roman" w:eastAsia="Times New Roman" w:hAnsi="Times New Roman"/>
          <w:sz w:val="18"/>
          <w:szCs w:val="18"/>
          <w:color w:val="auto"/>
        </w:rPr>
        <w:t>—Certain reclassifications have been made to prior period condensed consolidated statements of cash flows to conform to current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These reclassifications have no effect on net cash flows.</w:t>
      </w:r>
    </w:p>
    <w:p>
      <w:pPr>
        <w:spacing w:after="0" w:line="74"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per share are as follows:</w:t>
      </w:r>
    </w:p>
    <w:p>
      <w:pPr>
        <w:spacing w:after="0" w:line="15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5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shd w:val="clear" w:color="auto" w:fill="CFF0FC"/>
          </w:tcPr>
          <w:p>
            <w:pPr>
              <w:spacing w:after="0"/>
              <w:rPr>
                <w:sz w:val="18"/>
                <w:szCs w:val="18"/>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66,729</w:t>
            </w:r>
          </w:p>
        </w:tc>
        <w:tc>
          <w:tcPr>
            <w:tcW w:w="100" w:type="dxa"/>
            <w:vAlign w:val="bottom"/>
          </w:tcPr>
          <w:p>
            <w:pPr>
              <w:spacing w:after="0"/>
              <w:rPr>
                <w:sz w:val="24"/>
                <w:szCs w:val="24"/>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1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68,399</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100" w:type="dxa"/>
            <w:vAlign w:val="bottom"/>
          </w:tcPr>
          <w:p>
            <w:pPr>
              <w:spacing w:after="0"/>
              <w:rPr>
                <w:sz w:val="24"/>
                <w:szCs w:val="24"/>
                <w:color w:val="auto"/>
              </w:rPr>
            </w:pPr>
          </w:p>
        </w:tc>
      </w:tr>
      <w:tr>
        <w:trPr>
          <w:trHeight w:val="20"/>
        </w:trPr>
        <w:tc>
          <w:tcPr>
            <w:tcW w:w="5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w:t>
            </w: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-730885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-730885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there were 17 restricted stock units ("RSUs") excluded from the calculation of diluted earnings per share, based on the application of the treasury stock method, as such RSUs were determined to be anti-dilutive. For the three months ended March 31, 2024, there were 240 stock options ("NQSOs") and RSUs excluded from the calculation of diluted earnings per share, based on the application of the treasury stock method, as such NQSOs and RSUs were determined to be anti-dilutive.</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there were 1,023 RSUs included in the diluted weighted average common shares outstanding. For the three months ended March 31, 2024, there were 765 NQSOs and RSUs included from the calculation of diluted earnings per share based on the application of the treasury stock method.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at March 31, 2025 and December 31, 2024 were as follows: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15"/>
        </w:trPr>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9,348</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21,843</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21,197</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922,402</w:t>
            </w:r>
          </w:p>
        </w:tc>
      </w:tr>
      <w:tr>
        <w:trPr>
          <w:trHeight w:val="216"/>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270,490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264,525</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1,227,555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1,218,787</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(523,529)</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(515,535)</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704,026</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703,252</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-462280</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-462280</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at March 31, 2025 and December 31, 2024 were as follows: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136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10,373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33,349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41,640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credit agreement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was available to the Company for a period of 12 months following the Closing Date, subject to the terms and conditions as set forth therein. </w:t>
      </w:r>
      <w:r>
        <w:rPr>
          <w:rFonts w:ascii="Times New Roman" w:cs="Times New Roman" w:eastAsia="Times New Roman" w:hAnsi="Times New Roman"/>
          <w:sz w:val="18"/>
          <w:szCs w:val="18"/>
          <w:color w:val="212529"/>
        </w:rPr>
        <w:t>On April 24, 2025, the senior secured second-lien delayed draw term loan facility of $50.0 million provided for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Company’s Second Lien Credit Agreement expired undrawn. </w:t>
      </w:r>
      <w:r>
        <w:rPr>
          <w:rFonts w:ascii="Times New Roman" w:cs="Times New Roman" w:eastAsia="Times New Roman" w:hAnsi="Times New Roman"/>
          <w:sz w:val="18"/>
          <w:szCs w:val="18"/>
          <w:color w:val="000000"/>
        </w:rPr>
        <w:t>Net proceeds to the Company, after payment of original discount on the initial loans,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closing fee on the delayed draw facility and other debt issuance costs, including those associated with the ABL Credit Agreement described below, were approximately $88.7 million.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 (i) 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180"/>
        <w:spacing w:after="0" w:line="282" w:lineRule="auto"/>
        <w:rPr>
          <w:sz w:val="20"/>
          <w:szCs w:val="20"/>
          <w:color w:val="auto"/>
        </w:rPr>
      </w:pPr>
      <w:r>
        <w:rPr>
          <w:rFonts w:ascii="Times New Roman" w:cs="Times New Roman" w:eastAsia="Times New Roman" w:hAnsi="Times New Roman"/>
          <w:sz w:val="18"/>
          <w:szCs w:val="18"/>
          <w:color w:val="auto"/>
        </w:rPr>
        <w:t>payments, ongoing working capital and for other general corporate purposes. The Second Lien Credit Agreement matures on the earlier of April 24, 2029 and the date that is ninety-one (91) days prior to the scheduled maturity date of the Company’s 5.25% Senior Notes due 2029.</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 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 Reference Rate on the day that is two business days prior to the first day of such applicable interest period, plus 7.75%. In addition, the Company is required to pay a quarterly fee of 1.00% per annum on the undrawn commitments in respect of the delayed draw term loan facility.</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had $100.0 million in borrowings on the Second Lien Credit Agreement as of March 31, 2025 and December 31, 2024. The weighted average interest rate on the Second Lien Credit Agreement borrowings during the quarter ended March 31, 2025 is 12.07%.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ABL Amendment modifies the Applicable Margin for Advances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8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212529"/>
        </w:rPr>
        <w:t xml:space="preserve">On May 2, 2025, </w:t>
      </w:r>
      <w:r>
        <w:rPr>
          <w:rFonts w:ascii="Times New Roman" w:cs="Times New Roman" w:eastAsia="Times New Roman" w:hAnsi="Times New Roman"/>
          <w:sz w:val="18"/>
          <w:szCs w:val="18"/>
          <w:color w:val="000000"/>
        </w:rPr>
        <w:t>the Credit Parties, PNC, as agent for the lenders, and certain financial institutions party thereto entered into an amendment to the ABL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Credit Agreement (the “ABL Second Amendment”). The ABL Second Amendment increased the aggregate principal amount of the Company’s senior secured revolving credit facility from $300.0 million to $330.0 million.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18"/>
          <w:szCs w:val="18"/>
          <w:color w:val="auto"/>
        </w:rPr>
        <w:t>On July 29, 2022, the Credit Parties entered into a second amended and restated revolving credit and security agreement (as amended by the ABL Amendment and as may be further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w:t>
      </w:r>
    </w:p>
    <w:p>
      <w:pPr>
        <w:spacing w:after="0" w:line="9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had zero and $35.0 million borrowings on the revolver as of March 31, 2025 and December 31, 2024, respectively. There were $43.5 million letters of credit outstanding as of March 31, 2025 and December 31, 2024. The Company had $256.2 million and $221.2 million of availability under the ABL Credit Agreement as of March 31, 2025 and December 31, 2024, respectively. Availability was suppressed by $0.3 million as of March 31, 2025 and December 31, 2024, as a result of certain limitations of borrowing related to reserves and compliance with the Company’s obligations set forth in the ABL Credit Agreement.</w:t>
      </w:r>
    </w:p>
    <w:p>
      <w:pPr>
        <w:spacing w:after="0" w:line="1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in Note 5, Long-term debt, shall have the meanings ascribed to such terms in the Second Lien Credit Agreement and the ABL Amendment, as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spacing w:after="0" w:line="1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ABL Credit Agreement. Such guarantees are full, unconditional and joint and several. The parent company issuer has no independent assets or operations and all non-guarantor subsidiaries have been determined to be minor.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weighted average interest rates on the Company’s outstanding borrowings, </w:t>
      </w:r>
      <w:r>
        <w:rPr>
          <w:rFonts w:ascii="Times New Roman" w:cs="Times New Roman" w:eastAsia="Times New Roman" w:hAnsi="Times New Roman"/>
          <w:sz w:val="18"/>
          <w:szCs w:val="18"/>
          <w:color w:val="212121"/>
        </w:rPr>
        <w:t>after adjusting for the effects of interest rate swaps,</w:t>
      </w:r>
      <w:r>
        <w:rPr>
          <w:rFonts w:ascii="Times New Roman" w:cs="Times New Roman" w:eastAsia="Times New Roman" w:hAnsi="Times New Roman"/>
          <w:sz w:val="18"/>
          <w:szCs w:val="18"/>
          <w:color w:val="auto"/>
        </w:rPr>
        <w:t xml:space="preserve"> were 6.78%, and 6.77% as of March 31, 2025 and December 31, 2024, respectively.</w:t>
      </w:r>
    </w:p>
    <w:p>
      <w:pPr>
        <w:spacing w:after="0" w:line="37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5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foreign currency risk or interest rate risk. The Company does not hold or issue derivatives for speculative or trading purposes. The fair values of these financial instruments are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187"/>
        </w:trPr>
        <w:tc>
          <w:tcPr>
            <w:tcW w:w="3540" w:type="dxa"/>
            <w:vAlign w:val="bottom"/>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designated as cash flow</w:t>
            </w: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hedge contracts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9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9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-170815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dredging backlog.</w:t>
      </w:r>
    </w:p>
    <w:p>
      <w:pPr>
        <w:spacing w:after="0" w:line="9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was party to various swap arrangements to hedge the price of a portion of its diesel fuel purchase requirements for work in its backlog to be performed through September 2026. As of March 31, 2025, there were 16.4 million gallons remaining on these contracts representing forecasted domestic fuel purchases through September 2026. Under these swap agreements, the Company will pay fixed prices ranging from $2.18 to $2.90 per gallon.</w:t>
      </w:r>
    </w:p>
    <w:p>
      <w:pPr>
        <w:spacing w:after="0" w:line="1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March 31, 2025 and December 31, 2024, the fair value liabilities of the fuel hedge contracts were estimated to be $0.3 million and $1.1 million, respectively, and are recorded in accrued expenses in the condensed consolidated balance sheets. For fuel hedge contracts considered to be highly effective, the losses reclassified to earnings from changes in fair value of derivatives, net of cash settlements and taxes, for the three months ended March 31, 2025 were $0.1 million. The remaining gains and losses included in accumulated other comprehensive loss at March 31, 2025 will be reclassified into earnings over the next eighteen months, corresponding to the period during which the hedged fuel is expected to be utilized. Changes in the fair value of fuel hedge contracts not considered highly effective are recorded as cost of contract revenues in the condensed consolidated statements of operations. The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60"/>
        <w:spacing w:after="0" w:line="282" w:lineRule="auto"/>
        <w:rPr>
          <w:sz w:val="20"/>
          <w:szCs w:val="20"/>
          <w:color w:val="auto"/>
        </w:rPr>
      </w:pPr>
      <w:r>
        <w:rPr>
          <w:rFonts w:ascii="Times New Roman" w:cs="Times New Roman" w:eastAsia="Times New Roman" w:hAnsi="Times New Roman"/>
          <w:sz w:val="18"/>
          <w:szCs w:val="18"/>
          <w:color w:val="auto"/>
        </w:rPr>
        <w:t>fair values of fuel hedges are corroborated using inputs that are readily observable in public markets; therefore, the Company determines fair value of these fuel hedges using Level 2 inputs.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sometimes enters into foreign currency exchange forward contracts to hedge the risk that fluctuations in the Euro in relation to the U.S. Dollar could have an adverse impact on cash flows associated with its equipment builds.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did not have any foreign currency exchange hedge contracts as of March 31, 2025 or December 31, 2024. The Company was party to various foreign exchange forward contract arrangements to hedge the purchase of materials through November 2024. Under these hedge contracts, the Company paid fixed prices ranging from $1.01 to $1.13 per Euro.</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foreign currency exchange hedge contracts considered to be highly effective, the losses reclassified to earnings from changes in fair value of derivatives, net of cash settlements and taxes, for the three months ended March 31, 2024 were $36. Changes in the fair value of foreign currency exchange hedge contracts not considered highly effective are recorded as other expenses in the condensed consolidated statements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March 31, 2025, the Company was party to two interest rate swaps with a total notional value of $75 million effective August 5, 2024 and a maturity date of August 24, 2026. Under these interest rate swaps, the Company will pay a weighted average fixed rate of 3.87% on the notional amount and receive payments from the counterparty based on the 30-day SOFR rate, effectively modifying the Company’s exposure to interest rate risk by converting a portion of its floating-rate debt to a weighted average fixed interest rate of 11.62%.</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2025 the fair value liability of the Company’s interest rate swaps was $64 and is recorded in accrued expenses in the condensed consolidated balance sheets. For interest rate swaps considered to be highly effective, the gains reclassified to earnings from changes in fair value of derivatives, net of cash settlements and taxes, for the three months ended March 31, 2025 were $68. The remaining gains and losses included in accumulated other comprehensive loss at March 31, 2025 will be reclassified into earnings over the next seventeen months, corresponding to the period during which the interest rate swap is expected to be utilized. Changes in the fair value of interest rate swaps not considered highly effective are recorded as interest expense in the condensed consolidated statements of operations. The fair values of interest rate swaps are corroborated using inputs that are readily observable in public markets; therefore, the Company determines the fair value of these interest rate swaps using Level 2 inputs.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0" w:type="dxa"/>
            <w:vAlign w:val="bottom"/>
            <w:shd w:val="clear" w:color="auto" w:fill="CFF0FC"/>
          </w:tcPr>
          <w:p>
            <w:pPr>
              <w:spacing w:after="0"/>
              <w:rPr>
                <w:sz w:val="18"/>
                <w:szCs w:val="18"/>
                <w:color w:val="auto"/>
              </w:rPr>
            </w:pPr>
          </w:p>
        </w:tc>
        <w:tc>
          <w:tcPr>
            <w:tcW w:w="3780" w:type="dxa"/>
            <w:vAlign w:val="bottom"/>
            <w:tcBorders>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tcBorders>
              <w:righ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7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8"/>
                <w:szCs w:val="18"/>
                <w:color w:val="auto"/>
              </w:rPr>
            </w:pPr>
          </w:p>
        </w:tc>
      </w:tr>
      <w:tr>
        <w:trPr>
          <w:trHeight w:val="250"/>
        </w:trPr>
        <w:tc>
          <w:tcPr>
            <w:tcW w:w="714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fuel hedges—net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FF0FC"/>
          </w:tcPr>
          <w:p>
            <w:pPr>
              <w:spacing w:after="0"/>
              <w:rPr>
                <w:sz w:val="21"/>
                <w:szCs w:val="21"/>
                <w:color w:val="auto"/>
              </w:rPr>
            </w:pPr>
          </w:p>
        </w:tc>
      </w:tr>
      <w:tr>
        <w:trPr>
          <w:trHeight w:val="413"/>
        </w:trPr>
        <w:tc>
          <w:tcPr>
            <w:tcW w:w="71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Foreign Currency Exchange Hedge Contracts</w:t>
            </w: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140" w:type="dxa"/>
            <w:vAlign w:val="bottom"/>
            <w:tcBorders>
              <w:righ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Reclassification of derivative losses to earnings—net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14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413"/>
        </w:trPr>
        <w:tc>
          <w:tcPr>
            <w:tcW w:w="3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80" w:type="dxa"/>
            <w:vAlign w:val="bottom"/>
            <w:tcBorders>
              <w:top w:val="single" w:sz="8" w:color="CFF0FC"/>
            </w:tcBorders>
          </w:tcPr>
          <w:p>
            <w:pPr>
              <w:spacing w:after="0"/>
              <w:rPr>
                <w:sz w:val="24"/>
                <w:szCs w:val="24"/>
                <w:color w:val="auto"/>
              </w:rPr>
            </w:pPr>
          </w:p>
        </w:tc>
        <w:tc>
          <w:tcPr>
            <w:tcW w:w="378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7140" w:type="dxa"/>
            <w:vAlign w:val="bottom"/>
            <w:tcBorders>
              <w:righ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Reclassification of derivative gains to earnings—net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40" w:type="dxa"/>
            <w:vAlign w:val="bottom"/>
            <w:tcBorders>
              <w:right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108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Total net change in cash flow derivative hedges - net of tax</w:t>
            </w:r>
          </w:p>
        </w:tc>
        <w:tc>
          <w:tcPr>
            <w:tcW w:w="108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7"/>
                <w:szCs w:val="17"/>
                <w:color w:val="auto"/>
              </w:rPr>
            </w:pPr>
          </w:p>
        </w:tc>
      </w:tr>
      <w:tr>
        <w:trPr>
          <w:trHeight w:val="20"/>
        </w:trPr>
        <w:tc>
          <w:tcPr>
            <w:tcW w:w="336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2"/>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80" w:type="dxa"/>
            <w:vAlign w:val="bottom"/>
          </w:tcPr>
          <w:p>
            <w:pPr>
              <w:spacing w:after="0"/>
              <w:rPr>
                <w:sz w:val="18"/>
                <w:szCs w:val="18"/>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80" w:type="dxa"/>
            <w:vAlign w:val="bottom"/>
            <w:shd w:val="clear" w:color="auto" w:fill="CFF0FC"/>
          </w:tcPr>
          <w:p>
            <w:pPr>
              <w:spacing w:after="0"/>
              <w:rPr>
                <w:sz w:val="18"/>
                <w:szCs w:val="18"/>
                <w:color w:val="auto"/>
              </w:rPr>
            </w:pPr>
          </w:p>
        </w:tc>
        <w:tc>
          <w:tcPr>
            <w:tcW w:w="3780" w:type="dxa"/>
            <w:vAlign w:val="bottom"/>
            <w:tcBorders>
              <w:top w:val="single" w:sz="8" w:color="auto"/>
              <w:right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Fuel hedge contracts</w:t>
            </w: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exchange hedge contracts</w:t>
            </w:r>
          </w:p>
        </w:tc>
        <w:tc>
          <w:tcPr>
            <w:tcW w:w="386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income</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FF0FC"/>
          </w:tcPr>
          <w:p>
            <w:pPr>
              <w:spacing w:after="0"/>
              <w:rPr>
                <w:sz w:val="18"/>
                <w:szCs w:val="18"/>
                <w:color w:val="auto"/>
              </w:rPr>
            </w:pPr>
          </w:p>
        </w:tc>
        <w:tc>
          <w:tcPr>
            <w:tcW w:w="3860" w:type="dxa"/>
            <w:vAlign w:val="bottom"/>
            <w:tcBorders>
              <w:right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provision</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78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-3274060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-3256915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-2553970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-2536825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-1833880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-1816735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Credit Agreement and Second Lien Credit Agreement approximate fair value at March 31, 2025. In May 2021, the Company sold $325.0 million of the 2029 Notes, which were outstanding at March 31, 2025 (see Note 5, Long-term debt). The fair value of the 2029 Notes was $294.3 million at March 31, 2025,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Company’s board of directors and/or the applicable committee or committees thereof, as may be required.</w:t>
      </w:r>
    </w:p>
    <w:p>
      <w:pPr>
        <w:spacing w:after="0" w:line="9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16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$1.9 million and $0.8 million for the three months ended March 31, 2025 and 2024, respectively.</w:t>
      </w:r>
    </w:p>
    <w:p>
      <w:pPr>
        <w:spacing w:after="0" w:line="10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2025, the Company had $968.5 million of remaining performance obligations, which the Company refers to as total dredging backlog. Total dredging backlog does not include $265.3 million of domestic low bids pending formal award and additional phases (“options”) pending on projects currently in dredging backlog at March 31, 2025. Additionally, it does not include $44.9 million of performance obligations or $14.5 million of options pending award related to offshore energy contracts. Approximately 60% of the Company’s dredging backlog at March 31, 2025 is expected to be completed during the remainder of 2025, with the remaining balance expected to be completed in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w:t>
      </w:r>
    </w:p>
    <w:p>
      <w:pPr>
        <w:spacing w:after="0" w:line="15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three primary types of work: capital, coastal protection and maintenance. Foreign projects typically involve capital work.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9"/>
        </w:trPr>
        <w:tc>
          <w:tcPr>
            <w:tcW w:w="2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28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1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Capital—U.S.</w:t>
            </w:r>
          </w:p>
        </w:tc>
        <w:tc>
          <w:tcPr>
            <w:tcW w:w="18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91,120</w:t>
            </w: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80" w:type="dxa"/>
            <w:vAlign w:val="bottom"/>
          </w:tcPr>
          <w:p>
            <w:pPr>
              <w:spacing w:after="0"/>
              <w:rPr>
                <w:sz w:val="18"/>
                <w:szCs w:val="18"/>
                <w:color w:val="auto"/>
              </w:rPr>
            </w:pPr>
          </w:p>
        </w:tc>
      </w:tr>
      <w:tr>
        <w:trPr>
          <w:trHeight w:val="216"/>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Coastal protection</w:t>
            </w:r>
          </w:p>
        </w:tc>
        <w:tc>
          <w:tcPr>
            <w:tcW w:w="1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120,302</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80" w:type="dxa"/>
            <w:vAlign w:val="bottom"/>
            <w:shd w:val="clear" w:color="auto" w:fill="CFF0FC"/>
          </w:tcPr>
          <w:p>
            <w:pPr>
              <w:spacing w:after="0"/>
              <w:rPr>
                <w:sz w:val="18"/>
                <w:szCs w:val="18"/>
                <w:color w:val="auto"/>
              </w:rPr>
            </w:pPr>
          </w:p>
        </w:tc>
      </w:tr>
      <w:tr>
        <w:trPr>
          <w:trHeight w:val="216"/>
        </w:trPr>
        <w:tc>
          <w:tcPr>
            <w:tcW w:w="286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Maintenance</w:t>
            </w:r>
          </w:p>
        </w:tc>
        <w:tc>
          <w:tcPr>
            <w:tcW w:w="14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3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64,834</w:t>
            </w:r>
          </w:p>
        </w:tc>
        <w:tc>
          <w:tcPr>
            <w:tcW w:w="80" w:type="dxa"/>
            <w:vAlign w:val="bottom"/>
            <w:tcBorders>
              <w:bottom w:val="single" w:sz="8" w:color="CFF0FC"/>
            </w:tcBorders>
          </w:tcPr>
          <w:p>
            <w:pPr>
              <w:spacing w:after="0"/>
              <w:rPr>
                <w:sz w:val="18"/>
                <w:szCs w:val="18"/>
                <w:color w:val="auto"/>
              </w:rPr>
            </w:pPr>
          </w:p>
        </w:tc>
      </w:tr>
      <w:tr>
        <w:trPr>
          <w:trHeight w:val="250"/>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4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3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government</w:t>
            </w:r>
          </w:p>
        </w:tc>
        <w:tc>
          <w:tcPr>
            <w:tcW w:w="17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134,408</w:t>
            </w: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134,789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36,394</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94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Private</w:t>
            </w:r>
          </w:p>
        </w:tc>
        <w:tc>
          <w:tcPr>
            <w:tcW w:w="13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72,063</w:t>
            </w:r>
          </w:p>
        </w:tc>
        <w:tc>
          <w:tcPr>
            <w:tcW w:w="3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-933450</wp:posOffset>
            </wp:positionV>
            <wp:extent cx="43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-916305</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-1079500</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Accounts receivable at March 31, 2025 and December 31, 2024 are as follows: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105,159</w:t>
            </w:r>
          </w:p>
        </w:tc>
        <w:tc>
          <w:tcPr>
            <w:tcW w:w="8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118,394</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r>
      <w:tr>
        <w:trPr>
          <w:trHeight w:val="331"/>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113,302</w:t>
            </w: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118,030</w:t>
            </w:r>
          </w:p>
        </w:tc>
        <w:tc>
          <w:tcPr>
            <w:tcW w:w="80" w:type="dxa"/>
            <w:vAlign w:val="bottom"/>
            <w:tcBorders>
              <w:top w:val="single" w:sz="8" w:color="CFF0FC"/>
            </w:tcBorders>
          </w:tcPr>
          <w:p>
            <w:pPr>
              <w:spacing w:after="0"/>
              <w:rPr>
                <w:sz w:val="24"/>
                <w:szCs w:val="24"/>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-530860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-530860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-248285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-248285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March 31, 2025 and December 31, 2024 are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203,252</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Amounts billed</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5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78,964</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78,964</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0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Amounts billed</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(450,700)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(30,369)</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-1456690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-1456690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-1173480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-1173480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-890905</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2025 and December 31, 2024, costs to fulfill contracts customers recognized as other current assets were $12.3 million and $10.3 million, respectively. At March 31, 2025 and December 31, 2024, costs to fulfill contracts with customers recognized as other noncurrent assets were $2.7 million and $7.6 million, respectively. These costs relate to pre-contract and pre-construction activities. During the three months ended March 31, 2025 and 2024, the Company amortized $3.4 million and $4.4 million of pre-construction costs, respectively.</w:t>
      </w:r>
    </w:p>
    <w:p>
      <w:pPr>
        <w:spacing w:after="0" w:line="10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The Company has bonding agreements with Liberty Mutual Insurance Company, Philadelphia Indemnity Insurance Company, Ascot Insurance Companies and AXIS Insurance Company under which the Company can obtain performance, bid and payment bonds. The Company also currently has outstanding bonds with ACE Holdings, Travelers Casualty and Surety Company of America, Berkley Insurance Company and Zurich American Insurance Company. Bid bonds are generally obtained for a percentage of bid value and amounts outstanding typically range from $1.0 million to $10.0 million. At March 31, 2025, the Company had outstanding performance bonds with a notional amount of approximately $1.1 billion. The revenue value remaining in dredging backlog related to the outstanding performance bonds totaled approximately $701.5 million.</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between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Any such audits have not had, and are not expected to have, a material impact on the financial position, operations, or cash flows of the Company.</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ABL Credit Agreement, or, in certain instances, cross default to other equipment leases and certain lease arrangements require that the Company maintain certain financial ratios comparable to those required by the ABL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which designates the internal reporting used by the Chief Operating Decision Maker (“CODM”), which is the Company’s Chief Executive Officer, for making decisions and assessing performance as the source of the Company’s reportable segments. The Company has determined it has one reportable segment: dredging.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operates in one reportable segment, the CODM is provided financial reports which include (i) a consolidated statement of operations, (ii) plant expenses (as described below), (iii) a summary of contract revenues by work type and backlog by customer type, (iv) a consolidated balance sheet and</w:t>
      </w:r>
    </w:p>
    <w:p>
      <w:pPr>
        <w:ind w:firstLine="8"/>
        <w:spacing w:after="0" w:line="260"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analysis of revenues and margins by project. These financial reports assist the CODM in assessing the Company’s financial performance and in allocating resources appropriately.</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dredging segment provides dredging services, which generally involves the enhancement or preservation of the navigability of waterways or the protection of shorelines through the removal or replenishment of soil, sand or rock. The Company derives its revenue primarily in the United States and manages its business activities on a consolidated basis. The accounting policies of the dredging segment are the same as those described in the summary of significant accounting policies. The measure of segment assets is reported on the consolidated balance sheet as total consolidated assets. The CODM uses net income and Adjusted EBITDA to evaluate income generated from segment assets in deciding whether to reinvest profits into the operating segment or into other parts of the entity. Net income and Adjusted EBITDA are used to monitor budgeted versus actual results and to assess performance of the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the Company’s reportable segment is as follows:</w:t>
      </w:r>
    </w:p>
    <w:p>
      <w:pPr>
        <w:spacing w:after="0" w:line="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w:t>
            </w:r>
          </w:p>
        </w:tc>
        <w:tc>
          <w:tcPr>
            <w:tcW w:w="2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contract cost</w:t>
            </w: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117,565</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expenses excluding depreciation expense *</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24,501</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13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gains</w:t>
            </w: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(2,016)</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2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1540" w:hanging="5532"/>
        <w:spacing w:after="0" w:line="532" w:lineRule="auto"/>
        <w:tabs>
          <w:tab w:leader="none" w:pos="1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indirect expenses that are allocated to contracts, including, but not limited to: maintenance, supplies, wear and insurance.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“commitment to,” “scheduled to,” or other similar words, or the negative of these terms or other variations of these terms or comparable language, or by discussion of strategy or intentions.</w:t>
      </w:r>
    </w:p>
    <w:p>
      <w:pPr>
        <w:spacing w:after="0" w:line="1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2024 and in other securities filings by Great Lakes with the SEC.</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which is complemented with a long history of performing significant international projects. The Company is also fully engaged in expanding its core business into the offshore energy industry. The Company operates in one operating segment, which is also the Company’s one reportable segment and reporting unit.</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three primary types of work: capital, coastal protection and maintenance.</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Due to its lower materiality relative to the Company’s overall operations, projects previously presented as rivers &amp; lakes are now included in maintenance dredging throughout. Prior periods presented herein have been updated to conform to the current presentation. These projects typically consist of lake and river dredging, inland levee and construction dredging, environmental restoration and habitat improvement and other marine construction projects.</w:t>
      </w:r>
    </w:p>
    <w:p>
      <w:pPr>
        <w:spacing w:after="0" w:line="7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31% over the three-year period ended December 31, 2024, including 28%, 59% and 19% of the domestic capital, coastal protection and maintenance sectors, respectively, exclusive of liquefied natural gas (“LNG”) projects.</w:t>
      </w:r>
    </w:p>
    <w:p>
      <w:pPr>
        <w:spacing w:after="0" w:line="11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three months of 2025, the Company’s revenues earned from contracts with federal government agencies, including the Corps as well as other federal entities such as the U.S. Coast Guard and the U.S. Navy, were approximately 55% of revenues, which is below the average of the three-year period ended December 31, 2024 of 65%. The decrease in the federal government revenue percentage is a result of additional revenues from state and local governments and private customers in the first three months of 2025.</w:t>
      </w:r>
    </w:p>
    <w:p>
      <w:pPr>
        <w:spacing w:after="0" w:line="1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first quarter of 2025, the</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Company commenced regulatory dry dock inspections on three dredges, one of which was completed in the first quarter. By comparison, the Company commenced a regulatory dry dock inspection on one dredge in the first quarter of 2024. The Company has regulatory dry dock inspections planned for a total of seven dredges during 2025. Additionally, as of the end of the first quarter of 2025, the Company had one dredge cold stacked.</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the Company continues to reinvest in our core dredging business and renew our dredging fleet, we remain steadfast in our commitment to executing a long-term strategy that maximizes growth opportunities for the Company.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Great Lakes has established a unique business position with our subsea rock installation (“SRI”) vessel,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the first and only Jones Act SRI vessel being constructed in the United States, targeting the offshore wind, oil and gas and power and telecommunication industries, both domestically and internationally.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has secured offshore wind rock placement contracts for Equinor’s Empire Wind 1 and Ørsted’s Sunrise Wind projects to protect foundations and cables. In addition, during the fourth quarter of 2024, we signed a vessel reservation agreement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for another wind project in the United States.</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16, 2025, the Bureau of Ocean Energy Management issued a temporary pause for Equinor’s Empire Wind 1 project. While the duration and impact of the temporary pause to the project are unknown at this time, we remain in regular contact with Equinor. The Company’s remaining offshore energy contracted project is fully permitted, however it is uncertain whether it, or any other fully permitted U.S. offshore wind projects, will be impacted by future pauses.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believe offshore wind remains an important part of the array of technologies required for the U.S. to meet the increasing demand for energy of the U.S. electrical grid. However, recognizing early signs of potential delays to projects in the U.S. offshore wind market under the current administration, the Company proactively expanded its strategic target markets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to include oil and gas pipeline and power and telecommunications cable protection, as well as international offshore wind. These additional markets helped pave the way for the expansion of our offshore wind division into the broader range of offerings that we call Offshore Energy. This expansion is supported by our assessment of a global undersupply of rock placement vessels. Accordingly, we are actively pursuing opportunities across these sectors, which we anticipate will provide sustained utilization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into the foreseeable future.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to build our offshore energy capabilities, bid on SRI projects and position the Company for growth in the offshore energy markets, as many of our European competitors have done in the international offshore energy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net income and Adjusted EBITDA, as defined below, as a percentage of contract revenues for the three months ended March 31, 2025 and 2024. The selected financial data presented below have been derived from the Company’s condensed consolidated financial statements; items may not sum due to rounding.</w:t>
      </w:r>
    </w:p>
    <w:p>
      <w:pPr>
        <w:spacing w:after="0" w:line="89"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7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gains</w:t>
            </w:r>
          </w:p>
        </w:tc>
        <w:tc>
          <w:tcPr>
            <w:tcW w:w="7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7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-1602105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-1602105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-762000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-762000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-479425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-479425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EBITDA, as provided herein, represents net income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the Company’s operating trends.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spacing w:after="0" w:line="252" w:lineRule="auto"/>
        <w:rPr>
          <w:sz w:val="20"/>
          <w:szCs w:val="20"/>
          <w:color w:val="auto"/>
        </w:rPr>
      </w:pPr>
      <w:r>
        <w:rPr>
          <w:rFonts w:ascii="Times New Roman" w:cs="Times New Roman" w:eastAsia="Times New Roman" w:hAnsi="Times New Roman"/>
          <w:sz w:val="18"/>
          <w:szCs w:val="18"/>
          <w:color w:val="auto"/>
        </w:rPr>
        <w:t>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net income to measure the Company’s operating performance and uses Adjusted EBITDA only as a supplement. For the three months ended March 31, 2025 and 2024, the Company did not have any adjustments to EBITDA as defined herein. As such, the amounts presented as Adjusted EBITDA herein also represent EBITDA for the periods presented. The following is a reconciliation of Adjusted EBITDA to net income from continuing operations of the Company:</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expense—net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125"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5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Capital—U.S.</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Coastal protection</w:t>
            </w: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64,834</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vMerge w:val="continue"/>
            <w:shd w:val="clear" w:color="auto" w:fill="CFF0FC"/>
          </w:tcPr>
          <w:p>
            <w:pPr>
              <w:spacing w:after="0"/>
              <w:rPr>
                <w:sz w:val="19"/>
                <w:szCs w:val="19"/>
                <w:color w:val="auto"/>
              </w:rPr>
            </w:pPr>
          </w:p>
        </w:tc>
        <w:tc>
          <w:tcPr>
            <w:tcW w:w="15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242,865</w:t>
            </w:r>
          </w:p>
        </w:tc>
        <w:tc>
          <w:tcPr>
            <w:tcW w:w="3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1460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1460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1460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revenue was $242.9 million for the three months ended March 31, 2025, up $44.2 million, or 22%, from $198.7 million for the same period in the prior year. For the three months ended March 31, 2025, the Company experienced a significant increase in domestic capital and coastal protection revenues as compared to the same period in the prior year, driven by strong project performance combined with high utilization, as all of our active dredges were operational during the current year period. These increases were partially offset by a decrease in maintenance revenues during the three months ended March 31, 2025.</w:t>
      </w:r>
    </w:p>
    <w:p>
      <w:pPr>
        <w:spacing w:after="0" w:line="11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March 31, 2025, domestic capital dredging revenue was $91.1 million, up $21.2 million, or 30%, compared to $69.9 million for the same period in 2024. The increase in capital dredging revenues for the three months ended March 31, 2025 was mostly due to a higher amount of revenue earned on projects in Texas and Alabama in the current year period when compared to the same period in the prior year.</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quarter ended March 31, 2025 was $120.3 million, an increase of $56.4 million, or 88%, compared to $63.9 million in the prior year period. The increase in coastal protection revenue for the three months ended March 31, 2025 was attributable to an increase in the amount of revenue earned on projects in New York, New Jersey and Florida in the current year when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compared to the prior year period. This increase was partially offset by lower revenue earned on projects in Alabama in the current quarter.</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quarter of 2025 was $31.4 million, down $33.4 million, or 52%, from $64.8 million in the same period of 2024. The decrease in maintenance revenues for the three months ended March 31, 2025 was mostly attributable to decrease in revenue earned on projects in Florida, Louisiana and Texas when compared with prior year quarter. This decrease was partially offset by an increase in revenue earned on projects in Virginia and South Carolina in the current year quarter.</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Consolidated gross profit for the three months ended March 31, 2025 was $69.5 million, up $23.9 million, or 52%, compared to $45.6 million in same period of 2024. Gross profit margin for the three months ended March 31, 2025 increased to 28.6% from 22.9% in the same period in the prior year. The higher gross profit and profit margins experienced for the three months ended March 31, 2025 were driven by increased revenues as well as improved utilization and project performance in the current year quarter. Additionally, the project mix during the current year period includes a larger proportion of higher margin capital and coastal protection projects than the same period in the prior year.</w:t>
      </w:r>
    </w:p>
    <w:p>
      <w:pPr>
        <w:spacing w:after="0" w:line="1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general and administrative expenses were $20.0 million, compared to $16.1 million for the same period in the prior year. General and administrative expenses for the three months ended March 31, 2025 include higher incentive compensation and employee benefit expenses as compared to the same period in the prior year.</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income for the first quarter of 2025 was $49.9 million, up $18.4 million from $31.5 million in the same period of the prior year. The increase in operating income for the three months ended March 31, 2025 was a result of higher gross profit in the current year period when compared to the same periods in the prior year, partially offset by higher general and administrative expenses in the current year period when compared to the same period in the prior year. The increase in operating income during the three months ended March 31, 2025 was partially offset by a decrease in gains on the sale of assets in the current year period as compared to the prior year period.</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interest expense was $4.5 million, $0.6 million higher compared to $3.9 million for the same period in the prior year. The increase in net interest expense for the three months ended March 31, 2025 was primarily due to interest on borrowings under the Second Lien Credit Agreement, executed during the second quarter of 2024, partially offset by a decrease in borrowings under the ABL Credit Agreement during the current year period.</w:t>
      </w:r>
    </w:p>
    <w:p>
      <w:pPr>
        <w:spacing w:after="0" w:line="11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tax provision for the three months ended March 31, 2025 was $11.7 million compared to $7.0 million for the same period in the prior year. The effective tax rate for the three months ended March 31, 2025 was 25.9%, while the effective tax rate for the same period of 2024 was 24.9%.</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March 31, 2025 was $33.4 million, up $12.4 million from $21.0 million in the same period in the prior year. Diluted earnings per share was $0.49 per share for the three months ended March 31, 2025, compared to $0.31 per share for the three months ended March 31, 2024. The increase in net income for the three months ended March 31, 2025 was primarily driven by the substantial improvement to operating income in the current year period when compared to the same period in the prior year, partially offset by increases in net interest expense and the income tax provision in the current year period when compared to the same period in the prior year.</w:t>
      </w:r>
    </w:p>
    <w:p>
      <w:pPr>
        <w:spacing w:after="0" w:line="1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Adjusted EBITDA (as defined on page 20) for the three months ended March 31, 2025 was $60.1 million, up $17.2 million, from $42.9 million in the same quarter in the prior year. The increase in Adjusted EBITDA during the first quarter of 2025 was driven by the increase in gross profit, excluding depreciation partially offset by an increase in general and administrative expense.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Backlog (in thousands)</w:t>
            </w:r>
          </w:p>
        </w:tc>
        <w:tc>
          <w:tcPr>
            <w:tcW w:w="340" w:type="dxa"/>
            <w:vAlign w:val="bottom"/>
          </w:tcPr>
          <w:p>
            <w:pPr>
              <w:spacing w:after="0"/>
              <w:rPr>
                <w:sz w:val="16"/>
                <w:szCs w:val="16"/>
                <w:color w:val="auto"/>
              </w:rPr>
            </w:pP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Capital—U.S.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712,720</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799,565</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Coastal protection</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207,079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328,073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dredging backlog</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Offshore energy</w:t>
            </w:r>
          </w:p>
        </w:tc>
        <w:tc>
          <w:tcPr>
            <w:tcW w:w="3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44,945</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44,945</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1,013,472</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1,239,144</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Total backlog does not include $265.3 million of domestic low bids pending formal award and additional phases (“options”) pending on projects currently in dredging backlog at March 31, 2025 or $14.5 million of options pending award related to offshore energy contracts. The Company expects to perform on its offshore wind contracts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which is expected to be delivered and operational in 2026.</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54% of our March 31, 2025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Corps is operating in 2025 under a continuing resolution, enacted on March 15, 2025, which sustains the funding levels established in the prior fiscal year. Additionally, in 2023, the Disaster Relief Supplemental Appropriations Act included $1.5 billion for the Corps to make necessary repairs to infrastructure impacted by hurricanes and other natural disasters, and to initiate beach renourishment projects that will increase coastal resiliency. This increased budget and additional funding supported a strong bid market in 2024, a trend which the Company expects to continue in 2025.</w:t>
      </w:r>
    </w:p>
    <w:p>
      <w:pPr>
        <w:spacing w:after="0" w:line="1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The WRDA of 2022 authorized the projects for the deepening of shipping channels in New York and New Jersey to 55 feet, as well as for the Coastal Texas Protection and Restoration Program, which is designed to safeguard the Texas Gulf Coast from hurricanes. On January 4, 2025, the WRDA of 2024 was signed into law, authorizing numerous capital investments and initiatives aimed at enhancing flood protection, strengthening coastal resilience and advancing ecosystem restoration efforts.</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domestic dredging bid market for the quarter ended March 31, 2025 was $203.0 million, a $198.8 million decrease compared to the same period in the prior year. The total domestic dredging bid market for the current year period included awards for one domestic capital project, three coastal protection projects and four maintenance projects. The Company won 18% of the domestic dredging bids during the first quarter of 2025, which is below the Company’s average of 31% for the three-year period ended December 31, 2024. The first quarter domestic dredging bid market total does not include LNG or offshore energy projects. Variability in contract wins from quarter to quarter is not unusual and one quarter’s win rate is generally not indicative of the win rate the Company is likely to achieve for a full year.</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contracted dredging backlog was $1.0 billion at March 31, 2025 compared to $1.2 billion of dredging backlog at December 31, 2024. Total dredging backlog does not include $265.3 million of domestic low bids pending formal award and options pending on projects currently in dredging backlog at March 31, 2025. Additionally, it does not include $14.5 million of options pending award related to offshore energy contracts. At December 31, 2024, the total dredging backlog does not include $282.1 million of domestic low bids pending formal award and options pending on projects in dredging backlog or $12.7 million of options pending award related to offshore energy contracts as of that date. Included in the Company’s backlog at March 31, 2025 and December 31, 2024 are two LNG projects, including the Brownsville Ship Channel project for Next Decade Corporation’s Rio Grande LNG project,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which is the largest project undertaken in the Company's history, and the Port Arthur LNG Phase 1 project for Marine Dredging and Disposal. Dredging on both projects began during the third quarter of 2024. Subsequent to March 31, 2025, we received notice to proceed on the Woodside Louisiana LNG project. The awarded work will be added to our backlog in the second quarter of 2025, along with two options that will be added to our options pending award. Dredging operations are expected to commence on the project in early 2026.</w:t>
      </w:r>
    </w:p>
    <w:p>
      <w:pPr>
        <w:spacing w:after="0" w:line="1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Domestic capital dredging backlog at March 31, 2025 was $712.7 million, a decrease of $86.8 million from December 31, 2024. During the three months ended March 31, 2025, the Company continued to earn revenue on deepening projects in Texas and Alabama. These deepenings continue the trend of ensuring all East Coast and Gulf of America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Coastal protection dredging backlog at March 31, 2025 was $207.1 million, a decrease of $121.0 million from December 31, 2024. During the three months ended March 31, 2025, the Company continued to earn revenue on coastal protection projects in New York, New Jersey and Florida, which were in dredging backlog at December 31, 2024.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16"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Maintenance dredging backlog at March 31, 2025 was $48.7 million, a decrease of $17.8 million from December 31, 2024. In the three months ended March 31, 2025, the Company was awarded one maintenance project for $36.2 million in Texas. During the three months ended March 31, 2025, the Company continued to earn revenue on projects in Virginia, South Carolina, Mississippi, Arkansas and Puerto Rico that were in dredging backlog or classified as low bids pending formal award and options pending at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net cash provided by operating activities for the three months ended March 31, 2025 and 2024 was $60.9 million and $38.4 million, respectively. Normal increases or decreases in the level of working capital relative to the level of operational activity impact cash flow from operating activities. The increase in cash provided by operating activities during the three months ended March 31, 2025, relates primarily to higher current period earnings and an increase in billings in excess of contract revenues, partially offset by the increases in contract revenues in excess of billings, decreases in accounts payable and accrued expenses and other changes in working capital compared to the same period in the prior year.</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net cash flows used in investing activities for the three months ended March 31, 2025 and 2024 were $20.7 million and $8.3 million, respectively. Investing activities primarily relate to investments in our new build program, normal course upgrades and capital maintenance of the Company’s dredging fleet. During the three months ended March 31, 2025, the Company invested $2.0 million in the </w:t>
      </w:r>
      <w:r>
        <w:rPr>
          <w:rFonts w:ascii="Times New Roman" w:cs="Times New Roman" w:eastAsia="Times New Roman" w:hAnsi="Times New Roman"/>
          <w:sz w:val="18"/>
          <w:szCs w:val="18"/>
          <w:i w:val="1"/>
          <w:iCs w:val="1"/>
          <w:color w:val="auto"/>
        </w:rPr>
        <w:t>Amelia Island</w:t>
      </w:r>
      <w:r>
        <w:rPr>
          <w:rFonts w:ascii="Times New Roman" w:cs="Times New Roman" w:eastAsia="Times New Roman" w:hAnsi="Times New Roman"/>
          <w:sz w:val="18"/>
          <w:szCs w:val="18"/>
          <w:color w:val="auto"/>
        </w:rPr>
        <w:t xml:space="preserve"> and $3.9 million in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as well as maintenance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paid $9.9 million during the current year period for previously accrued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These investments were partially offset by the disposition of certain equipment for approximately $0.5 million during the current year.</w:t>
      </w:r>
    </w:p>
    <w:p>
      <w:pPr>
        <w:spacing w:after="0" w:line="10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net cash flows used in financing activities for the three months ended March 31, 2025 and 2024 totaled $39.0 million and $30.2 million, respectively. The increase in net cash flows used in financing activities is primarily due to net repayments under the Company’s revolving debt facility during the three months ended March 31, 2025 of $35.0 million, compared to net repayments of $30.0 million on the Company’s revolving debt facility during the three months ended March 31, 2024. Additionally, o</w:t>
      </w:r>
      <w:r>
        <w:rPr>
          <w:rFonts w:ascii="Times New Roman" w:cs="Times New Roman" w:eastAsia="Times New Roman" w:hAnsi="Times New Roman"/>
          <w:sz w:val="18"/>
          <w:szCs w:val="18"/>
          <w:color w:val="212529"/>
        </w:rPr>
        <w:t>n March 14, 2025, the Company announced that its board of directors approved a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repurchase program, authorizing, but not obligating, the repurchase of up to an aggregate amount of $50.0 million of its common stock from time to time through March 14, 2026. </w:t>
      </w:r>
      <w:r>
        <w:rPr>
          <w:rFonts w:ascii="Times New Roman" w:cs="Times New Roman" w:eastAsia="Times New Roman" w:hAnsi="Times New Roman"/>
          <w:sz w:val="18"/>
          <w:szCs w:val="18"/>
          <w:color w:val="000000"/>
        </w:rPr>
        <w:t>Of the approved amount under the share repurchase program, the Company repurchased 352,240 shares of common stock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approximately $3.2 million in the aggregate during the three months ended March 31, 2025</w:t>
      </w:r>
      <w:r>
        <w:rPr>
          <w:rFonts w:ascii="Times New Roman" w:cs="Times New Roman" w:eastAsia="Times New Roman" w:hAnsi="Times New Roman"/>
          <w:sz w:val="18"/>
          <w:szCs w:val="18"/>
          <w:color w:val="212529"/>
        </w:rPr>
        <w: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expects to spend between approximately $140 million and $160 million, inclusive of capitalized interest, on capital expenditures in 2025 which is comprised of vessels in our new build program and maintenance capital expenditures. The Company anticipates that remaining new build program payments will be made with cash on hand, future cash flows generated from operations, revolver availability and potential new sources of financing.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Refer to Note 5, Long-term debt, in the Notes to Condensed Consolidated Financial Statements for discussion of the Company’s ABL Credit Agreement, Second Lien Credit Agreement and 2029 Notes. Additionally, refer to Note 9, Commitments and contingencies, in the Notes to Condensed Consolidated Financial Statements for discussion of the Company’s surety agreements.</w:t>
      </w:r>
    </w:p>
    <w:p>
      <w:pPr>
        <w:spacing w:after="0" w:line="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potential share repurchases and dividends, if any, and to comply with all the financial terms and covenants required under the ABL Credit Agreement,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48"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Consolidated Financial Statements included in the Company’s Annual Report on Form 10-K for the year ended December 31, 2024.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w:t>
      </w:r>
    </w:p>
    <w:p>
      <w:pPr>
        <w:spacing w:after="0" w:line="3"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color w:val="auto"/>
        </w:rPr>
        <w:t>Except as noted in Note 1, Basis of presentation, of the Company’s financial statements, there have been no material changes in the Company’s critical accounting policies or estimates since December 31, 2024.</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March 31, 2025 has not materially changed since December 31, 2024. The market risk profile of the Company on December 31, 2024 is disclosed in Item 7A. “Quantitative and Qualitative Disclosures about Market Risk” of the Company’s Annual Report on Form 10-K for the year ended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2025 in providing such a reasonable assurance.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March 31, 2025 that have materially affected, or are reasonably likely to materially affect, our internal control over financial reporting.</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as provided below, there have been no material changes during the three months ended March 31, 2025 to the risk factors previously disclosed in Item 1A. “Risk Factors” in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it will enhance long-term stockholder value.</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March 14, 2025, our board of directors approved a new share repurchase program authorizing the repurchase of up to $50 million of our common stock from time to time before March 14, 2026. We are not obligated to repurchase a specified number or dollar value of shares, on any particular timetable or at all. There can be no assurance that we will repurchase stock at favorable prices. The repurchase program may be suspended or terminated at any time and, even if fully implemented, may not enhance long-term stockholder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212529"/>
        </w:rPr>
        <w:t>The following table provides information regarding repurchases of the Company’s common stock by the Company during the quarter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Aggregate Dollar</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Value That May</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6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Programs (1)</w:t>
            </w:r>
          </w:p>
        </w:tc>
      </w:tr>
      <w:tr>
        <w:trPr>
          <w:trHeight w:val="210"/>
        </w:trPr>
        <w:tc>
          <w:tcPr>
            <w:tcW w:w="3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2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352,240</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46,828,942</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352,240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352,240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46,828,942</w:t>
            </w:r>
          </w:p>
        </w:tc>
        <w:tc>
          <w:tcPr>
            <w:tcW w:w="10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8"/>
        <w:spacing w:after="0" w:line="282" w:lineRule="auto"/>
        <w:tabs>
          <w:tab w:leader="none" w:pos="255"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On March 14, 2025, the Company announced that its board of directors approved a share repurchase program, authorizing, but not obligating, the repurchase of up to an aggregate amount of $50.0 million of its common stock from time to time through March 14,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Executive Officers and Directors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8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During the quarterly period ended March 31, 2025, none of our officers (as defined in Rule 16a-1(f) under the Exchange Act) or directors adopted or terminated a Rule 10b5-1 trading plan or adopted or terminated a non-Rule 10b5-1 trading arrangement (as defined in Item 408(c) of Regulation S-K).</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0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049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4179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049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4179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47" w:lineRule="exact"/>
        <w:rPr>
          <w:sz w:val="20"/>
          <w:szCs w:val="20"/>
          <w:color w:val="auto"/>
        </w:rPr>
      </w:pPr>
    </w:p>
    <w:p>
      <w:pPr>
        <w:ind w:right="1220"/>
        <w:spacing w:after="0" w:line="462" w:lineRule="auto"/>
        <w:rPr>
          <w:sz w:val="20"/>
          <w:szCs w:val="20"/>
          <w:color w:val="auto"/>
        </w:rPr>
      </w:pPr>
      <w:r>
        <w:rPr>
          <w:rFonts w:ascii="Times New Roman" w:cs="Times New Roman" w:eastAsia="Times New Roman" w:hAnsi="Times New Roman"/>
          <w:sz w:val="17"/>
          <w:szCs w:val="17"/>
          <w:u w:val="single" w:color="auto"/>
          <w:color w:val="0000FF"/>
        </w:rPr>
        <w:t>Certification Pursuant to 18 U.S.C. Section 1350, as Adopted Pursuant to Section 906 of the Sarbanes-Oxley Act of 2002. ** Certification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57181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181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-139700</wp:posOffset>
            </wp:positionV>
            <wp:extent cx="57181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18175" cy="825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320" w:space="600"/>
            <w:col w:w="10220"/>
          </w:cols>
          <w:pgMar w:left="320" w:top="1305" w:right="4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101</w:t>
            </w: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formatted in Inline Extensible Business Reporting Language ("Inline XBRL") *</w:t>
            </w:r>
          </w:p>
        </w:tc>
      </w:tr>
      <w:tr>
        <w:trPr>
          <w:trHeight w:val="338"/>
        </w:trPr>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104</w:t>
            </w:r>
          </w:p>
        </w:tc>
        <w:tc>
          <w:tcPr>
            <w:tcW w:w="10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 *</w:t>
            </w:r>
          </w:p>
        </w:tc>
      </w:tr>
    </w:tbl>
    <w:p>
      <w:pPr>
        <w:spacing w:after="0" w:line="34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64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March 31, 2025,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Great Lakes Dredge &amp; Dock Corporation (the “Company”) on Form 10-Q for the period ended March 31, 2025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50"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515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Kornblau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2025</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Roman"/>
      <w:start w:val="5"/>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2025-05-06T15:13:17Z</dcterms:created>
  <dcterms:modified xsi:type="dcterms:W3CDTF">2025-05-06T15:13:17Z</dcterms:modified>
</cp:coreProperties>
</file>